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lms-20260630x10q.htm"/>
        <w:bookmarkStart w:id="1" w:name="ksalms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bookmarkStart w:id="2" w:name="_45676c0a_4f9e_4a2d_b7be_fb0d89ef21b6"/>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6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72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120"/>
        <w:ind w:left="0" w:right="0" w:hanging="0"/>
        <w:jc w:val="left"/>
        <w:rPr/>
      </w:pPr>
      <w:r>
        <w:rPr>
          <w:caps w:val="false"/>
          <w:smallCaps w:val="false"/>
        </w:rPr>
        <w:t>☒</w:t>
      </w:r>
      <w:r>
        <w:rPr>
          <w:rFonts w:ascii="Times New Roman;Times;serif" w:hAnsi="Times New Roman;Times;serif"/>
          <w:b/>
          <w:sz w:val="20"/>
        </w:rPr>
        <w:t>QUARTERLY REPORT PURSUANT TO SECTION 13 OR 15(d) OF THE SECURITIES</w:t>
        <w:br/>
        <w:t>EXCHANGE ACT OF 1934</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20"/>
        <w:ind w:left="0" w:right="0" w:hanging="0"/>
        <w:jc w:val="left"/>
        <w:rPr/>
      </w:pPr>
      <w:r>
        <w:rPr>
          <w:caps w:val="false"/>
          <w:smallCaps w:val="false"/>
        </w:rPr>
        <w:t>☐</w:t>
      </w:r>
      <w:r>
        <w:rPr>
          <w:rFonts w:ascii="Times New Roman;Times;serif" w:hAnsi="Times New Roman;Times;serif"/>
          <w:b/>
          <w:sz w:val="20"/>
        </w:rPr>
        <w:t>TRANSITION REPORT PURSUANT TO SECTION 13 OR 15(d) OF THE SECURITIES</w:t>
        <w:br/>
        <w:t>EXCHANGE ACT OF 1934</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to</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001-42143</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Alumis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KtLslNCJ4E6QPZXkGQFpgg_2_1"/>
      <w:bookmarkStart w:id="4" w:name="Tc_4c97ge1F1EW3rDzUSSPfow_2_0"/>
      <w:bookmarkStart w:id="5" w:name="_61efc8a5_ccd7_43b8_8cca_ebee4a083341"/>
      <w:bookmarkStart w:id="6" w:name="Tc_KtLslNCJ4E6QPZXkGQFpgg_2_1"/>
      <w:bookmarkStart w:id="7" w:name="Tc_4c97ge1F1EW3rDzUSSPfow_2_0"/>
      <w:bookmarkStart w:id="8" w:name="_61efc8a5_ccd7_43b8_8cca_ebee4a083341"/>
      <w:bookmarkEnd w:id="6"/>
      <w:bookmarkEnd w:id="7"/>
      <w:bookmarkEnd w:id="8"/>
    </w:p>
    <w:tbl>
      <w:tblPr>
        <w:tblW w:w="3497" w:type="dxa"/>
        <w:jc w:val="left"/>
        <w:tblInd w:w="0" w:type="dxa"/>
        <w:tblLayout w:type="fixed"/>
        <w:tblCellMar>
          <w:top w:w="0" w:type="dxa"/>
          <w:left w:w="0" w:type="dxa"/>
          <w:bottom w:w="0" w:type="dxa"/>
          <w:right w:w="0" w:type="dxa"/>
        </w:tblCellMar>
      </w:tblPr>
      <w:tblGrid>
        <w:gridCol w:w="1981"/>
        <w:gridCol w:w="1516"/>
      </w:tblGrid>
      <w:tr>
        <w:trPr/>
        <w:tc>
          <w:tcPr>
            <w:tcW w:w="1981"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86-1771129</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br/>
              <w:t>incorporation or organization)</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280 East Grand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South San Francisco, CA</w:t>
      </w:r>
      <w:r>
        <w:rPr>
          <w:rFonts w:ascii="Times New Roman;Times;serif" w:hAnsi="Times New Roman;Times;serif"/>
          <w:sz w:val="20"/>
        </w:rPr>
        <w:t xml:space="preserve"> </w:t>
      </w:r>
      <w:r>
        <w:rPr>
          <w:rFonts w:ascii="Times New Roman;Times;serif" w:hAnsi="Times New Roman;Times;serif"/>
          <w:b/>
          <w:sz w:val="16"/>
        </w:rPr>
        <w:t>94080</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(650) 231-6625</w:t>
      </w:r>
    </w:p>
    <w:p>
      <w:pPr>
        <w:pStyle w:val="TextBody"/>
        <w:bidi w:val="0"/>
        <w:spacing w:before="0" w:after="60"/>
        <w:ind w:left="0" w:right="0" w:hanging="0"/>
        <w:jc w:val="center"/>
        <w:rPr>
          <w:rFonts w:ascii="Times New Roman;Times;serif" w:hAnsi="Times New Roman;Times;serif"/>
          <w:b/>
          <w:sz w:val="12"/>
        </w:rPr>
      </w:pPr>
      <w:r>
        <w:rPr>
          <w:rFonts w:ascii="Times New Roman;Times;serif" w:hAnsi="Times New Roman;Times;serif"/>
          <w:b/>
          <w:sz w:val="12"/>
        </w:rPr>
        <w:t>(Registrant’s telephone number)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n8bdwwU2vk-8d9KN5WcLSg_3_5"/>
      <w:bookmarkStart w:id="10" w:name="Tc_lCmZCv9v1UKruYP4JkbfNA_3_3"/>
      <w:bookmarkStart w:id="11" w:name="Tc_Eyseq7zYFkyINjXiILvTew_3_2"/>
      <w:bookmarkStart w:id="12" w:name="Tc_00QH-oQESEKKqI5IWFxAuA_1_4"/>
      <w:bookmarkStart w:id="13" w:name="Tc_kfoggO5F0kqDd8tppLFi1Q_1_3"/>
      <w:bookmarkStart w:id="14" w:name="Tc_9uzMGKJyz0mOoPUix8bUNA_1_2"/>
      <w:bookmarkStart w:id="15" w:name="Tc_d2gi98J_SUWIWTX5fEcyqA_1_0"/>
      <w:bookmarkStart w:id="16" w:name="_e66434ed_3e01_4674_8ebd_081fffba9414"/>
      <w:bookmarkStart w:id="17" w:name="Tc_n8bdwwU2vk-8d9KN5WcLSg_3_5"/>
      <w:bookmarkStart w:id="18" w:name="Tc_lCmZCv9v1UKruYP4JkbfNA_3_3"/>
      <w:bookmarkStart w:id="19" w:name="Tc_Eyseq7zYFkyINjXiILvTew_3_2"/>
      <w:bookmarkStart w:id="20" w:name="Tc_00QH-oQESEKKqI5IWFxAuA_1_4"/>
      <w:bookmarkStart w:id="21" w:name="Tc_kfoggO5F0kqDd8tppLFi1Q_1_3"/>
      <w:bookmarkStart w:id="22" w:name="Tc_9uzMGKJyz0mOoPUix8bUNA_1_2"/>
      <w:bookmarkStart w:id="23" w:name="Tc_d2gi98J_SUWIWTX5fEcyqA_1_0"/>
      <w:bookmarkStart w:id="24" w:name="_e66434ed_3e01_4674_8ebd_081fffba9414"/>
      <w:bookmarkEnd w:id="17"/>
      <w:bookmarkEnd w:id="18"/>
      <w:bookmarkEnd w:id="19"/>
      <w:bookmarkEnd w:id="20"/>
      <w:bookmarkEnd w:id="21"/>
      <w:bookmarkEnd w:id="22"/>
      <w:bookmarkEnd w:id="23"/>
      <w:bookmarkEnd w:id="24"/>
    </w:p>
    <w:tbl>
      <w:tblPr>
        <w:tblW w:w="6805" w:type="dxa"/>
        <w:jc w:val="left"/>
        <w:tblInd w:w="0" w:type="dxa"/>
        <w:tblLayout w:type="fixed"/>
        <w:tblCellMar>
          <w:top w:w="0" w:type="dxa"/>
          <w:left w:w="0" w:type="dxa"/>
          <w:bottom w:w="0" w:type="dxa"/>
          <w:right w:w="0" w:type="dxa"/>
        </w:tblCellMar>
      </w:tblPr>
      <w:tblGrid>
        <w:gridCol w:w="1666"/>
        <w:gridCol w:w="109"/>
        <w:gridCol w:w="316"/>
        <w:gridCol w:w="2011"/>
        <w:gridCol w:w="316"/>
        <w:gridCol w:w="2026"/>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175260"/>
                      <wp:effectExtent l="0" t="0" r="0" b="0"/>
                      <wp:wrapNone/>
                      <wp:docPr id="1" name="Frame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76985" cy="175260"/>
                      <wp:effectExtent l="0" t="0" r="0" b="0"/>
                      <wp:wrapNone/>
                      <wp:docPr id="3" name="Frame3"/>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109"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66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1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109"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oRaWR53D0ki-z-yPWM8LVw_1_2"/>
      <w:bookmarkStart w:id="26" w:name="Tc_EokQdC2G6UmPzcskaUNwNQ_1_1"/>
      <w:bookmarkStart w:id="27" w:name="Tc_gQ9FnaKq-EC8ShbEL318cw_1_0"/>
      <w:bookmarkStart w:id="28" w:name="_1d179ebd_24f2_49d6_9db9_b797e8cb0cba"/>
      <w:bookmarkStart w:id="29" w:name="Tc_oRaWR53D0ki-z-yPWM8LVw_1_2"/>
      <w:bookmarkStart w:id="30" w:name="Tc_EokQdC2G6UmPzcskaUNwNQ_1_1"/>
      <w:bookmarkStart w:id="31" w:name="Tc_gQ9FnaKq-EC8ShbEL318cw_1_0"/>
      <w:bookmarkStart w:id="32" w:name="_1d179ebd_24f2_49d6_9db9_b797e8cb0cba"/>
      <w:bookmarkEnd w:id="29"/>
      <w:bookmarkEnd w:id="30"/>
      <w:bookmarkEnd w:id="31"/>
      <w:bookmarkEnd w:id="32"/>
    </w:p>
    <w:tbl>
      <w:tblPr>
        <w:tblW w:w="7578" w:type="dxa"/>
        <w:jc w:val="left"/>
        <w:tblInd w:w="0" w:type="dxa"/>
        <w:tblLayout w:type="fixed"/>
        <w:tblCellMar>
          <w:top w:w="0" w:type="dxa"/>
          <w:left w:w="0" w:type="dxa"/>
          <w:bottom w:w="0" w:type="dxa"/>
          <w:right w:w="0" w:type="dxa"/>
        </w:tblCellMar>
      </w:tblPr>
      <w:tblGrid>
        <w:gridCol w:w="3361"/>
        <w:gridCol w:w="1246"/>
        <w:gridCol w:w="2971"/>
      </w:tblGrid>
      <w:tr>
        <w:trPr/>
        <w:tc>
          <w:tcPr>
            <w:tcW w:w="336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29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ALMS</w:t>
            </w:r>
          </w:p>
        </w:tc>
        <w:tc>
          <w:tcPr>
            <w:tcW w:w="29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August 6, 2026, the registrant had 129,435,239 shares of voting common stock, $0.0001 par value per share, and zero shares of non-voting common stock, $0.0001 par value per share, outstanding.</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TOC"/>
      <w:bookmarkStart w:id="34" w:name="_d74838ad_256a_4c58_9660_63dbaae8bc88"/>
      <w:bookmarkEnd w:id="33"/>
      <w:bookmarkEnd w:id="34"/>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Heading"/>
              <w:pBdr/>
              <w:bidi w:val="0"/>
              <w:spacing w:before="0" w:after="0"/>
              <w:ind w:left="0" w:right="0" w:hanging="0"/>
              <w:jc w:val="left"/>
              <w:rPr/>
            </w:pPr>
            <w:r>
              <w:rPr/>
              <w:t>​</w:t>
            </w:r>
          </w:p>
        </w:tc>
        <w:tc>
          <w:tcPr>
            <w:tcW w:w="7366" w:type="dxa"/>
            <w:tcBorders/>
            <w:vAlign w:val="center"/>
          </w:tcPr>
          <w:p>
            <w:pPr>
              <w:pStyle w:val="TableHeading"/>
              <w:bidi w:val="0"/>
              <w:spacing w:before="0" w:after="0"/>
              <w:ind w:left="0" w:right="0" w:hanging="0"/>
              <w:jc w:val="left"/>
              <w:rPr/>
            </w:pPr>
            <w:r>
              <w:rPr/>
              <w:t>​</w:t>
            </w:r>
          </w:p>
        </w:tc>
        <w:tc>
          <w:tcPr>
            <w:tcW w:w="57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FINANCIALINFORMATION_928371">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IFINANCIALINFORMATION_928371">
              <w:r>
                <w:rPr>
                  <w:rStyle w:val="InternetLink"/>
                  <w:rFonts w:ascii="Times New Roman;Times;serif" w:hAnsi="Times New Roman;Times;serif"/>
                  <w:b/>
                  <w:i w:val="false"/>
                  <w:caps w:val="false"/>
                  <w:smallCaps w:val="false"/>
                  <w:sz w:val="20"/>
                </w:rPr>
                <w:t>Financial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FinancialStatements_302878">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302878">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55521">
              <w:r>
                <w:rPr>
                  <w:rStyle w:val="InternetLink"/>
                  <w:rFonts w:ascii="Times New Roman;Times;serif" w:hAnsi="Times New Roman;Times;serif"/>
                  <w:b w:val="false"/>
                  <w:i w:val="false"/>
                  <w:caps w:val="false"/>
                  <w:smallCaps w:val="false"/>
                  <w:sz w:val="20"/>
                </w:rPr>
                <w:t>Condensed Consolidated Balance Sheets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1OrganizationandNatureoftheBusiness_172">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ControlsandProcedures_99419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994190">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PARTIIOTHERINFORMATION_833435">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833435">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LegalProceedings_70641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706415">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ARiskFactors_69331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693312">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DefaultsUponSeniorSecurities_66477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664772">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MineSafetyDisclosures_18187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181870">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5OtherInformation_98485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984856">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6Exhibits_688677">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688677">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976" w:type="dxa"/>
            <w:tcBorders/>
            <w:vAlign w:val="center"/>
          </w:tcPr>
          <w:p>
            <w:pPr>
              <w:pStyle w:val="TableContents"/>
              <w:pBdr/>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SIGNATURES_730556">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Quarterly Report on Form 10-Q, unless otherwise stated or as the context otherwise requires, references to “Alumis,” “the Company,” “we,” “us,” “our” and similar references refer to Alumis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Quarterly Report on Form 10-Q also contains registered marks, trademarks and trade names of other companies. All other trademarks, registered marks and trade names appearing in this report are the property of their respective holders.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SPECIALNOTEREGARDINGFORWARDLOOKINGSTATEM"/>
      <w:bookmarkStart w:id="36" w:name="_da4374a2_e59d_4598_b4d8_e153fd0b10bb"/>
      <w:bookmarkEnd w:id="35"/>
      <w:bookmarkEnd w:id="36"/>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U.S. Private Securities Litigation Reform Act of 1995 and Section 21E of the Securities Exchange Act of 1934, as amended (the “Exchange Act”) that involve substantial risks and uncertainties.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Quarterly Report on Form 10-Q,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or other actions and related regulatory authority responses, including our plans to submit a New Drug Application (“NDA”) for envudeucitinib (“envu”), formerly known as ESK-001, in moderate-to-severe plaque psoriasis (“PsO”) in the fourth quarter of 2026;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our product candidate envu to transform the treatment landscape for IL-23/IL-17—driven diseases as well as those driven by Type I interferon;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envu to meaningfully elevate care for and effectively reduce the full burden of disease for patients with PsO;</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the research and development of our product candidates, including the timing of clinical trial initiation and related preparatory work, clinical trial progress and results (for example, the timing of our topline readout in our LUMUS Phase 2b trial), as well as clinical trial completion;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and any commercialization of our product candidates;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our competitors and our industry, including the success of competing product candidates and therapies that are, or may become, available;</w:t>
            </w:r>
          </w:p>
        </w:tc>
      </w:tr>
    </w:tbl>
    <w:tbl>
      <w:tblPr>
        <w:tblW w:w="6737" w:type="dxa"/>
        <w:jc w:val="left"/>
        <w:tblInd w:w="0" w:type="dxa"/>
        <w:tblLayout w:type="fixed"/>
        <w:tblCellMar>
          <w:top w:w="0" w:type="dxa"/>
          <w:left w:w="0" w:type="dxa"/>
          <w:bottom w:w="0" w:type="dxa"/>
          <w:right w:w="0" w:type="dxa"/>
        </w:tblCellMar>
      </w:tblPr>
      <w:tblGrid>
        <w:gridCol w:w="271"/>
        <w:gridCol w:w="6466"/>
      </w:tblGrid>
      <w:tr>
        <w:trPr/>
        <w:tc>
          <w:tcPr>
            <w:tcW w:w="271" w:type="dxa"/>
            <w:tcBorders/>
            <w:vAlign w:val="center"/>
          </w:tcPr>
          <w:p>
            <w:pPr>
              <w:pStyle w:val="TableContents"/>
              <w:bidi w:val="0"/>
              <w:spacing w:before="0" w:after="283"/>
              <w:jc w:val="left"/>
              <w:rPr/>
            </w:pPr>
            <w:r>
              <w:rPr/>
              <w:t>●</w:t>
            </w:r>
          </w:p>
        </w:tc>
        <w:tc>
          <w:tcPr>
            <w:tcW w:w="6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our strategic vision and planned product candidate pipeline;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the success, cost and timing of our product candidate development activities and current and future clinical trials and studies, including study design;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and willingness of various third parties to engage in research and development activities involving our product candidates, and our ability to leverage those activities;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from our existing or any future license or collaboration agreements, including the receipt of potential co-development, milestone and royalty payments;</w:t>
            </w:r>
          </w:p>
        </w:tc>
      </w:tr>
    </w:tbl>
    <w:tbl>
      <w:tblPr>
        <w:tblW w:w="7982" w:type="dxa"/>
        <w:jc w:val="left"/>
        <w:tblInd w:w="0" w:type="dxa"/>
        <w:tblLayout w:type="fixed"/>
        <w:tblCellMar>
          <w:top w:w="0" w:type="dxa"/>
          <w:left w:w="0" w:type="dxa"/>
          <w:bottom w:w="0" w:type="dxa"/>
          <w:right w:w="0" w:type="dxa"/>
        </w:tblCellMar>
      </w:tblPr>
      <w:tblGrid>
        <w:gridCol w:w="271"/>
        <w:gridCol w:w="7711"/>
      </w:tblGrid>
      <w:tr>
        <w:trPr/>
        <w:tc>
          <w:tcPr>
            <w:tcW w:w="271" w:type="dxa"/>
            <w:tcBorders/>
            <w:vAlign w:val="center"/>
          </w:tcPr>
          <w:p>
            <w:pPr>
              <w:pStyle w:val="TableContents"/>
              <w:bidi w:val="0"/>
              <w:spacing w:before="0" w:after="283"/>
              <w:jc w:val="left"/>
              <w:rPr/>
            </w:pPr>
            <w:r>
              <w:rPr/>
              <w:t>●</w:t>
            </w:r>
          </w:p>
        </w:tc>
        <w:tc>
          <w:tcPr>
            <w:tcW w:w="7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ease of administration associated with our product candidates;</w:t>
            </w:r>
          </w:p>
        </w:tc>
      </w:tr>
    </w:tbl>
    <w:tbl>
      <w:tblPr>
        <w:tblW w:w="7922" w:type="dxa"/>
        <w:jc w:val="left"/>
        <w:tblInd w:w="0" w:type="dxa"/>
        <w:tblLayout w:type="fixed"/>
        <w:tblCellMar>
          <w:top w:w="0" w:type="dxa"/>
          <w:left w:w="0" w:type="dxa"/>
          <w:bottom w:w="0" w:type="dxa"/>
          <w:right w:w="0" w:type="dxa"/>
        </w:tblCellMar>
      </w:tblPr>
      <w:tblGrid>
        <w:gridCol w:w="271"/>
        <w:gridCol w:w="7651"/>
      </w:tblGrid>
      <w:tr>
        <w:trPr/>
        <w:tc>
          <w:tcPr>
            <w:tcW w:w="271" w:type="dxa"/>
            <w:tcBorders/>
            <w:vAlign w:val="center"/>
          </w:tcPr>
          <w:p>
            <w:pPr>
              <w:pStyle w:val="TableContents"/>
              <w:bidi w:val="0"/>
              <w:spacing w:before="0" w:after="283"/>
              <w:jc w:val="left"/>
              <w:rPr/>
            </w:pPr>
            <w:r>
              <w:rPr/>
              <w:t>●</w:t>
            </w:r>
          </w:p>
        </w:tc>
        <w:tc>
          <w:tcPr>
            <w:tcW w:w="7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patient compatibility associated with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67" w:type="dxa"/>
        <w:jc w:val="left"/>
        <w:tblInd w:w="0" w:type="dxa"/>
        <w:tblLayout w:type="fixed"/>
        <w:tblCellMar>
          <w:top w:w="0" w:type="dxa"/>
          <w:left w:w="0" w:type="dxa"/>
          <w:bottom w:w="0" w:type="dxa"/>
          <w:right w:w="0" w:type="dxa"/>
        </w:tblCellMar>
      </w:tblPr>
      <w:tblGrid>
        <w:gridCol w:w="271"/>
        <w:gridCol w:w="8896"/>
      </w:tblGrid>
      <w:tr>
        <w:trPr/>
        <w:tc>
          <w:tcPr>
            <w:tcW w:w="271" w:type="dxa"/>
            <w:tcBorders/>
            <w:vAlign w:val="center"/>
          </w:tcPr>
          <w:p>
            <w:pPr>
              <w:pStyle w:val="TableContents"/>
              <w:bidi w:val="0"/>
              <w:spacing w:before="0" w:after="283"/>
              <w:jc w:val="left"/>
              <w:rPr/>
            </w:pPr>
            <w:r>
              <w:rPr/>
              <w:t>●</w:t>
            </w:r>
          </w:p>
        </w:tc>
        <w:tc>
          <w:tcPr>
            <w:tcW w:w="8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the potential markets for our product candidates and our ability to serve those markets;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the potential of our product candidates to demonstrate differentiation from other approved therapies or product candidates in development;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obtain and, if approved, maintain regulatory approval of any of our product candidates, and any related restrictions, limitations and/or warnings in the label of any approved product candidate;</w:t>
            </w:r>
          </w:p>
        </w:tc>
      </w:tr>
    </w:tbl>
    <w:tbl>
      <w:tblPr>
        <w:tblW w:w="4682" w:type="dxa"/>
        <w:jc w:val="left"/>
        <w:tblInd w:w="0" w:type="dxa"/>
        <w:tblLayout w:type="fixed"/>
        <w:tblCellMar>
          <w:top w:w="0" w:type="dxa"/>
          <w:left w:w="0" w:type="dxa"/>
          <w:bottom w:w="0" w:type="dxa"/>
          <w:right w:w="0" w:type="dxa"/>
        </w:tblCellMar>
      </w:tblPr>
      <w:tblGrid>
        <w:gridCol w:w="271"/>
        <w:gridCol w:w="4411"/>
      </w:tblGrid>
      <w:tr>
        <w:trPr/>
        <w:tc>
          <w:tcPr>
            <w:tcW w:w="271" w:type="dxa"/>
            <w:tcBorders/>
            <w:vAlign w:val="center"/>
          </w:tcPr>
          <w:p>
            <w:pPr>
              <w:pStyle w:val="TableContents"/>
              <w:bidi w:val="0"/>
              <w:spacing w:before="0" w:after="283"/>
              <w:jc w:val="left"/>
              <w:rPr/>
            </w:pPr>
            <w:r>
              <w:rPr/>
              <w:t>●</w:t>
            </w:r>
          </w:p>
        </w:tc>
        <w:tc>
          <w:tcPr>
            <w:tcW w:w="4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any approved products;</w:t>
            </w:r>
          </w:p>
        </w:tc>
      </w:tr>
    </w:tbl>
    <w:tbl>
      <w:tblPr>
        <w:tblW w:w="5882" w:type="dxa"/>
        <w:jc w:val="left"/>
        <w:tblInd w:w="0" w:type="dxa"/>
        <w:tblLayout w:type="fixed"/>
        <w:tblCellMar>
          <w:top w:w="0" w:type="dxa"/>
          <w:left w:w="0" w:type="dxa"/>
          <w:bottom w:w="0" w:type="dxa"/>
          <w:right w:w="0" w:type="dxa"/>
        </w:tblCellMar>
      </w:tblPr>
      <w:tblGrid>
        <w:gridCol w:w="271"/>
        <w:gridCol w:w="5611"/>
      </w:tblGrid>
      <w:tr>
        <w:trPr/>
        <w:tc>
          <w:tcPr>
            <w:tcW w:w="271" w:type="dxa"/>
            <w:tcBorders/>
            <w:vAlign w:val="center"/>
          </w:tcPr>
          <w:p>
            <w:pPr>
              <w:pStyle w:val="TableContents"/>
              <w:bidi w:val="0"/>
              <w:spacing w:before="0" w:after="283"/>
              <w:jc w:val="left"/>
              <w:rPr/>
            </w:pPr>
            <w:r>
              <w:rPr/>
              <w:t>●</w:t>
            </w:r>
          </w:p>
        </w:tc>
        <w:tc>
          <w:tcPr>
            <w:tcW w:w="5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any approved products;</w:t>
            </w:r>
          </w:p>
        </w:tc>
      </w:tr>
    </w:tbl>
    <w:tbl>
      <w:tblPr>
        <w:tblW w:w="4142" w:type="dxa"/>
        <w:jc w:val="left"/>
        <w:tblInd w:w="0" w:type="dxa"/>
        <w:tblLayout w:type="fixed"/>
        <w:tblCellMar>
          <w:top w:w="0" w:type="dxa"/>
          <w:left w:w="0" w:type="dxa"/>
          <w:bottom w:w="0" w:type="dxa"/>
          <w:right w:w="0" w:type="dxa"/>
        </w:tblCellMar>
      </w:tblPr>
      <w:tblGrid>
        <w:gridCol w:w="271"/>
        <w:gridCol w:w="3871"/>
      </w:tblGrid>
      <w:tr>
        <w:trPr/>
        <w:tc>
          <w:tcPr>
            <w:tcW w:w="271"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personnel;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our future revenue, as well as our future operating expenses, capital requirements and needs for additional financing;</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maintain, protect and enforce intellectual property protection for our product candidates and technology and not infringe, misappropriate or otherwise violate the intellectual property of others;</w:t>
            </w:r>
          </w:p>
        </w:tc>
      </w:tr>
    </w:tbl>
    <w:tbl>
      <w:tblPr>
        <w:tblW w:w="5912" w:type="dxa"/>
        <w:jc w:val="left"/>
        <w:tblInd w:w="0" w:type="dxa"/>
        <w:tblLayout w:type="fixed"/>
        <w:tblCellMar>
          <w:top w:w="0" w:type="dxa"/>
          <w:left w:w="0" w:type="dxa"/>
          <w:bottom w:w="0" w:type="dxa"/>
          <w:right w:w="0" w:type="dxa"/>
        </w:tblCellMar>
      </w:tblPr>
      <w:tblGrid>
        <w:gridCol w:w="271"/>
        <w:gridCol w:w="5641"/>
      </w:tblGrid>
      <w:tr>
        <w:trPr/>
        <w:tc>
          <w:tcPr>
            <w:tcW w:w="271" w:type="dxa"/>
            <w:tcBorders/>
            <w:vAlign w:val="center"/>
          </w:tcPr>
          <w:p>
            <w:pPr>
              <w:pStyle w:val="TableContents"/>
              <w:bidi w:val="0"/>
              <w:spacing w:before="0" w:after="283"/>
              <w:jc w:val="left"/>
              <w:rPr/>
            </w:pPr>
            <w:r>
              <w:rPr/>
              <w:t>●</w:t>
            </w:r>
          </w:p>
        </w:tc>
        <w:tc>
          <w:tcPr>
            <w:tcW w:w="5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period during which we qualify as an “emerging growth company” under the Jumpstart Our Business Startups Act of 2012, as amended (the “JOBS Act”), and a “smaller reporting company,” as defined in Rule 12b-2 of the Exchange Act; and</w:t>
            </w:r>
          </w:p>
        </w:tc>
      </w:tr>
    </w:tbl>
    <w:tbl>
      <w:tblPr>
        <w:tblW w:w="7457" w:type="dxa"/>
        <w:jc w:val="left"/>
        <w:tblInd w:w="0" w:type="dxa"/>
        <w:tblLayout w:type="fixed"/>
        <w:tblCellMar>
          <w:top w:w="0" w:type="dxa"/>
          <w:left w:w="0" w:type="dxa"/>
          <w:bottom w:w="0" w:type="dxa"/>
          <w:right w:w="0" w:type="dxa"/>
        </w:tblCellMar>
      </w:tblPr>
      <w:tblGrid>
        <w:gridCol w:w="271"/>
        <w:gridCol w:w="7186"/>
      </w:tblGrid>
      <w:tr>
        <w:trPr/>
        <w:tc>
          <w:tcPr>
            <w:tcW w:w="271" w:type="dxa"/>
            <w:tcBorders/>
            <w:vAlign w:val="center"/>
          </w:tcPr>
          <w:p>
            <w:pPr>
              <w:pStyle w:val="TableContents"/>
              <w:bidi w:val="0"/>
              <w:spacing w:before="0" w:after="283"/>
              <w:jc w:val="left"/>
              <w:rPr/>
            </w:pPr>
            <w:r>
              <w:rPr/>
              <w:t>●</w:t>
            </w:r>
          </w:p>
        </w:tc>
        <w:tc>
          <w:tcPr>
            <w:tcW w:w="7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belief and any statement of assumptions underlying any of the foregoing.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refer to the section titled “Risk Factors” in Part II, Item 1A of this Quarterly Report on Form 10-Q for a discussion of other important factors that may cause our actual results to differ materially from those expressed or implied by our forward-looking statements. As a result of these factors, we cannot assure you that the forward-looking statements in this Quarterly Report on Form 10-Q will prove to be accurate.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7" w:name="PARTIFINANCIALINFORMATION_928371"/>
      <w:bookmarkStart w:id="38" w:name="_abfe0782_f55c_4136_985e_21e207f4e9a4"/>
      <w:bookmarkEnd w:id="37"/>
      <w:bookmarkEnd w:id="38"/>
      <w:r>
        <w:rPr>
          <w:rFonts w:ascii="Times New Roman;Times;serif" w:hAnsi="Times New Roman;Times;serif"/>
          <w:b/>
          <w:sz w:val="20"/>
        </w:rPr>
        <w:t>PART I—FINANCIAL INFORMATION</w:t>
      </w:r>
    </w:p>
    <w:p>
      <w:pPr>
        <w:pStyle w:val="TextBody"/>
        <w:bidi w:val="0"/>
        <w:spacing w:before="0" w:after="200"/>
        <w:ind w:left="0" w:right="0" w:hanging="0"/>
        <w:jc w:val="left"/>
        <w:rPr>
          <w:rFonts w:ascii="Times New Roman;Times;serif" w:hAnsi="Times New Roman;Times;serif"/>
          <w:b/>
          <w:sz w:val="20"/>
        </w:rPr>
      </w:pPr>
      <w:bookmarkStart w:id="39" w:name="Item1FinancialStatements_302878"/>
      <w:bookmarkEnd w:id="39"/>
      <w:r>
        <w:rPr>
          <w:rFonts w:ascii="Times New Roman;Times;serif" w:hAnsi="Times New Roman;Times;serif"/>
          <w:b/>
          <w:sz w:val="20"/>
        </w:rPr>
        <w:t>Item 1.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ALUMIS INC.</w:t>
      </w:r>
    </w:p>
    <w:p>
      <w:pPr>
        <w:pStyle w:val="TextBody"/>
        <w:bidi w:val="0"/>
        <w:spacing w:before="0" w:after="240"/>
        <w:ind w:left="0" w:right="0" w:hanging="0"/>
        <w:jc w:val="center"/>
        <w:rPr>
          <w:rFonts w:ascii="Times New Roman;Times;serif" w:hAnsi="Times New Roman;Times;serif"/>
          <w:b/>
          <w:sz w:val="20"/>
        </w:rPr>
      </w:pPr>
      <w:bookmarkStart w:id="40" w:name="CONDENSEDCONSOLIDATEDBALANCESHEETS_55521"/>
      <w:bookmarkEnd w:id="40"/>
      <w:r>
        <w:rPr>
          <w:rFonts w:ascii="Times New Roman;Times;serif" w:hAnsi="Times New Roman;Times;serif"/>
          <w:b/>
          <w:sz w:val="20"/>
        </w:rPr>
        <w:t xml:space="preserve">CONDENSED CONSOLIDATED BALANCE SHEETS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1" w:name="Tc_9Q5jAV8jzE20x4Dx9yGcbA_40_5"/>
      <w:bookmarkStart w:id="42" w:name="Tc_Z4iyJS5g0kWLxI9qZZMgnw_40_2"/>
      <w:bookmarkStart w:id="43" w:name="Tc_3I6rnZaXUUmW0YDTdTM8qA_40_0"/>
      <w:bookmarkStart w:id="44" w:name="Tc_jpaXgooDiEqX7segsXNisg_39_0"/>
      <w:bookmarkStart w:id="45" w:name="Tc_nIO54CCl2kWb4TD_9eQohw_38_0"/>
      <w:bookmarkStart w:id="46" w:name="Tc_cB1X0WAhUk6Y3nvmK7EK_g_37_0"/>
      <w:bookmarkStart w:id="47" w:name="Tc_ayutHEXPa0uWu5MydAVLrA_36_0"/>
      <w:bookmarkStart w:id="48" w:name="Tc_zcJ-NjCNLUuynASJJdA6JA_35_3"/>
      <w:bookmarkStart w:id="49" w:name="Tc_WiG50GI9o02wv0xT-9xMRw_35_0"/>
      <w:bookmarkStart w:id="50" w:name="Tc_dNHnATEnOkGum9_y6owHTA_34_0"/>
      <w:bookmarkStart w:id="51" w:name="Tc_0WTLyxmdaUeSjvY8YAD_Ug_33_0"/>
      <w:bookmarkStart w:id="52" w:name="Tc_QOrk8Y1r4UaO5-Rnz4XwKg_32_0"/>
      <w:bookmarkStart w:id="53" w:name="Tc_eq3UB-BpPUmkW5Txw2xbYg_31_0"/>
      <w:bookmarkStart w:id="54" w:name="Tc_ARZBji0jiUmRpaNPfimpWg_30_0"/>
      <w:bookmarkStart w:id="55" w:name="Tc_EkQxDodnYE2EaNNTZc36rg_29_0"/>
      <w:bookmarkStart w:id="56" w:name="Tc_cz5OV4__rEu84QOoR-pc3A_28_3"/>
      <w:bookmarkStart w:id="57" w:name="Tc_5Vcd0XDWpkmi4ChwqjJgvA_28_0"/>
      <w:bookmarkStart w:id="58" w:name="Tc_jw3qu3aBakezeL3V3NRrRw_27_0"/>
      <w:bookmarkStart w:id="59" w:name="Tc_G1YpZNbDeU6l5hiWK3E-JQ_26_0"/>
      <w:bookmarkStart w:id="60" w:name="Tc_AqdDCG8x7EqkE-2C1y4QFw_25_0"/>
      <w:bookmarkStart w:id="61" w:name="Tc_t36f9J6O6ESNip1w4w4jcw_24_0"/>
      <w:bookmarkStart w:id="62" w:name="Tc_wshpNcxdekOOhbqbfLgXhg_23_0"/>
      <w:bookmarkStart w:id="63" w:name="Tc__z_RUqEo5keBBiLWgzYe5A_22_0"/>
      <w:bookmarkStart w:id="64" w:name="Tc_CozNhzbboka4ldO4cTXkPg_21_0"/>
      <w:bookmarkStart w:id="65" w:name="Tc_KQy7mL3PikmNb5VfB1aOfA_20_0"/>
      <w:bookmarkStart w:id="66" w:name="Tc_w6Ms8_s-NkOytC6cy7jCPQ_19_5"/>
      <w:bookmarkStart w:id="67" w:name="Tc_6C0UBZ5s_ESePIVRCfv4jg_19_2"/>
      <w:bookmarkStart w:id="68" w:name="Tc_cIEfhLE7Wki0-TZCraD23Q_19_0"/>
      <w:bookmarkStart w:id="69" w:name="Tc__VdRxXufv0C8acaKNXfdjg_18_0"/>
      <w:bookmarkStart w:id="70" w:name="Tc_Um1D8S4-qUGR4kBycA6Dyw_17_0"/>
      <w:bookmarkStart w:id="71" w:name="Tc_07t9JIlpE0iHCyWLnd7AuA_16_5"/>
      <w:bookmarkStart w:id="72" w:name="Tc_8WJ_W2fZiE6vy-uia9AVrA_16_2"/>
      <w:bookmarkStart w:id="73" w:name="Tc_FYzbyO52Kk-0ySJGl9pB7g_16_0"/>
      <w:bookmarkStart w:id="74" w:name="Tc_3TZAWV0mOEqStVsc1NTHiQ_15_0"/>
      <w:bookmarkStart w:id="75" w:name="Tc_VA71XwFvwkmWrNfwM2wOLA_14_0"/>
      <w:bookmarkStart w:id="76" w:name="Tc_T8DU6IePrUyFxh-Km0T3Mg_13_0"/>
      <w:bookmarkStart w:id="77" w:name="Tc_HjBZvFdBwUmNV0OPAbtOHQ_12_0"/>
      <w:bookmarkStart w:id="78" w:name="Tc_juiVOcw-O0WJrd8YYhoeZw_11_0"/>
      <w:bookmarkStart w:id="79" w:name="Tc_DkkyKVqSgkSWJ8sTmqL0iA_10_0"/>
      <w:bookmarkStart w:id="80" w:name="Tc_bmIDlPLzB0e-j33VD7KFQA_9_0"/>
      <w:bookmarkStart w:id="81" w:name="Tc_JZYGw6A7M02ycAoTrWY07w_8_0"/>
      <w:bookmarkStart w:id="82" w:name="Tc_DUaJfaDVqE22lMIfFx8z_Q_7_0"/>
      <w:bookmarkStart w:id="83" w:name="Tc_oPASwPMk2EiypMt86R34QQ_6_3"/>
      <w:bookmarkStart w:id="84" w:name="Tc_VuAMIo7zHEiMhBmBZnrx9w_6_0"/>
      <w:bookmarkStart w:id="85" w:name="Tc_OKXW5f5aD0u6mt1EtnMJ2w_5_5"/>
      <w:bookmarkStart w:id="86" w:name="Tc_mxhIUQBhSUeSboNVX32aJg_5_2"/>
      <w:bookmarkStart w:id="87" w:name="Tc_c38xRfATQkmjK7fqJxH0kQ_5_0"/>
      <w:bookmarkStart w:id="88" w:name="Tc_USeyCinakEG-R0OY7BPlEA_4_0"/>
      <w:bookmarkStart w:id="89" w:name="Tc_05E8WgQzokCW05IydhrgHQ_3_0"/>
      <w:bookmarkStart w:id="90" w:name="Tc_RSl4M_pLx0afHJFyjTrSLg_2_5"/>
      <w:bookmarkStart w:id="91" w:name="Tc_TX8rYjKnJ0qI_jo5fJ-k1A_2_2"/>
      <w:bookmarkStart w:id="92" w:name="Tc_HwtApQbcdU2gMKHTIVjDtQ_2_0"/>
      <w:bookmarkStart w:id="93" w:name="Tc_BLeYws4EXU-zMJDnKSzKcQ_1_5"/>
      <w:bookmarkStart w:id="94" w:name="Tc_pN1oVxWCL0CcGMe1Lb8dFg_1_2"/>
      <w:bookmarkStart w:id="95" w:name="_18ab89cd_c35d_42b5_9a5d_a89bee7b5e22"/>
      <w:bookmarkStart w:id="96" w:name="Tc_9Q5jAV8jzE20x4Dx9yGcbA_40_5"/>
      <w:bookmarkStart w:id="97" w:name="Tc_Z4iyJS5g0kWLxI9qZZMgnw_40_2"/>
      <w:bookmarkStart w:id="98" w:name="Tc_3I6rnZaXUUmW0YDTdTM8qA_40_0"/>
      <w:bookmarkStart w:id="99" w:name="Tc_jpaXgooDiEqX7segsXNisg_39_0"/>
      <w:bookmarkStart w:id="100" w:name="Tc_nIO54CCl2kWb4TD_9eQohw_38_0"/>
      <w:bookmarkStart w:id="101" w:name="Tc_cB1X0WAhUk6Y3nvmK7EK_g_37_0"/>
      <w:bookmarkStart w:id="102" w:name="Tc_ayutHEXPa0uWu5MydAVLrA_36_0"/>
      <w:bookmarkStart w:id="103" w:name="Tc_zcJ-NjCNLUuynASJJdA6JA_35_3"/>
      <w:bookmarkStart w:id="104" w:name="Tc_WiG50GI9o02wv0xT-9xMRw_35_0"/>
      <w:bookmarkStart w:id="105" w:name="Tc_dNHnATEnOkGum9_y6owHTA_34_0"/>
      <w:bookmarkStart w:id="106" w:name="Tc_0WTLyxmdaUeSjvY8YAD_Ug_33_0"/>
      <w:bookmarkStart w:id="107" w:name="Tc_QOrk8Y1r4UaO5-Rnz4XwKg_32_0"/>
      <w:bookmarkStart w:id="108" w:name="Tc_eq3UB-BpPUmkW5Txw2xbYg_31_0"/>
      <w:bookmarkStart w:id="109" w:name="Tc_ARZBji0jiUmRpaNPfimpWg_30_0"/>
      <w:bookmarkStart w:id="110" w:name="Tc_EkQxDodnYE2EaNNTZc36rg_29_0"/>
      <w:bookmarkStart w:id="111" w:name="Tc_cz5OV4__rEu84QOoR-pc3A_28_3"/>
      <w:bookmarkStart w:id="112" w:name="Tc_5Vcd0XDWpkmi4ChwqjJgvA_28_0"/>
      <w:bookmarkStart w:id="113" w:name="Tc_jw3qu3aBakezeL3V3NRrRw_27_0"/>
      <w:bookmarkStart w:id="114" w:name="Tc_G1YpZNbDeU6l5hiWK3E-JQ_26_0"/>
      <w:bookmarkStart w:id="115" w:name="Tc_AqdDCG8x7EqkE-2C1y4QFw_25_0"/>
      <w:bookmarkStart w:id="116" w:name="Tc_t36f9J6O6ESNip1w4w4jcw_24_0"/>
      <w:bookmarkStart w:id="117" w:name="Tc_wshpNcxdekOOhbqbfLgXhg_23_0"/>
      <w:bookmarkStart w:id="118" w:name="Tc__z_RUqEo5keBBiLWgzYe5A_22_0"/>
      <w:bookmarkStart w:id="119" w:name="Tc_CozNhzbboka4ldO4cTXkPg_21_0"/>
      <w:bookmarkStart w:id="120" w:name="Tc_KQy7mL3PikmNb5VfB1aOfA_20_0"/>
      <w:bookmarkStart w:id="121" w:name="Tc_w6Ms8_s-NkOytC6cy7jCPQ_19_5"/>
      <w:bookmarkStart w:id="122" w:name="Tc_6C0UBZ5s_ESePIVRCfv4jg_19_2"/>
      <w:bookmarkStart w:id="123" w:name="Tc_cIEfhLE7Wki0-TZCraD23Q_19_0"/>
      <w:bookmarkStart w:id="124" w:name="Tc__VdRxXufv0C8acaKNXfdjg_18_0"/>
      <w:bookmarkStart w:id="125" w:name="Tc_Um1D8S4-qUGR4kBycA6Dyw_17_0"/>
      <w:bookmarkStart w:id="126" w:name="Tc_07t9JIlpE0iHCyWLnd7AuA_16_5"/>
      <w:bookmarkStart w:id="127" w:name="Tc_8WJ_W2fZiE6vy-uia9AVrA_16_2"/>
      <w:bookmarkStart w:id="128" w:name="Tc_FYzbyO52Kk-0ySJGl9pB7g_16_0"/>
      <w:bookmarkStart w:id="129" w:name="Tc_3TZAWV0mOEqStVsc1NTHiQ_15_0"/>
      <w:bookmarkStart w:id="130" w:name="Tc_VA71XwFvwkmWrNfwM2wOLA_14_0"/>
      <w:bookmarkStart w:id="131" w:name="Tc_T8DU6IePrUyFxh-Km0T3Mg_13_0"/>
      <w:bookmarkStart w:id="132" w:name="Tc_HjBZvFdBwUmNV0OPAbtOHQ_12_0"/>
      <w:bookmarkStart w:id="133" w:name="Tc_juiVOcw-O0WJrd8YYhoeZw_11_0"/>
      <w:bookmarkStart w:id="134" w:name="Tc_DkkyKVqSgkSWJ8sTmqL0iA_10_0"/>
      <w:bookmarkStart w:id="135" w:name="Tc_bmIDlPLzB0e-j33VD7KFQA_9_0"/>
      <w:bookmarkStart w:id="136" w:name="Tc_JZYGw6A7M02ycAoTrWY07w_8_0"/>
      <w:bookmarkStart w:id="137" w:name="Tc_DUaJfaDVqE22lMIfFx8z_Q_7_0"/>
      <w:bookmarkStart w:id="138" w:name="Tc_oPASwPMk2EiypMt86R34QQ_6_3"/>
      <w:bookmarkStart w:id="139" w:name="Tc_VuAMIo7zHEiMhBmBZnrx9w_6_0"/>
      <w:bookmarkStart w:id="140" w:name="Tc_OKXW5f5aD0u6mt1EtnMJ2w_5_5"/>
      <w:bookmarkStart w:id="141" w:name="Tc_mxhIUQBhSUeSboNVX32aJg_5_2"/>
      <w:bookmarkStart w:id="142" w:name="Tc_c38xRfATQkmjK7fqJxH0kQ_5_0"/>
      <w:bookmarkStart w:id="143" w:name="Tc_USeyCinakEG-R0OY7BPlEA_4_0"/>
      <w:bookmarkStart w:id="144" w:name="Tc_05E8WgQzokCW05IydhrgHQ_3_0"/>
      <w:bookmarkStart w:id="145" w:name="Tc_RSl4M_pLx0afHJFyjTrSLg_2_5"/>
      <w:bookmarkStart w:id="146" w:name="Tc_TX8rYjKnJ0qI_jo5fJ-k1A_2_2"/>
      <w:bookmarkStart w:id="147" w:name="Tc_HwtApQbcdU2gMKHTIVjDtQ_2_0"/>
      <w:bookmarkStart w:id="148" w:name="Tc_BLeYws4EXU-zMJDnKSzKcQ_1_5"/>
      <w:bookmarkStart w:id="149" w:name="Tc_pN1oVxWCL0CcGMe1Lb8dFg_1_2"/>
      <w:bookmarkStart w:id="150" w:name="_18ab89cd_c35d_42b5_9a5d_a89bee7b5e22"/>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7284"/>
        <w:gridCol w:w="346"/>
        <w:gridCol w:w="196"/>
        <w:gridCol w:w="906"/>
        <w:gridCol w:w="346"/>
        <w:gridCol w:w="206"/>
        <w:gridCol w:w="921"/>
      </w:tblGrid>
      <w:tr>
        <w:trPr/>
        <w:tc>
          <w:tcPr>
            <w:tcW w:w="7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25340" cy="175260"/>
                      <wp:effectExtent l="0" t="0" r="0" b="0"/>
                      <wp:wrapNone/>
                      <wp:docPr id="5" name="Frame5"/>
                      <a:graphic xmlns:a="http://schemas.openxmlformats.org/drawingml/2006/main">
                        <a:graphicData uri="http://schemas.microsoft.com/office/word/2010/wordprocessingShape">
                          <wps:wsp>
                            <wps:cNvSpPr txBox="1"/>
                            <wps:spPr>
                              <a:xfrm>
                                <a:off x="0" y="0"/>
                                <a:ext cx="4625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75310" cy="175260"/>
                      <wp:effectExtent l="0" t="0" r="0" b="0"/>
                      <wp:wrapNone/>
                      <wp:docPr id="8" name="Frame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4835" cy="175260"/>
                      <wp:effectExtent l="0" t="0" r="0" b="0"/>
                      <wp:wrapNone/>
                      <wp:docPr id="11" name="Frame1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346" w:type="dxa"/>
            <w:tcBorders/>
            <w:vAlign w:val="center"/>
          </w:tcPr>
          <w:p>
            <w:pPr>
              <w:pStyle w:val="TableContents"/>
              <w:bidi w:val="0"/>
              <w:spacing w:before="0" w:after="1"/>
              <w:ind w:left="0" w:right="0" w:hanging="0"/>
              <w:jc w:val="left"/>
              <w:rPr/>
            </w:pPr>
            <w:r>
              <w:rPr/>
              <w:t>​</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  ​</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pPr>
            <w:r>
              <w:rPr/>
              <w:t>  ​</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63,706</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89,670</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Marketable securities,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438,587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218,831</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prepaid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4,388</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2,909</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prepaid expenses and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6,740</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514,084</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318,232</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1,301</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16,847</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18,190</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50,959</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17,270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16,971</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6,287</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560,618</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411,940</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  ​</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  ​</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12,800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10,106</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35,572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34,781</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22,303</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1,458</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4,822</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4,670</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76,233</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73,318</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31,605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32,244</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2,140</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Share repurchase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2,611</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108,460</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110,643</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  ​</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  ​</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$0.0001 par value; 50,000,000 shares authorized, zero shares issued and outstanding as of June 30, 2026 and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voting, $0.0001 par value; 492,815,092 voting shares authorized as of June 30, 2026 and December 31, 2025; 124,445,537 and 99,084,365 voting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non-voting, $0.0001 par value; 7,184,908 non-voting shares authorized as of June 30, 2026 and December 31, 2025; 4,059,908 and 5,622,408 non-voting 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1,589,979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1,202,975</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(1,137,150)</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(901,876)</w:t>
            </w:r>
          </w:p>
        </w:tc>
      </w:tr>
      <w:tr>
        <w:trPr/>
        <w:tc>
          <w:tcPr>
            <w:tcW w:w="7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452,158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301,297</w:t>
            </w:r>
          </w:p>
        </w:tc>
      </w:tr>
      <w:tr>
        <w:trPr/>
        <w:tc>
          <w:tcPr>
            <w:tcW w:w="728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560,618</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411,940</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1" w:name="_0c956664_4662_4682_83fe_6dc518226247"/>
      <w:bookmarkEnd w:id="151"/>
      <w:r>
        <w:rPr>
          <w:rFonts w:ascii="Times New Roman;Times;serif" w:hAnsi="Times New Roman;Times;serif"/>
          <w:b/>
          <w:sz w:val="20"/>
        </w:rPr>
        <w:t>ALUMIS INC.</w:t>
      </w:r>
    </w:p>
    <w:p>
      <w:pPr>
        <w:pStyle w:val="TextBody"/>
        <w:bidi w:val="0"/>
        <w:spacing w:before="0" w:after="0"/>
        <w:ind w:left="0" w:right="0" w:hanging="0"/>
        <w:jc w:val="center"/>
        <w:rPr>
          <w:rFonts w:ascii="Times New Roman;Times;serif" w:hAnsi="Times New Roman;Times;serif"/>
          <w:b/>
          <w:sz w:val="20"/>
        </w:rPr>
      </w:pPr>
      <w:bookmarkStart w:id="152" w:name="CONDENSEDCONSOLIDATEDSTATEMENTSOFOPERATI"/>
      <w:bookmarkEnd w:id="152"/>
      <w:r>
        <w:rPr>
          <w:rFonts w:ascii="Times New Roman;Times;serif" w:hAnsi="Times New Roman;Times;serif"/>
          <w:b/>
          <w:sz w:val="20"/>
        </w:rPr>
        <w:t>CONDENSED CONSOLIDATED STATEMENTS OF OPERATIONS AND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3" w:name="Tc_QtiC5_Db6EOtZ3y5r0Gvfw_27_0"/>
      <w:bookmarkStart w:id="154" w:name="Tc_69_aTvq7JUaKhXfViaKdsA_26_0"/>
      <w:bookmarkStart w:id="155" w:name="Tc_L52uY06LWE6I14CvezxSPA_25_11"/>
      <w:bookmarkStart w:id="156" w:name="Tc_xVr6IbogfE2ekN2HP9obuA_25_8"/>
      <w:bookmarkStart w:id="157" w:name="Tc_E15w8wvUKkmGOYV10OSJrw_25_5"/>
      <w:bookmarkStart w:id="158" w:name="Tc_LmaWs9x93E-7n7piTHpo4w_25_2"/>
      <w:bookmarkStart w:id="159" w:name="Tc_L9x3jBIeWk6bSQzKG2YXcA_25_0"/>
      <w:bookmarkStart w:id="160" w:name="Tc_E-2GoHVUpE-Q1mn8l_Xw7A_24_11"/>
      <w:bookmarkStart w:id="161" w:name="Tc_e26vkiEkI0qPnEcFkhGFOA_24_8"/>
      <w:bookmarkStart w:id="162" w:name="Tc_ce8OWGPwoUiOmv54n8NRdg_24_5"/>
      <w:bookmarkStart w:id="163" w:name="Tc_xknrKXgRnkq2s2j038XWhw_24_2"/>
      <w:bookmarkStart w:id="164" w:name="Tc_lz5o0PkNfE6twfSgGpguGA_24_0"/>
      <w:bookmarkStart w:id="165" w:name="Tc_t5WXxZBlVUOqlG4XALIaOQ_23_11"/>
      <w:bookmarkStart w:id="166" w:name="Tc_Pzj1kxLBrk6qFteA3ffGaw_23_8"/>
      <w:bookmarkStart w:id="167" w:name="Tc_qWTPhZVsbkWilkPbunje2Q_23_5"/>
      <w:bookmarkStart w:id="168" w:name="Tc_VL9jqm11HUK64DhQCF8Dqw_23_2"/>
      <w:bookmarkStart w:id="169" w:name="Tc_BX5OzgAirEOx9uItvYs7xw_23_0"/>
      <w:bookmarkStart w:id="170" w:name="Tc__E6MXkJiQE2Lq4LQ1B5ryw_22_0"/>
      <w:bookmarkStart w:id="171" w:name="Tc_S2qJiflHFE-48SKYfHTZTw_21_0"/>
      <w:bookmarkStart w:id="172" w:name="Tc_sWXCzGuwlkWiWLZopC3Ldw_20_11"/>
      <w:bookmarkStart w:id="173" w:name="Tc_zPidh4JEDUCOMznewHba5w_20_8"/>
      <w:bookmarkStart w:id="174" w:name="Tc_O687bw143ECD7TgrnMVeQg_20_5"/>
      <w:bookmarkStart w:id="175" w:name="Tc_pVK-AOXtaEeuISXitHJUxw_20_2"/>
      <w:bookmarkStart w:id="176" w:name="Tc_GgGxuTLvXEWhnnum3HrskA_20_0"/>
      <w:bookmarkStart w:id="177" w:name="Tc_o2_6uy2W_USWD3yHwX5E3g_19_0"/>
      <w:bookmarkStart w:id="178" w:name="Tc_bSHLHU7K2EGNix5DT6yp2w_18_0"/>
      <w:bookmarkStart w:id="179" w:name="Tc_hsOhy6pBykS1JG6wVpkFig_17_0"/>
      <w:bookmarkStart w:id="180" w:name="Tc_pdHbbFXLb0GjiV7I2xf41g_16_0"/>
      <w:bookmarkStart w:id="181" w:name="Tc_7VRUQXTlA0KYPVkNf8t5-Q_15_0"/>
      <w:bookmarkStart w:id="182" w:name="Tc_h1PWHqAeLECYyAfpD7QCeg_14_9"/>
      <w:bookmarkStart w:id="183" w:name="Tc_p2fU-mvX9UGHpcbtvtBIaw_14_3"/>
      <w:bookmarkStart w:id="184" w:name="Tc_twK2OAIeekW9qufK6OAtTw_14_0"/>
      <w:bookmarkStart w:id="185" w:name="Tc_yxlcbNSeTUW33clfd-W-Ow_13_0"/>
      <w:bookmarkStart w:id="186" w:name="Tc_tp6anCBUfEm_NctWMVeFkA_12_0"/>
      <w:bookmarkStart w:id="187" w:name="Tc_sxoEM7S_CUWf1VEAtTF86Q_11_0"/>
      <w:bookmarkStart w:id="188" w:name="Tc_0xXm9cmjQkOIOx0DEe1jqg_10_12"/>
      <w:bookmarkStart w:id="189" w:name="Tc_khqDh9S87US4wBt3nq8fcw_10_6"/>
      <w:bookmarkStart w:id="190" w:name="Tc_4qNqaqHVI0iQU9_uOxCfiw_10_0"/>
      <w:bookmarkStart w:id="191" w:name="Tc_GK1pRPoSK0Wh2xjwCA7yCQ_9_0"/>
      <w:bookmarkStart w:id="192" w:name="Tc_8JuoTHBjv0-9LBBU3jzY9w_8_0"/>
      <w:bookmarkStart w:id="193" w:name="Tc_vq5JSddS0EWuPhUJ-6TRyA_7_0"/>
      <w:bookmarkStart w:id="194" w:name="Tc_0dSdiPQvr0-s9Vx4vpXJow_6_0"/>
      <w:bookmarkStart w:id="195" w:name="Tc_dqhtFmYEDECcPUm_SWo1Pw_5_0"/>
      <w:bookmarkStart w:id="196" w:name="Tc_iCseikRVdUKEJna_Xk6GsQ_4_11"/>
      <w:bookmarkStart w:id="197" w:name="Tc_ymdjFZeAykGEzcPnwH9PXw_4_9"/>
      <w:bookmarkStart w:id="198" w:name="Tc_z0epcfa420CVL8a1B6Dssw_4_8"/>
      <w:bookmarkStart w:id="199" w:name="Tc_Y0dZUj9Ijkmkc_igWIU9Vg_4_6"/>
      <w:bookmarkStart w:id="200" w:name="Tc_9Sec-0LygkKvMntBOk0bpA_4_5"/>
      <w:bookmarkStart w:id="201" w:name="Tc_b_aYLRh2R0m-Wl-fDVgNWw_4_3"/>
      <w:bookmarkStart w:id="202" w:name="Tc_sJ_KF9U7tESfLrgKP1bM7Q_4_2"/>
      <w:bookmarkStart w:id="203" w:name="Tc_oKrhDz-By06L8t97Fb1eiQ_4_0"/>
      <w:bookmarkStart w:id="204" w:name="Tc_30sYPrAM3k-exQpwq6V1gg_3_0"/>
      <w:bookmarkStart w:id="205" w:name="Tc_HoSt6HX-YU-RX0PT77YQ7g_2_11"/>
      <w:bookmarkStart w:id="206" w:name="Tc_nqE6Y9pFqkuRNPR63DvgxQ_2_8"/>
      <w:bookmarkStart w:id="207" w:name="Tc_apOS1BQIREu10MbYsDQokw_2_5"/>
      <w:bookmarkStart w:id="208" w:name="Tc_0H1qbGYPeUOaq3OJR4GhUQ_2_2"/>
      <w:bookmarkStart w:id="209" w:name="Tc_KX6MZLUelEmLyJJtR2y39Q_2_0"/>
      <w:bookmarkStart w:id="210" w:name="Tc_AmWMFqe8c0iu4ZRz7TesOA_1_8"/>
      <w:bookmarkStart w:id="211" w:name="Tc_hg05dDz72kS9hEr6_7e0Cw_1_2"/>
      <w:bookmarkStart w:id="212" w:name="_9994a4a0_701f_4be1_9d34_9c76ddf655a5"/>
      <w:bookmarkStart w:id="213" w:name="Tc_QtiC5_Db6EOtZ3y5r0Gvfw_27_0"/>
      <w:bookmarkStart w:id="214" w:name="Tc_69_aTvq7JUaKhXfViaKdsA_26_0"/>
      <w:bookmarkStart w:id="215" w:name="Tc_L52uY06LWE6I14CvezxSPA_25_11"/>
      <w:bookmarkStart w:id="216" w:name="Tc_xVr6IbogfE2ekN2HP9obuA_25_8"/>
      <w:bookmarkStart w:id="217" w:name="Tc_E15w8wvUKkmGOYV10OSJrw_25_5"/>
      <w:bookmarkStart w:id="218" w:name="Tc_LmaWs9x93E-7n7piTHpo4w_25_2"/>
      <w:bookmarkStart w:id="219" w:name="Tc_L9x3jBIeWk6bSQzKG2YXcA_25_0"/>
      <w:bookmarkStart w:id="220" w:name="Tc_E-2GoHVUpE-Q1mn8l_Xw7A_24_11"/>
      <w:bookmarkStart w:id="221" w:name="Tc_e26vkiEkI0qPnEcFkhGFOA_24_8"/>
      <w:bookmarkStart w:id="222" w:name="Tc_ce8OWGPwoUiOmv54n8NRdg_24_5"/>
      <w:bookmarkStart w:id="223" w:name="Tc_xknrKXgRnkq2s2j038XWhw_24_2"/>
      <w:bookmarkStart w:id="224" w:name="Tc_lz5o0PkNfE6twfSgGpguGA_24_0"/>
      <w:bookmarkStart w:id="225" w:name="Tc_t5WXxZBlVUOqlG4XALIaOQ_23_11"/>
      <w:bookmarkStart w:id="226" w:name="Tc_Pzj1kxLBrk6qFteA3ffGaw_23_8"/>
      <w:bookmarkStart w:id="227" w:name="Tc_qWTPhZVsbkWilkPbunje2Q_23_5"/>
      <w:bookmarkStart w:id="228" w:name="Tc_VL9jqm11HUK64DhQCF8Dqw_23_2"/>
      <w:bookmarkStart w:id="229" w:name="Tc_BX5OzgAirEOx9uItvYs7xw_23_0"/>
      <w:bookmarkStart w:id="230" w:name="Tc__E6MXkJiQE2Lq4LQ1B5ryw_22_0"/>
      <w:bookmarkStart w:id="231" w:name="Tc_S2qJiflHFE-48SKYfHTZTw_21_0"/>
      <w:bookmarkStart w:id="232" w:name="Tc_sWXCzGuwlkWiWLZopC3Ldw_20_11"/>
      <w:bookmarkStart w:id="233" w:name="Tc_zPidh4JEDUCOMznewHba5w_20_8"/>
      <w:bookmarkStart w:id="234" w:name="Tc_O687bw143ECD7TgrnMVeQg_20_5"/>
      <w:bookmarkStart w:id="235" w:name="Tc_pVK-AOXtaEeuISXitHJUxw_20_2"/>
      <w:bookmarkStart w:id="236" w:name="Tc_GgGxuTLvXEWhnnum3HrskA_20_0"/>
      <w:bookmarkStart w:id="237" w:name="Tc_o2_6uy2W_USWD3yHwX5E3g_19_0"/>
      <w:bookmarkStart w:id="238" w:name="Tc_bSHLHU7K2EGNix5DT6yp2w_18_0"/>
      <w:bookmarkStart w:id="239" w:name="Tc_hsOhy6pBykS1JG6wVpkFig_17_0"/>
      <w:bookmarkStart w:id="240" w:name="Tc_pdHbbFXLb0GjiV7I2xf41g_16_0"/>
      <w:bookmarkStart w:id="241" w:name="Tc_7VRUQXTlA0KYPVkNf8t5-Q_15_0"/>
      <w:bookmarkStart w:id="242" w:name="Tc_h1PWHqAeLECYyAfpD7QCeg_14_9"/>
      <w:bookmarkStart w:id="243" w:name="Tc_p2fU-mvX9UGHpcbtvtBIaw_14_3"/>
      <w:bookmarkStart w:id="244" w:name="Tc_twK2OAIeekW9qufK6OAtTw_14_0"/>
      <w:bookmarkStart w:id="245" w:name="Tc_yxlcbNSeTUW33clfd-W-Ow_13_0"/>
      <w:bookmarkStart w:id="246" w:name="Tc_tp6anCBUfEm_NctWMVeFkA_12_0"/>
      <w:bookmarkStart w:id="247" w:name="Tc_sxoEM7S_CUWf1VEAtTF86Q_11_0"/>
      <w:bookmarkStart w:id="248" w:name="Tc_0xXm9cmjQkOIOx0DEe1jqg_10_12"/>
      <w:bookmarkStart w:id="249" w:name="Tc_khqDh9S87US4wBt3nq8fcw_10_6"/>
      <w:bookmarkStart w:id="250" w:name="Tc_4qNqaqHVI0iQU9_uOxCfiw_10_0"/>
      <w:bookmarkStart w:id="251" w:name="Tc_GK1pRPoSK0Wh2xjwCA7yCQ_9_0"/>
      <w:bookmarkStart w:id="252" w:name="Tc_8JuoTHBjv0-9LBBU3jzY9w_8_0"/>
      <w:bookmarkStart w:id="253" w:name="Tc_vq5JSddS0EWuPhUJ-6TRyA_7_0"/>
      <w:bookmarkStart w:id="254" w:name="Tc_0dSdiPQvr0-s9Vx4vpXJow_6_0"/>
      <w:bookmarkStart w:id="255" w:name="Tc_dqhtFmYEDECcPUm_SWo1Pw_5_0"/>
      <w:bookmarkStart w:id="256" w:name="Tc_iCseikRVdUKEJna_Xk6GsQ_4_11"/>
      <w:bookmarkStart w:id="257" w:name="Tc_ymdjFZeAykGEzcPnwH9PXw_4_9"/>
      <w:bookmarkStart w:id="258" w:name="Tc_z0epcfa420CVL8a1B6Dssw_4_8"/>
      <w:bookmarkStart w:id="259" w:name="Tc_Y0dZUj9Ijkmkc_igWIU9Vg_4_6"/>
      <w:bookmarkStart w:id="260" w:name="Tc_9Sec-0LygkKvMntBOk0bpA_4_5"/>
      <w:bookmarkStart w:id="261" w:name="Tc_b_aYLRh2R0m-Wl-fDVgNWw_4_3"/>
      <w:bookmarkStart w:id="262" w:name="Tc_sJ_KF9U7tESfLrgKP1bM7Q_4_2"/>
      <w:bookmarkStart w:id="263" w:name="Tc_oKrhDz-By06L8t97Fb1eiQ_4_0"/>
      <w:bookmarkStart w:id="264" w:name="Tc_30sYPrAM3k-exQpwq6V1gg_3_0"/>
      <w:bookmarkStart w:id="265" w:name="Tc_HoSt6HX-YU-RX0PT77YQ7g_2_11"/>
      <w:bookmarkStart w:id="266" w:name="Tc_nqE6Y9pFqkuRNPR63DvgxQ_2_8"/>
      <w:bookmarkStart w:id="267" w:name="Tc_apOS1BQIREu10MbYsDQokw_2_5"/>
      <w:bookmarkStart w:id="268" w:name="Tc_0H1qbGYPeUOaq3OJR4GhUQ_2_2"/>
      <w:bookmarkStart w:id="269" w:name="Tc_KX6MZLUelEmLyJJtR2y39Q_2_0"/>
      <w:bookmarkStart w:id="270" w:name="Tc_AmWMFqe8c0iu4ZRz7TesOA_1_8"/>
      <w:bookmarkStart w:id="271" w:name="Tc_hg05dDz72kS9hEr6_7e0Cw_1_2"/>
      <w:bookmarkStart w:id="272" w:name="_9994a4a0_701f_4be1_9d34_9c76ddf655a5"/>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10205" w:type="dxa"/>
        <w:jc w:val="left"/>
        <w:tblInd w:w="0" w:type="dxa"/>
        <w:tblLayout w:type="fixed"/>
        <w:tblCellMar>
          <w:top w:w="0" w:type="dxa"/>
          <w:left w:w="0" w:type="dxa"/>
          <w:bottom w:w="0" w:type="dxa"/>
          <w:right w:w="0" w:type="dxa"/>
        </w:tblCellMar>
      </w:tblPr>
      <w:tblGrid>
        <w:gridCol w:w="4039"/>
        <w:gridCol w:w="346"/>
        <w:gridCol w:w="196"/>
        <w:gridCol w:w="1006"/>
        <w:gridCol w:w="346"/>
        <w:gridCol w:w="196"/>
        <w:gridCol w:w="916"/>
        <w:gridCol w:w="346"/>
        <w:gridCol w:w="196"/>
        <w:gridCol w:w="1006"/>
        <w:gridCol w:w="346"/>
        <w:gridCol w:w="196"/>
        <w:gridCol w:w="916"/>
        <w:gridCol w:w="154"/>
      </w:tblGrid>
      <w:tr>
        <w:trPr/>
        <w:tc>
          <w:tcPr>
            <w:tcW w:w="4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64765" cy="175260"/>
                      <wp:effectExtent l="0" t="0" r="0" b="0"/>
                      <wp:wrapNone/>
                      <wp:docPr id="12" name="Frame12"/>
                      <a:graphic xmlns:a="http://schemas.openxmlformats.org/drawingml/2006/main">
                        <a:graphicData uri="http://schemas.microsoft.com/office/word/2010/wordprocessingShape">
                          <wps:wsp>
                            <wps:cNvSpPr txBox="1"/>
                            <wps:spPr>
                              <a:xfrm>
                                <a:off x="0" y="0"/>
                                <a:ext cx="2564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38810" cy="175260"/>
                      <wp:effectExtent l="0" t="0" r="0" b="0"/>
                      <wp:wrapNone/>
                      <wp:docPr id="15" name="Frame1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38810" cy="175260"/>
                      <wp:effectExtent l="0" t="0" r="0" b="0"/>
                      <wp:wrapNone/>
                      <wp:docPr id="21" name="Frame2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7790" cy="175260"/>
                      <wp:effectExtent l="0" t="0" r="0" b="0"/>
                      <wp:wrapNone/>
                      <wp:docPr id="25" name="Frame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6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6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1"/>
              <w:ind w:left="0" w:right="0" w:hanging="0"/>
              <w:jc w:val="center"/>
              <w:rPr/>
            </w:pPr>
            <w:r>
              <w:rPr/>
              <w:t>​</w:t>
            </w:r>
          </w:p>
        </w:tc>
      </w:tr>
      <w:tr>
        <w:trPr/>
        <w:tc>
          <w:tcPr>
            <w:tcW w:w="403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346" w:type="dxa"/>
            <w:tcBorders/>
            <w:vAlign w:val="center"/>
          </w:tcPr>
          <w:p>
            <w:pPr>
              <w:pStyle w:val="TableContents"/>
              <w:bidi w:val="0"/>
              <w:spacing w:before="0" w:after="1"/>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10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10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center"/>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License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17,389</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20,055</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expenses, including related party expenses of $399, $259, $465 and $521 for the three and six months ended June 30, 2026 and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85,337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108,755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166,877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205,377</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56,745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impairment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143,205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250,667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262,122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(148,855)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(140,539)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(242,067)</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bargain purchase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187,907</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191,299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193,864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(237,031)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(48,203)</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(235,274)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(39,642)</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marketable securities,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(236,145)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per share attributable to common stockholders, basic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(0.61)</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share attributable to common stockholders,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0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Weighted-average shares of common stock outstanding, basic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127,690,254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76,477,144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126,377,692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65,440,021</w:t>
            </w:r>
          </w:p>
        </w:tc>
        <w:tc>
          <w:tcPr>
            <w:tcW w:w="154" w:type="dxa"/>
            <w:tcBorders/>
            <w:vAlign w:val="center"/>
          </w:tcPr>
          <w:p>
            <w:pPr>
              <w:pStyle w:val="TableContents"/>
              <w:bidi w:val="0"/>
              <w:spacing w:before="0" w:after="1"/>
              <w:ind w:left="0" w:right="0" w:hanging="0"/>
              <w:jc w:val="left"/>
              <w:rPr/>
            </w:pPr>
            <w:r>
              <w:rPr/>
              <w:t>​</w:t>
            </w:r>
          </w:p>
        </w:tc>
      </w:tr>
      <w:tr>
        <w:trPr/>
        <w:tc>
          <w:tcPr>
            <w:tcW w:w="40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Weighted-average shares of common stock outstanding,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127,690,254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76,635,895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126,377,692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65,440,021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3" w:name="_ab7fb9d2_2e96_483c_b9f5_643ad5ad94ad"/>
      <w:bookmarkEnd w:id="273"/>
      <w:r>
        <w:rPr>
          <w:rFonts w:ascii="Times New Roman;Times;serif" w:hAnsi="Times New Roman;Times;serif"/>
          <w:b/>
          <w:sz w:val="20"/>
        </w:rPr>
        <w:t>ALUMIS INC.</w:t>
      </w:r>
    </w:p>
    <w:p>
      <w:pPr>
        <w:pStyle w:val="TextBody"/>
        <w:bidi w:val="0"/>
        <w:spacing w:before="0" w:after="0"/>
        <w:ind w:left="0" w:right="0" w:hanging="0"/>
        <w:jc w:val="center"/>
        <w:rPr>
          <w:rFonts w:ascii="Times New Roman;Times;serif" w:hAnsi="Times New Roman;Times;serif"/>
          <w:b/>
          <w:sz w:val="20"/>
        </w:rPr>
      </w:pPr>
      <w:bookmarkStart w:id="274" w:name="CONDENSEDCONSOLIDATEDSTATEMENTSOFSTOCKHO"/>
      <w:bookmarkEnd w:id="274"/>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75" w:name="Tc_qHLTV0DDGU69u64okQrJLg_22_16"/>
      <w:bookmarkStart w:id="276" w:name="Tc_63SJkfecgU--wtFznJEpRA_22_13"/>
      <w:bookmarkStart w:id="277" w:name="Tc_zA0wzse7fUi9Zpik3ykFgA_22_10"/>
      <w:bookmarkStart w:id="278" w:name="Tc_7onxRTVF_kuzp7yVnI2x3w_22_7"/>
      <w:bookmarkStart w:id="279" w:name="Tc_Ym3J-Vudd0-DcoVIhdEOxQ_22_4"/>
      <w:bookmarkStart w:id="280" w:name="Tc_3BkPIHk9eEGdKy_jjaLJlg_22_0"/>
      <w:bookmarkStart w:id="281" w:name="Tc_vDm-OXxdzkSch6p5b03UzQ_21_11"/>
      <w:bookmarkStart w:id="282" w:name="Tc_GJRCq7lj00eJR3VgCHz0Wg_21_8"/>
      <w:bookmarkStart w:id="283" w:name="Tc_lXs5jN3R4k-lRw82AQ8Oeg_21_5"/>
      <w:bookmarkStart w:id="284" w:name="Tc_p87Vo3MlgE6vat_jm1OTOQ_21_2"/>
      <w:bookmarkStart w:id="285" w:name="Tc_1aEwvU-oxE2bZx-91ZYZWQ_21_0"/>
      <w:bookmarkStart w:id="286" w:name="Tc_4X91gGWaD0GO0Hy_j0HrLg_20_14"/>
      <w:bookmarkStart w:id="287" w:name="Tc_RpUPQywxSUulLeYtuWz0pQ_20_8"/>
      <w:bookmarkStart w:id="288" w:name="Tc_a_2OAHocV0aNyCf0TXsb6w_20_5"/>
      <w:bookmarkStart w:id="289" w:name="Tc_II96sCwtSUyLde40wGOhHQ_20_2"/>
      <w:bookmarkStart w:id="290" w:name="Tc_uBpar2_A3U-W0gF-x39ymw_20_0"/>
      <w:bookmarkStart w:id="291" w:name="Tc_IEn_zGbPjUiicZy6EHo8JA_19_14"/>
      <w:bookmarkStart w:id="292" w:name="Tc_unrb_OydOkyNNeQ1bmZwjw_19_11"/>
      <w:bookmarkStart w:id="293" w:name="Tc_tm6SmDJuXkO_R2nhOkfubg_19_5"/>
      <w:bookmarkStart w:id="294" w:name="Tc_Oq9DdqV_gEe0hi6bm7rd7A_19_2"/>
      <w:bookmarkStart w:id="295" w:name="Tc_uZKgBRy26kqhZPobFjsDxA_19_0"/>
      <w:bookmarkStart w:id="296" w:name="Tc_crrh-KQ0CU-lO1zZrLNiUw_18_14"/>
      <w:bookmarkStart w:id="297" w:name="Tc_X8jdkWafQkiYaWYoIrGiBA_18_11"/>
      <w:bookmarkStart w:id="298" w:name="Tc_b2sQVj-7lkOPCuPdflWCkQ_18_5"/>
      <w:bookmarkStart w:id="299" w:name="Tc_6nPp_aIGaUu5UaH8J-ffmg_18_2"/>
      <w:bookmarkStart w:id="300" w:name="Tc_-i8b9-km7k2piVNWJMxnOg_18_0"/>
      <w:bookmarkStart w:id="301" w:name="Tc_sfb38WYWIE6tkD-gFm7M-w_17_14"/>
      <w:bookmarkStart w:id="302" w:name="Tc_1Zd_gGZpP0q7oWdt-R5FJA_17_11"/>
      <w:bookmarkStart w:id="303" w:name="Tc_nnMbaY9inUG8lBGX2FhYQg_17_5"/>
      <w:bookmarkStart w:id="304" w:name="Tc_it-fBrQd9UezfjkQYtmhjA_17_0"/>
      <w:bookmarkStart w:id="305" w:name="Tc_npQG1SxC7kax2rqrT_ERMA_16_17"/>
      <w:bookmarkStart w:id="306" w:name="Tc_3psLlwit10OYMg-qAV4hFQ_16_14"/>
      <w:bookmarkStart w:id="307" w:name="Tc_vb4WjqXlPEys0dWEtJsONQ_16_11"/>
      <w:bookmarkStart w:id="308" w:name="Tc_-g63OR8ErE2SfCVDoTc47w_16_8"/>
      <w:bookmarkStart w:id="309" w:name="Tc_WcvbP6hzpkCOa9difHOEWA_16_5"/>
      <w:bookmarkStart w:id="310" w:name="Tc_6weJmQi15kyDFyG1itoWQg_16_0"/>
      <w:bookmarkStart w:id="311" w:name="Tc_qxWnKuSu0E20CZvkQYZd1w_15_14"/>
      <w:bookmarkStart w:id="312" w:name="Tc_iQfCCkYB1ESuK48RvqtSLg_15_11"/>
      <w:bookmarkStart w:id="313" w:name="Tc_Av6Hce_z3kO_9QbQ_W_YPw_15_5"/>
      <w:bookmarkStart w:id="314" w:name="Tc_RNc-hXqcn0KlhSDj4ZgVbg_15_0"/>
      <w:bookmarkStart w:id="315" w:name="Tc_j-lODhlVBkeigU_1nJI89Q_13_16"/>
      <w:bookmarkStart w:id="316" w:name="Tc_EqrnL_FmHky8fEYR8GLs7g_13_13"/>
      <w:bookmarkStart w:id="317" w:name="Tc_K9iILfLj1kWJftRofu8TwQ_13_10"/>
      <w:bookmarkStart w:id="318" w:name="Tc_64DcWQpVNEao-tyVwcwNBg_13_7"/>
      <w:bookmarkStart w:id="319" w:name="Tc__MAcL9ZGkkWOjdjEUHrDEw_13_4"/>
      <w:bookmarkStart w:id="320" w:name="Tc_g7XpVRUXgk2OXSxNyERutQ_13_0"/>
      <w:bookmarkStart w:id="321" w:name="Tc_ql15t4yetEW333Lg4M1gJg_12_11"/>
      <w:bookmarkStart w:id="322" w:name="Tc_XG6PBSIes0yD98WujmMM3g_12_8"/>
      <w:bookmarkStart w:id="323" w:name="Tc__Fc6TE7P206f9nXua8A9hg_12_5"/>
      <w:bookmarkStart w:id="324" w:name="Tc_PqzZ1vgsmEOi3MOh3o5xqg_12_2"/>
      <w:bookmarkStart w:id="325" w:name="Tc_x4T65UwJ10qCSPtrwlb7jg_12_0"/>
      <w:bookmarkStart w:id="326" w:name="Tc_suct-I74eE2ZBvM0xWFG2w_11_14"/>
      <w:bookmarkStart w:id="327" w:name="Tc_MbyfZSv92U-eFdgaWrC5yQ_11_8"/>
      <w:bookmarkStart w:id="328" w:name="Tc_rOxPUWwqbEaS2tjxnGPm4A_11_5"/>
      <w:bookmarkStart w:id="329" w:name="Tc_MZZDrx3J90qiFI_O3f8Kcg_11_2"/>
      <w:bookmarkStart w:id="330" w:name="Tc_ze-aa06fQkOP4mxL0T__vA_11_0"/>
      <w:bookmarkStart w:id="331" w:name="Tc_jxeVsY3ilUqtf1eXnv0m8Q_10_14"/>
      <w:bookmarkStart w:id="332" w:name="Tc_Sar1jvieNEadTxjgRTO5jQ_10_11"/>
      <w:bookmarkStart w:id="333" w:name="Tc_zzW3EPJVc0S_YNnhXQ8hLw_10_5"/>
      <w:bookmarkStart w:id="334" w:name="Tc_qwBj6uT3H0GEz6oy3fPsaA_10_2"/>
      <w:bookmarkStart w:id="335" w:name="Tc_6BnsXkTyNUS8OM9qOpf3lA_10_0"/>
      <w:bookmarkStart w:id="336" w:name="Tc_Amcp5iDLYkCKTUGvYGm0WA_9_14"/>
      <w:bookmarkStart w:id="337" w:name="Tc_7cmgFexpJ0izWeyBOtT8mg_9_11"/>
      <w:bookmarkStart w:id="338" w:name="Tc_AcXioW4YFUmZt36CMgcTvQ_9_5"/>
      <w:bookmarkStart w:id="339" w:name="Tc_NxtJgOLvDki06r54d7sOig_9_2"/>
      <w:bookmarkStart w:id="340" w:name="Tc_z9M130w5WkeQITAepIFZZQ_9_0"/>
      <w:bookmarkStart w:id="341" w:name="Tc_7W6Dz7vdREamrkGpbTtK7Q_8_17"/>
      <w:bookmarkStart w:id="342" w:name="Tc_hgnbT6VxpkiQUYiXmwwzrQ_8_14"/>
      <w:bookmarkStart w:id="343" w:name="Tc_I6HFnUD1k0Sd_jjBg41mAQ_8_11"/>
      <w:bookmarkStart w:id="344" w:name="Tc_g62wXFGx4EGIGxk0WmhSJw_8_8"/>
      <w:bookmarkStart w:id="345" w:name="Tc_mQXhdomHyESti_xgZ9nUAQ_8_5"/>
      <w:bookmarkStart w:id="346" w:name="Tc_9D-sGprELkyabjVA6cWP-g_8_0"/>
      <w:bookmarkStart w:id="347" w:name="Tc_UUl_hmGJA0KCZKpuEnaGQw_7_14"/>
      <w:bookmarkStart w:id="348" w:name="Tc_ttYBrbfpik-b-QKRydOX5g_7_11"/>
      <w:bookmarkStart w:id="349" w:name="Tc__2fGKGbql0iqDupuu1WKPw_7_5"/>
      <w:bookmarkStart w:id="350" w:name="Tc_B211MPKT_Eqw0fxbebrWWg_7_0"/>
      <w:bookmarkStart w:id="351" w:name="Tc_cLO2NxzPYkOU4woOya-9Vg_6_14"/>
      <w:bookmarkStart w:id="352" w:name="Tc_BIsgJNbOm0ifN8WJdiukNQ_6_11"/>
      <w:bookmarkStart w:id="353" w:name="Tc_0qJjLR5kMUqpPcMcfk9doA_6_0"/>
      <w:bookmarkStart w:id="354" w:name="Tc_AMlfm4Jt1kugUryOEL3MrQ_5_16"/>
      <w:bookmarkStart w:id="355" w:name="Tc_F21oKdim70u3jbWsQL4UmQ_5_13"/>
      <w:bookmarkStart w:id="356" w:name="Tc_3zHMWIp1DUatRN5XLplS9A_5_10"/>
      <w:bookmarkStart w:id="357" w:name="Tc_4kuhVrO0QEapOJvoUa_mIw_5_7"/>
      <w:bookmarkStart w:id="358" w:name="Tc_vbYk0nf50Ue6PEHsmMb3Rw_5_4"/>
      <w:bookmarkStart w:id="359" w:name="Tc_T3TxlLnyy0mzj5Z_CWQ0dA_5_0"/>
      <w:bookmarkStart w:id="360" w:name="Tc_Pz0Cw8zCr0q-cNNCuA6YWw_4_16"/>
      <w:bookmarkStart w:id="361" w:name="Tc_BRjZZ6BkKU627j8eX9fPKg_4_13"/>
      <w:bookmarkStart w:id="362" w:name="Tc_ErXERWJ2S0KIg2gd0fsD2A_4_10"/>
      <w:bookmarkStart w:id="363" w:name="Tc_eaKIjv1W-UWeH_hY2TF_Xw_4_7"/>
      <w:bookmarkStart w:id="364" w:name="Tc_-BFfHSFvjk2iP1LDenmkKQ_4_4"/>
      <w:bookmarkStart w:id="365" w:name="Tc_Fyoor0JXNUm8piguAzo1mg_4_2"/>
      <w:bookmarkStart w:id="366" w:name="Tc_iVhDGsDfm0uEC_VX00j4uw_4_0"/>
      <w:bookmarkStart w:id="367" w:name="Tc_dubsqXvv3k-Un3ggbcY0VQ_3_16"/>
      <w:bookmarkStart w:id="368" w:name="Tc_chEyQsV6xkiJqelLcUzaSQ_3_13"/>
      <w:bookmarkStart w:id="369" w:name="Tc_H5cP6VVoyE6j7Zu27eBByA_3_10"/>
      <w:bookmarkStart w:id="370" w:name="Tc_gcmvABKYd06wXWdOme_IHg_3_7"/>
      <w:bookmarkStart w:id="371" w:name="Tc_n90TRMM7bEa_qBTlRtkgbQ_3_2"/>
      <w:bookmarkStart w:id="372" w:name="Tc_EAQoaUv_WUSUMpnZuO7PYA_2_16"/>
      <w:bookmarkStart w:id="373" w:name="Tc_FnkoasqWNkKJ9_urPR2Y1A_2_10"/>
      <w:bookmarkStart w:id="374" w:name="Tc_ex_BDFxEuUanSCZkL_wV1A_2_7"/>
      <w:bookmarkStart w:id="375" w:name="Tc_5udEI4xj_060OJ7fnbzyFg_1_10"/>
      <w:bookmarkStart w:id="376" w:name="_b22e40f1_aa6b_4279_839b_2c3a04d9e16f"/>
      <w:bookmarkStart w:id="377" w:name="Tc_qHLTV0DDGU69u64okQrJLg_22_16"/>
      <w:bookmarkStart w:id="378" w:name="Tc_63SJkfecgU--wtFznJEpRA_22_13"/>
      <w:bookmarkStart w:id="379" w:name="Tc_zA0wzse7fUi9Zpik3ykFgA_22_10"/>
      <w:bookmarkStart w:id="380" w:name="Tc_7onxRTVF_kuzp7yVnI2x3w_22_7"/>
      <w:bookmarkStart w:id="381" w:name="Tc_Ym3J-Vudd0-DcoVIhdEOxQ_22_4"/>
      <w:bookmarkStart w:id="382" w:name="Tc_3BkPIHk9eEGdKy_jjaLJlg_22_0"/>
      <w:bookmarkStart w:id="383" w:name="Tc_vDm-OXxdzkSch6p5b03UzQ_21_11"/>
      <w:bookmarkStart w:id="384" w:name="Tc_GJRCq7lj00eJR3VgCHz0Wg_21_8"/>
      <w:bookmarkStart w:id="385" w:name="Tc_lXs5jN3R4k-lRw82AQ8Oeg_21_5"/>
      <w:bookmarkStart w:id="386" w:name="Tc_p87Vo3MlgE6vat_jm1OTOQ_21_2"/>
      <w:bookmarkStart w:id="387" w:name="Tc_1aEwvU-oxE2bZx-91ZYZWQ_21_0"/>
      <w:bookmarkStart w:id="388" w:name="Tc_4X91gGWaD0GO0Hy_j0HrLg_20_14"/>
      <w:bookmarkStart w:id="389" w:name="Tc_RpUPQywxSUulLeYtuWz0pQ_20_8"/>
      <w:bookmarkStart w:id="390" w:name="Tc_a_2OAHocV0aNyCf0TXsb6w_20_5"/>
      <w:bookmarkStart w:id="391" w:name="Tc_II96sCwtSUyLde40wGOhHQ_20_2"/>
      <w:bookmarkStart w:id="392" w:name="Tc_uBpar2_A3U-W0gF-x39ymw_20_0"/>
      <w:bookmarkStart w:id="393" w:name="Tc_IEn_zGbPjUiicZy6EHo8JA_19_14"/>
      <w:bookmarkStart w:id="394" w:name="Tc_unrb_OydOkyNNeQ1bmZwjw_19_11"/>
      <w:bookmarkStart w:id="395" w:name="Tc_tm6SmDJuXkO_R2nhOkfubg_19_5"/>
      <w:bookmarkStart w:id="396" w:name="Tc_Oq9DdqV_gEe0hi6bm7rd7A_19_2"/>
      <w:bookmarkStart w:id="397" w:name="Tc_uZKgBRy26kqhZPobFjsDxA_19_0"/>
      <w:bookmarkStart w:id="398" w:name="Tc_crrh-KQ0CU-lO1zZrLNiUw_18_14"/>
      <w:bookmarkStart w:id="399" w:name="Tc_X8jdkWafQkiYaWYoIrGiBA_18_11"/>
      <w:bookmarkStart w:id="400" w:name="Tc_b2sQVj-7lkOPCuPdflWCkQ_18_5"/>
      <w:bookmarkStart w:id="401" w:name="Tc_6nPp_aIGaUu5UaH8J-ffmg_18_2"/>
      <w:bookmarkStart w:id="402" w:name="Tc_-i8b9-km7k2piVNWJMxnOg_18_0"/>
      <w:bookmarkStart w:id="403" w:name="Tc_sfb38WYWIE6tkD-gFm7M-w_17_14"/>
      <w:bookmarkStart w:id="404" w:name="Tc_1Zd_gGZpP0q7oWdt-R5FJA_17_11"/>
      <w:bookmarkStart w:id="405" w:name="Tc_nnMbaY9inUG8lBGX2FhYQg_17_5"/>
      <w:bookmarkStart w:id="406" w:name="Tc_it-fBrQd9UezfjkQYtmhjA_17_0"/>
      <w:bookmarkStart w:id="407" w:name="Tc_npQG1SxC7kax2rqrT_ERMA_16_17"/>
      <w:bookmarkStart w:id="408" w:name="Tc_3psLlwit10OYMg-qAV4hFQ_16_14"/>
      <w:bookmarkStart w:id="409" w:name="Tc_vb4WjqXlPEys0dWEtJsONQ_16_11"/>
      <w:bookmarkStart w:id="410" w:name="Tc_-g63OR8ErE2SfCVDoTc47w_16_8"/>
      <w:bookmarkStart w:id="411" w:name="Tc_WcvbP6hzpkCOa9difHOEWA_16_5"/>
      <w:bookmarkStart w:id="412" w:name="Tc_6weJmQi15kyDFyG1itoWQg_16_0"/>
      <w:bookmarkStart w:id="413" w:name="Tc_qxWnKuSu0E20CZvkQYZd1w_15_14"/>
      <w:bookmarkStart w:id="414" w:name="Tc_iQfCCkYB1ESuK48RvqtSLg_15_11"/>
      <w:bookmarkStart w:id="415" w:name="Tc_Av6Hce_z3kO_9QbQ_W_YPw_15_5"/>
      <w:bookmarkStart w:id="416" w:name="Tc_RNc-hXqcn0KlhSDj4ZgVbg_15_0"/>
      <w:bookmarkStart w:id="417" w:name="Tc_j-lODhlVBkeigU_1nJI89Q_13_16"/>
      <w:bookmarkStart w:id="418" w:name="Tc_EqrnL_FmHky8fEYR8GLs7g_13_13"/>
      <w:bookmarkStart w:id="419" w:name="Tc_K9iILfLj1kWJftRofu8TwQ_13_10"/>
      <w:bookmarkStart w:id="420" w:name="Tc_64DcWQpVNEao-tyVwcwNBg_13_7"/>
      <w:bookmarkStart w:id="421" w:name="Tc__MAcL9ZGkkWOjdjEUHrDEw_13_4"/>
      <w:bookmarkStart w:id="422" w:name="Tc_g7XpVRUXgk2OXSxNyERutQ_13_0"/>
      <w:bookmarkStart w:id="423" w:name="Tc_ql15t4yetEW333Lg4M1gJg_12_11"/>
      <w:bookmarkStart w:id="424" w:name="Tc_XG6PBSIes0yD98WujmMM3g_12_8"/>
      <w:bookmarkStart w:id="425" w:name="Tc__Fc6TE7P206f9nXua8A9hg_12_5"/>
      <w:bookmarkStart w:id="426" w:name="Tc_PqzZ1vgsmEOi3MOh3o5xqg_12_2"/>
      <w:bookmarkStart w:id="427" w:name="Tc_x4T65UwJ10qCSPtrwlb7jg_12_0"/>
      <w:bookmarkStart w:id="428" w:name="Tc_suct-I74eE2ZBvM0xWFG2w_11_14"/>
      <w:bookmarkStart w:id="429" w:name="Tc_MbyfZSv92U-eFdgaWrC5yQ_11_8"/>
      <w:bookmarkStart w:id="430" w:name="Tc_rOxPUWwqbEaS2tjxnGPm4A_11_5"/>
      <w:bookmarkStart w:id="431" w:name="Tc_MZZDrx3J90qiFI_O3f8Kcg_11_2"/>
      <w:bookmarkStart w:id="432" w:name="Tc_ze-aa06fQkOP4mxL0T__vA_11_0"/>
      <w:bookmarkStart w:id="433" w:name="Tc_jxeVsY3ilUqtf1eXnv0m8Q_10_14"/>
      <w:bookmarkStart w:id="434" w:name="Tc_Sar1jvieNEadTxjgRTO5jQ_10_11"/>
      <w:bookmarkStart w:id="435" w:name="Tc_zzW3EPJVc0S_YNnhXQ8hLw_10_5"/>
      <w:bookmarkStart w:id="436" w:name="Tc_qwBj6uT3H0GEz6oy3fPsaA_10_2"/>
      <w:bookmarkStart w:id="437" w:name="Tc_6BnsXkTyNUS8OM9qOpf3lA_10_0"/>
      <w:bookmarkStart w:id="438" w:name="Tc_Amcp5iDLYkCKTUGvYGm0WA_9_14"/>
      <w:bookmarkStart w:id="439" w:name="Tc_7cmgFexpJ0izWeyBOtT8mg_9_11"/>
      <w:bookmarkStart w:id="440" w:name="Tc_AcXioW4YFUmZt36CMgcTvQ_9_5"/>
      <w:bookmarkStart w:id="441" w:name="Tc_NxtJgOLvDki06r54d7sOig_9_2"/>
      <w:bookmarkStart w:id="442" w:name="Tc_z9M130w5WkeQITAepIFZZQ_9_0"/>
      <w:bookmarkStart w:id="443" w:name="Tc_7W6Dz7vdREamrkGpbTtK7Q_8_17"/>
      <w:bookmarkStart w:id="444" w:name="Tc_hgnbT6VxpkiQUYiXmwwzrQ_8_14"/>
      <w:bookmarkStart w:id="445" w:name="Tc_I6HFnUD1k0Sd_jjBg41mAQ_8_11"/>
      <w:bookmarkStart w:id="446" w:name="Tc_g62wXFGx4EGIGxk0WmhSJw_8_8"/>
      <w:bookmarkStart w:id="447" w:name="Tc_mQXhdomHyESti_xgZ9nUAQ_8_5"/>
      <w:bookmarkStart w:id="448" w:name="Tc_9D-sGprELkyabjVA6cWP-g_8_0"/>
      <w:bookmarkStart w:id="449" w:name="Tc_UUl_hmGJA0KCZKpuEnaGQw_7_14"/>
      <w:bookmarkStart w:id="450" w:name="Tc_ttYBrbfpik-b-QKRydOX5g_7_11"/>
      <w:bookmarkStart w:id="451" w:name="Tc__2fGKGbql0iqDupuu1WKPw_7_5"/>
      <w:bookmarkStart w:id="452" w:name="Tc_B211MPKT_Eqw0fxbebrWWg_7_0"/>
      <w:bookmarkStart w:id="453" w:name="Tc_cLO2NxzPYkOU4woOya-9Vg_6_14"/>
      <w:bookmarkStart w:id="454" w:name="Tc_BIsgJNbOm0ifN8WJdiukNQ_6_11"/>
      <w:bookmarkStart w:id="455" w:name="Tc_0qJjLR5kMUqpPcMcfk9doA_6_0"/>
      <w:bookmarkStart w:id="456" w:name="Tc_AMlfm4Jt1kugUryOEL3MrQ_5_16"/>
      <w:bookmarkStart w:id="457" w:name="Tc_F21oKdim70u3jbWsQL4UmQ_5_13"/>
      <w:bookmarkStart w:id="458" w:name="Tc_3zHMWIp1DUatRN5XLplS9A_5_10"/>
      <w:bookmarkStart w:id="459" w:name="Tc_4kuhVrO0QEapOJvoUa_mIw_5_7"/>
      <w:bookmarkStart w:id="460" w:name="Tc_vbYk0nf50Ue6PEHsmMb3Rw_5_4"/>
      <w:bookmarkStart w:id="461" w:name="Tc_T3TxlLnyy0mzj5Z_CWQ0dA_5_0"/>
      <w:bookmarkStart w:id="462" w:name="Tc_Pz0Cw8zCr0q-cNNCuA6YWw_4_16"/>
      <w:bookmarkStart w:id="463" w:name="Tc_BRjZZ6BkKU627j8eX9fPKg_4_13"/>
      <w:bookmarkStart w:id="464" w:name="Tc_ErXERWJ2S0KIg2gd0fsD2A_4_10"/>
      <w:bookmarkStart w:id="465" w:name="Tc_eaKIjv1W-UWeH_hY2TF_Xw_4_7"/>
      <w:bookmarkStart w:id="466" w:name="Tc_-BFfHSFvjk2iP1LDenmkKQ_4_4"/>
      <w:bookmarkStart w:id="467" w:name="Tc_Fyoor0JXNUm8piguAzo1mg_4_2"/>
      <w:bookmarkStart w:id="468" w:name="Tc_iVhDGsDfm0uEC_VX00j4uw_4_0"/>
      <w:bookmarkStart w:id="469" w:name="Tc_dubsqXvv3k-Un3ggbcY0VQ_3_16"/>
      <w:bookmarkStart w:id="470" w:name="Tc_chEyQsV6xkiJqelLcUzaSQ_3_13"/>
      <w:bookmarkStart w:id="471" w:name="Tc_H5cP6VVoyE6j7Zu27eBByA_3_10"/>
      <w:bookmarkStart w:id="472" w:name="Tc_gcmvABKYd06wXWdOme_IHg_3_7"/>
      <w:bookmarkStart w:id="473" w:name="Tc_n90TRMM7bEa_qBTlRtkgbQ_3_2"/>
      <w:bookmarkStart w:id="474" w:name="Tc_EAQoaUv_WUSUMpnZuO7PYA_2_16"/>
      <w:bookmarkStart w:id="475" w:name="Tc_FnkoasqWNkKJ9_urPR2Y1A_2_10"/>
      <w:bookmarkStart w:id="476" w:name="Tc_ex_BDFxEuUanSCZkL_wV1A_2_7"/>
      <w:bookmarkStart w:id="477" w:name="Tc_5udEI4xj_060OJ7fnbzyFg_1_10"/>
      <w:bookmarkStart w:id="478" w:name="_b22e40f1_aa6b_4279_839b_2c3a04d9e16f"/>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W w:w="10205" w:type="dxa"/>
        <w:jc w:val="left"/>
        <w:tblInd w:w="0" w:type="dxa"/>
        <w:tblLayout w:type="fixed"/>
        <w:tblCellMar>
          <w:top w:w="0" w:type="dxa"/>
          <w:left w:w="0" w:type="dxa"/>
          <w:bottom w:w="0" w:type="dxa"/>
          <w:right w:w="0" w:type="dxa"/>
        </w:tblCellMar>
      </w:tblPr>
      <w:tblGrid>
        <w:gridCol w:w="2832"/>
        <w:gridCol w:w="286"/>
        <w:gridCol w:w="1006"/>
        <w:gridCol w:w="286"/>
        <w:gridCol w:w="206"/>
        <w:gridCol w:w="365"/>
        <w:gridCol w:w="226"/>
        <w:gridCol w:w="196"/>
        <w:gridCol w:w="826"/>
        <w:gridCol w:w="286"/>
        <w:gridCol w:w="316"/>
        <w:gridCol w:w="705"/>
        <w:gridCol w:w="286"/>
        <w:gridCol w:w="196"/>
        <w:gridCol w:w="897"/>
        <w:gridCol w:w="286"/>
        <w:gridCol w:w="196"/>
        <w:gridCol w:w="808"/>
      </w:tblGrid>
      <w:tr>
        <w:trPr/>
        <w:tc>
          <w:tcPr>
            <w:tcW w:w="2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98320" cy="175260"/>
                      <wp:effectExtent l="0" t="0" r="0" b="0"/>
                      <wp:wrapNone/>
                      <wp:docPr id="26" name="Frame26"/>
                      <a:graphic xmlns:a="http://schemas.openxmlformats.org/drawingml/2006/main">
                        <a:graphicData uri="http://schemas.microsoft.com/office/word/2010/wordprocessingShape">
                          <wps:wsp>
                            <wps:cNvSpPr txBox="1"/>
                            <wps:spPr>
                              <a:xfrm>
                                <a:off x="0" y="0"/>
                                <a:ext cx="179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1610" cy="175260"/>
                      <wp:effectExtent l="0" t="0" r="0" b="0"/>
                      <wp:wrapNone/>
                      <wp:docPr id="27" name="Frame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38810" cy="175260"/>
                      <wp:effectExtent l="0" t="0" r="0" b="0"/>
                      <wp:wrapNone/>
                      <wp:docPr id="28" name="Frame2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81610" cy="175260"/>
                      <wp:effectExtent l="0" t="0" r="0" b="0"/>
                      <wp:wrapNone/>
                      <wp:docPr id="29" name="Frame2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0810" cy="175260"/>
                      <wp:effectExtent l="0" t="0" r="0" b="0"/>
                      <wp:wrapNone/>
                      <wp:docPr id="30" name="Frame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1775" cy="175260"/>
                      <wp:effectExtent l="0" t="0" r="0" b="0"/>
                      <wp:wrapNone/>
                      <wp:docPr id="31" name="Frame31"/>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4510" cy="175260"/>
                      <wp:effectExtent l="0" t="0" r="0" b="0"/>
                      <wp:wrapNone/>
                      <wp:docPr id="34" name="Frame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81610" cy="175260"/>
                      <wp:effectExtent l="0" t="0" r="0" b="0"/>
                      <wp:wrapNone/>
                      <wp:docPr id="35" name="Frame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0660" cy="175260"/>
                      <wp:effectExtent l="0" t="0" r="0" b="0"/>
                      <wp:wrapNone/>
                      <wp:docPr id="36" name="Frame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47675" cy="175260"/>
                      <wp:effectExtent l="0" t="0" r="0" b="0"/>
                      <wp:wrapNone/>
                      <wp:docPr id="37" name="Frame37"/>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81610" cy="175260"/>
                      <wp:effectExtent l="0" t="0" r="0" b="0"/>
                      <wp:wrapNone/>
                      <wp:docPr id="38"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69595" cy="175260"/>
                      <wp:effectExtent l="0" t="0" r="0" b="0"/>
                      <wp:wrapNone/>
                      <wp:docPr id="40" name="Frame40"/>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81610" cy="175260"/>
                      <wp:effectExtent l="0" t="0" r="0" b="0"/>
                      <wp:wrapNone/>
                      <wp:docPr id="41" name="Frame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13080" cy="175260"/>
                      <wp:effectExtent l="0" t="0" r="0" b="0"/>
                      <wp:wrapNone/>
                      <wp:docPr id="43" name="Frame4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left"/>
              <w:rPr/>
            </w:pPr>
            <w:r>
              <w:rPr/>
              <w:t>​</w:t>
            </w:r>
          </w:p>
        </w:tc>
      </w:tr>
      <w:tr>
        <w:trPr/>
        <w:tc>
          <w:tcPr>
            <w:tcW w:w="283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8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8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00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3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8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28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286" w:type="dxa"/>
            <w:tcBorders/>
            <w:vAlign w:val="center"/>
          </w:tcPr>
          <w:p>
            <w:pPr>
              <w:pStyle w:val="TableContents"/>
              <w:bidi w:val="0"/>
              <w:spacing w:before="0" w:after="1"/>
              <w:ind w:left="0" w:right="0" w:hanging="0"/>
              <w:jc w:val="left"/>
              <w:rPr/>
            </w:pPr>
            <w:r>
              <w:rPr/>
              <w:t> </w:t>
            </w:r>
          </w:p>
        </w:tc>
        <w:tc>
          <w:tcPr>
            <w:tcW w:w="109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86" w:type="dxa"/>
            <w:tcBorders/>
            <w:vAlign w:val="center"/>
          </w:tcPr>
          <w:p>
            <w:pPr>
              <w:pStyle w:val="TableContents"/>
              <w:bidi w:val="0"/>
              <w:spacing w:before="0" w:after="1"/>
              <w:ind w:left="0" w:right="0" w:hanging="0"/>
              <w:jc w:val="left"/>
              <w:rPr/>
            </w:pPr>
            <w:r>
              <w:rPr/>
              <w:t> </w:t>
            </w:r>
          </w:p>
        </w:tc>
        <w:tc>
          <w:tcPr>
            <w:tcW w:w="100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8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 thousands, except share amounts)</w:t>
            </w:r>
          </w:p>
        </w:tc>
        <w:tc>
          <w:tcPr>
            <w:tcW w:w="286" w:type="dxa"/>
            <w:tcBorders/>
            <w:vAlign w:val="center"/>
          </w:tcPr>
          <w:p>
            <w:pPr>
              <w:pStyle w:val="TableContents"/>
              <w:bidi w:val="0"/>
              <w:spacing w:before="0" w:after="1"/>
              <w:ind w:left="0" w:right="0" w:hanging="0"/>
              <w:jc w:val="left"/>
              <w:rPr/>
            </w:pPr>
            <w:r>
              <w:rPr/>
              <w:t>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86" w:type="dxa"/>
            <w:tcBorders/>
            <w:vAlign w:val="center"/>
          </w:tcPr>
          <w:p>
            <w:pPr>
              <w:pStyle w:val="TableContents"/>
              <w:bidi w:val="0"/>
              <w:spacing w:before="0" w:after="1"/>
              <w:ind w:left="0" w:right="0" w:hanging="0"/>
              <w:jc w:val="left"/>
              <w:rPr/>
            </w:pPr>
            <w:r>
              <w:rPr/>
              <w:t>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86" w:type="dxa"/>
            <w:tcBorders/>
            <w:vAlign w:val="center"/>
          </w:tcPr>
          <w:p>
            <w:pPr>
              <w:pStyle w:val="TableContents"/>
              <w:bidi w:val="0"/>
              <w:spacing w:before="0" w:after="1"/>
              <w:ind w:left="0" w:right="0" w:hanging="0"/>
              <w:jc w:val="left"/>
              <w:rPr/>
            </w:pPr>
            <w:r>
              <w:rPr/>
              <w:t>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286" w:type="dxa"/>
            <w:tcBorders/>
            <w:vAlign w:val="center"/>
          </w:tcPr>
          <w:p>
            <w:pPr>
              <w:pStyle w:val="TableContents"/>
              <w:bidi w:val="0"/>
              <w:spacing w:before="0" w:after="1"/>
              <w:ind w:left="0" w:right="0" w:hanging="0"/>
              <w:jc w:val="left"/>
              <w:rPr/>
            </w:pPr>
            <w:r>
              <w:rPr/>
              <w:t>  ​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86" w:type="dxa"/>
            <w:tcBorders/>
            <w:vAlign w:val="center"/>
          </w:tcPr>
          <w:p>
            <w:pPr>
              <w:pStyle w:val="TableContents"/>
              <w:bidi w:val="0"/>
              <w:spacing w:before="0" w:after="1"/>
              <w:ind w:left="0" w:right="0" w:hanging="0"/>
              <w:jc w:val="left"/>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4"/>
              </w:rPr>
              <w:t>Equity</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104,706,773</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1,202,975</w:t>
            </w:r>
          </w:p>
        </w:tc>
        <w:tc>
          <w:tcPr>
            <w:tcW w:w="2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(901,876)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301,297</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public offering, net of underwriting discounts, commissions and offering costs of $21,260</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20,297,500</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323,797</w:t>
            </w:r>
          </w:p>
        </w:tc>
        <w:tc>
          <w:tcPr>
            <w:tcW w:w="2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323,799</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upon exercise of stock options </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2,177,964</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23,265</w:t>
            </w:r>
          </w:p>
        </w:tc>
        <w:tc>
          <w:tcPr>
            <w:tcW w:w="2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 </w:t>
            </w:r>
          </w:p>
        </w:tc>
        <w:tc>
          <w:tcPr>
            <w:tcW w:w="70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23,265</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47,509</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early exercised stock options</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2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 </w:t>
            </w:r>
          </w:p>
        </w:tc>
        <w:tc>
          <w:tcPr>
            <w:tcW w:w="70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12,339</w:t>
            </w:r>
          </w:p>
        </w:tc>
        <w:tc>
          <w:tcPr>
            <w:tcW w:w="2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 </w:t>
            </w:r>
          </w:p>
        </w:tc>
        <w:tc>
          <w:tcPr>
            <w:tcW w:w="70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12,339</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 </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28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(93,053)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(93,053)</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127,229,746</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1,562,405</w:t>
            </w:r>
          </w:p>
        </w:tc>
        <w:tc>
          <w:tcPr>
            <w:tcW w:w="286" w:type="dxa"/>
            <w:tcBorders/>
            <w:shd w:fill="CCEEFF" w:val="clear"/>
            <w:vAlign w:val="center"/>
          </w:tcPr>
          <w:p>
            <w:pPr>
              <w:pStyle w:val="TableContents"/>
              <w:bidi w:val="0"/>
              <w:spacing w:before="0" w:after="1"/>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(994,929)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567,021</w:t>
            </w:r>
          </w:p>
        </w:tc>
      </w:tr>
      <w:tr>
        <w:trPr/>
        <w:tc>
          <w:tcPr>
            <w:tcW w:w="2832"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center"/>
              <w:rPr/>
            </w:pPr>
            <w:r>
              <w:rPr/>
              <w:t>​</w:t>
            </w:r>
          </w:p>
        </w:tc>
        <w:tc>
          <w:tcPr>
            <w:tcW w:w="705"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08" w:type="dxa"/>
            <w:tcBorders/>
            <w:vAlign w:val="center"/>
          </w:tcPr>
          <w:p>
            <w:pPr>
              <w:pStyle w:val="TableContents"/>
              <w:bidi w:val="0"/>
              <w:spacing w:before="0" w:after="1"/>
              <w:ind w:left="0" w:right="0" w:hanging="0"/>
              <w:jc w:val="center"/>
              <w:rPr/>
            </w:pPr>
            <w:r>
              <w:rPr/>
              <w:t>​</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1,001,393</w:t>
            </w:r>
          </w:p>
        </w:tc>
        <w:tc>
          <w:tcPr>
            <w:tcW w:w="28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11,708</w:t>
            </w:r>
          </w:p>
        </w:tc>
        <w:tc>
          <w:tcPr>
            <w:tcW w:w="2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11,708</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21,156</w:t>
            </w:r>
          </w:p>
        </w:tc>
        <w:tc>
          <w:tcPr>
            <w:tcW w:w="28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right"/>
              <w:rPr/>
            </w:pPr>
            <w:r>
              <w:rPr/>
              <w:t>​</w:t>
            </w:r>
          </w:p>
        </w:tc>
        <w:tc>
          <w:tcPr>
            <w:tcW w:w="70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08" w:type="dxa"/>
            <w:tcBorders/>
            <w:vAlign w:val="center"/>
          </w:tcPr>
          <w:p>
            <w:pPr>
              <w:pStyle w:val="TableContents"/>
              <w:bidi w:val="0"/>
              <w:spacing w:before="0" w:after="1"/>
              <w:ind w:left="0" w:right="0" w:hanging="0"/>
              <w:jc w:val="right"/>
              <w:rPr/>
            </w:pPr>
            <w:r>
              <w:rPr/>
              <w:t>—</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under the 2024 Employee Stock Purchase Plan</w:t>
            </w:r>
          </w:p>
        </w:tc>
        <w:tc>
          <w:tcPr>
            <w:tcW w:w="28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253,150</w:t>
            </w:r>
          </w:p>
        </w:tc>
        <w:tc>
          <w:tcPr>
            <w:tcW w:w="28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w:t>
            </w:r>
          </w:p>
        </w:tc>
        <w:tc>
          <w:tcPr>
            <w:tcW w:w="2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early exercised stock options</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28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right"/>
              <w:rPr/>
            </w:pPr>
            <w:r>
              <w:rPr/>
              <w:t>​</w:t>
            </w:r>
          </w:p>
        </w:tc>
        <w:tc>
          <w:tcPr>
            <w:tcW w:w="70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14,273</w:t>
            </w:r>
          </w:p>
        </w:tc>
        <w:tc>
          <w:tcPr>
            <w:tcW w:w="28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right"/>
              <w:rPr/>
            </w:pPr>
            <w:r>
              <w:rPr/>
              <w:t>​</w:t>
            </w:r>
          </w:p>
        </w:tc>
        <w:tc>
          <w:tcPr>
            <w:tcW w:w="70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14,273</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right"/>
              <w:rPr/>
            </w:pPr>
            <w:r>
              <w:rPr/>
              <w:t>​</w:t>
            </w:r>
          </w:p>
        </w:tc>
        <w:tc>
          <w:tcPr>
            <w:tcW w:w="70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97"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28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(142,221)</w:t>
            </w:r>
          </w:p>
        </w:tc>
        <w:tc>
          <w:tcPr>
            <w:tcW w:w="28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(142,221)</w:t>
            </w:r>
          </w:p>
        </w:tc>
      </w:tr>
      <w:tr>
        <w:trPr/>
        <w:tc>
          <w:tcPr>
            <w:tcW w:w="283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286" w:type="dxa"/>
            <w:tcBorders/>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128,505,445</w:t>
            </w:r>
          </w:p>
        </w:tc>
        <w:tc>
          <w:tcPr>
            <w:tcW w:w="28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1,589,979</w:t>
            </w:r>
          </w:p>
        </w:tc>
        <w:tc>
          <w:tcPr>
            <w:tcW w:w="286" w:type="dxa"/>
            <w:tcBorders/>
            <w:vAlign w:val="center"/>
          </w:tcPr>
          <w:p>
            <w:pPr>
              <w:pStyle w:val="TableContents"/>
              <w:bidi w:val="0"/>
              <w:spacing w:before="0" w:after="1"/>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(1,137,150)</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452,158</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9" w:name="Tc_zT564K-27kq4KgJbZgVXYQ_21_16"/>
      <w:bookmarkStart w:id="480" w:name="Tc_xJLa-p0Bfk2u53iSW9kXwg_21_13"/>
      <w:bookmarkStart w:id="481" w:name="Tc_fRoHEvBHFk6xesMKuPbGsQ_21_10"/>
      <w:bookmarkStart w:id="482" w:name="Tc_0BoR98fBkEKfNas_s-gweA_21_7"/>
      <w:bookmarkStart w:id="483" w:name="Tc_UBZDOpSBL0-3D31IqOtgoQ_21_4"/>
      <w:bookmarkStart w:id="484" w:name="Tc_rrnwCaQvHE6r-lBc1F6JQg_21_0"/>
      <w:bookmarkStart w:id="485" w:name="Tc_Qyo07AXn1ECjeriw9OVHsQ_20_11"/>
      <w:bookmarkStart w:id="486" w:name="Tc_s29fVJpC_k2BKDK92kb5WQ_20_8"/>
      <w:bookmarkStart w:id="487" w:name="Tc_f2VP9GQuWEmFVaCIi24sWg_20_5"/>
      <w:bookmarkStart w:id="488" w:name="Tc_9atQF8l96Uamhst0MjItOw_20_2"/>
      <w:bookmarkStart w:id="489" w:name="Tc_Mboy3rRV_kWF-XYNPwz55Q_20_0"/>
      <w:bookmarkStart w:id="490" w:name="Tc_fs5HuTNO5EyKjD4COc0IzQ_19_14"/>
      <w:bookmarkStart w:id="491" w:name="Tc_R3QTJOaqNEGmWUW-kNDIYA_19_8"/>
      <w:bookmarkStart w:id="492" w:name="Tc_-u5NKtJrpkCwC7x0h_JWSw_19_5"/>
      <w:bookmarkStart w:id="493" w:name="Tc_0jJfzknVPUmkUl14xoLKcQ_19_2"/>
      <w:bookmarkStart w:id="494" w:name="Tc_cnvLosjbxkaXSNuiTYGydw_19_0"/>
      <w:bookmarkStart w:id="495" w:name="Tc_Y81CiBO0GU6bzGw-iTB3Pw_18_14"/>
      <w:bookmarkStart w:id="496" w:name="Tc_2WHRzgxf_E6TdAZkaE4V0w_18_11"/>
      <w:bookmarkStart w:id="497" w:name="Tc_VXDMXvJOwker1R7ONn7xQg_18_5"/>
      <w:bookmarkStart w:id="498" w:name="Tc_xd92rpTxH0uOiaK7U3oHQQ_18_2"/>
      <w:bookmarkStart w:id="499" w:name="Tc_I_Sfw4c3-0GoUxk0hIvTbA_18_0"/>
      <w:bookmarkStart w:id="500" w:name="Tc_p5uoyUwaCE-Ksu2jm8gaEA_17_17"/>
      <w:bookmarkStart w:id="501" w:name="Tc_NwClRHGTeUu7pR5CfFbb0Q_17_14"/>
      <w:bookmarkStart w:id="502" w:name="Tc_BXN8sX9ftkyD7uKFlxlZ_w_17_11"/>
      <w:bookmarkStart w:id="503" w:name="Tc_r5BXdsEf9kqtun4T6eKdGQ_17_8"/>
      <w:bookmarkStart w:id="504" w:name="Tc_GBAf4CniikqGSOMqwV57Xw_17_5"/>
      <w:bookmarkStart w:id="505" w:name="Tc_flcgMREXUEyQDci0G_wqoA_17_0"/>
      <w:bookmarkStart w:id="506" w:name="Tc_nNyYNeCi8EC2UMmFQYgDsw_16_14"/>
      <w:bookmarkStart w:id="507" w:name="Tc_f4oyEUAkX06a9YcWc-WwlQ_16_11"/>
      <w:bookmarkStart w:id="508" w:name="Tc_WbAXk6m18EGaFQ_jgsYPLA_16_5"/>
      <w:bookmarkStart w:id="509" w:name="Tc_UmRs5UwgHE2mnphT2vL7og_16_2"/>
      <w:bookmarkStart w:id="510" w:name="Tc_mvha3e9hC0uYYwJT_tgn7w_16_0"/>
      <w:bookmarkStart w:id="511" w:name="Tc_0pDi7WHAzES_fNdlgpKPfg_15_14"/>
      <w:bookmarkStart w:id="512" w:name="Tc_sUVSOJg59EmyRgCATxpxgA_15_11"/>
      <w:bookmarkStart w:id="513" w:name="Tc_WaOAhn_IhUm-Du9L1_xF1Q_15_5"/>
      <w:bookmarkStart w:id="514" w:name="Tc_hbu-7msUb0WGqPFKvY_dcg_15_0"/>
      <w:bookmarkStart w:id="515" w:name="Tc_5Vb0RnrxwU6Ao5vQcPgX7g_14_17"/>
      <w:bookmarkStart w:id="516" w:name="Tc_RqnAv8TpRkiZdwZ-QUbtrg_14_14"/>
      <w:bookmarkStart w:id="517" w:name="Tc_515_sx5_RkS1LzW1BgN0XA_14_11"/>
      <w:bookmarkStart w:id="518" w:name="Tc__eTZaUCmpkiKRqozUyXK1w_14_8"/>
      <w:bookmarkStart w:id="519" w:name="Tc_npacqyMff0C_eoTA1ewiEA_14_5"/>
      <w:bookmarkStart w:id="520" w:name="Tc_lCgHJ2nIgE-yxpkToR5Vqg_14_0"/>
      <w:bookmarkStart w:id="521" w:name="Tc_0L8F5T9MBU2shgUzR6OXIw_13_14"/>
      <w:bookmarkStart w:id="522" w:name="Tc_RC9SwJ4lD0mwlFzXBXy0tg_13_11"/>
      <w:bookmarkStart w:id="523" w:name="Tc_Exf8NJVUN0-mNyQ5jv9FNw_13_0"/>
      <w:bookmarkStart w:id="524" w:name="Tc_Sjj5Fhz2b0uDLa06k9TVVA_11_16"/>
      <w:bookmarkStart w:id="525" w:name="Tc_n0x71_KojkWlALI8hvCQOA_11_13"/>
      <w:bookmarkStart w:id="526" w:name="Tc_jen1H2xwMkatLnkuFTwVXg_11_10"/>
      <w:bookmarkStart w:id="527" w:name="Tc_-YaCdC5XC0y4kCifpW5E-A_11_7"/>
      <w:bookmarkStart w:id="528" w:name="Tc_flcLENniEEuC7jKmRkY5Yw_11_4"/>
      <w:bookmarkStart w:id="529" w:name="Tc_lkVt7ekUpUCLuchmiIyvNw_11_0"/>
      <w:bookmarkStart w:id="530" w:name="Tc_LQROk_07nEOS102kau04Gw_10_11"/>
      <w:bookmarkStart w:id="531" w:name="Tc_koD48n9ybEWYkJbr_zCY7Q_10_8"/>
      <w:bookmarkStart w:id="532" w:name="Tc_X1ytZ3-VNkGGkg1FfypePg_10_5"/>
      <w:bookmarkStart w:id="533" w:name="Tc_BlNJynMdUU6tXnubjzy4Bg_10_2"/>
      <w:bookmarkStart w:id="534" w:name="Tc_h7kLRnumLE6WgRNZPTWg0A_10_0"/>
      <w:bookmarkStart w:id="535" w:name="Tc_nkwlhK0_nkGtmBAPFCW25w_9_14"/>
      <w:bookmarkStart w:id="536" w:name="Tc_oamjHX1t2UqKQrZmMunoLg_9_8"/>
      <w:bookmarkStart w:id="537" w:name="Tc_4eKp_kgCLE6vI5LM94a3jw_9_5"/>
      <w:bookmarkStart w:id="538" w:name="Tc_rF7mIVjEKk-7-6HJVBy1_g_9_2"/>
      <w:bookmarkStart w:id="539" w:name="Tc_nuKFLlbZLku_t9xFJ_XVnA_9_0"/>
      <w:bookmarkStart w:id="540" w:name="Tc_4TFHlnPb9EqivTD-q2U-zA_8_14"/>
      <w:bookmarkStart w:id="541" w:name="Tc_UJz7TPQbS0-zhFXJ-CsZdg_8_11"/>
      <w:bookmarkStart w:id="542" w:name="Tc_P_avED5JvkChUIwuQxCL2A_8_5"/>
      <w:bookmarkStart w:id="543" w:name="Tc_bQcEH4CtxkaqmYUyP1SGDw_8_2"/>
      <w:bookmarkStart w:id="544" w:name="Tc_yedJiDilK0-2GDMNyTW6-w_8_0"/>
      <w:bookmarkStart w:id="545" w:name="Tc_Xd7A_IGe8Em0ozhvB3mwIQ_7_14"/>
      <w:bookmarkStart w:id="546" w:name="Tc_XoK0PMWOd06m6C3KpFZBjA_7_11"/>
      <w:bookmarkStart w:id="547" w:name="Tc_bP28_x4LFEWSRCekKeCz7w_7_5"/>
      <w:bookmarkStart w:id="548" w:name="Tc__c7t2hokUUOoHhGG2uVoTw_7_2"/>
      <w:bookmarkStart w:id="549" w:name="Tc_X3WiMZ2ihUSfYulei6rLhg_7_0"/>
      <w:bookmarkStart w:id="550" w:name="Tc_Gjxiax8OL0axs_z9jW12Sw_6_14"/>
      <w:bookmarkStart w:id="551" w:name="Tc_gbpZU4GBt0SHKiI-8pLnEw_6_11"/>
      <w:bookmarkStart w:id="552" w:name="Tc_nfeDoTBz0UW_sXnA7A68UA_6_5"/>
      <w:bookmarkStart w:id="553" w:name="Tc_mOTvJYwHd0e5449EI0uuMQ_6_2"/>
      <w:bookmarkStart w:id="554" w:name="Tc_jg_xRSW4wkesMVlwY1sFkw_6_0"/>
      <w:bookmarkStart w:id="555" w:name="Tc_gw6KHnczgEyfQSl_7mWOKg_5_16"/>
      <w:bookmarkStart w:id="556" w:name="Tc_p7Vel9LfaUmFVU2qihFDng_5_13"/>
      <w:bookmarkStart w:id="557" w:name="Tc__eUf_7GNUEqJ8ZgoAWLhJw_5_10"/>
      <w:bookmarkStart w:id="558" w:name="Tc_7WhPs6sBSku7e39H0We_4Q_5_7"/>
      <w:bookmarkStart w:id="559" w:name="Tc_tnEAtEWsnEuEo6K5GjdAxA_5_4"/>
      <w:bookmarkStart w:id="560" w:name="Tc_XBAsZDhndk6kF787fklF-w_5_0"/>
      <w:bookmarkStart w:id="561" w:name="Tc_SAO1BeytFkarVRSXftNSzQ_4_16"/>
      <w:bookmarkStart w:id="562" w:name="Tc_5rKaLcTGkEuc0Es7u9o-fQ_4_13"/>
      <w:bookmarkStart w:id="563" w:name="Tc_dRL0BR2T4kyGaNRirQ2MVA_4_10"/>
      <w:bookmarkStart w:id="564" w:name="Tc_QYhboazmTE-ZYC6B1YAiFw_4_7"/>
      <w:bookmarkStart w:id="565" w:name="Tc_QnhqMT1Z2U6BaJLPVI2Csw_4_4"/>
      <w:bookmarkStart w:id="566" w:name="Tc_BKgPEgSWwEOX_0_vyBFQaQ_4_2"/>
      <w:bookmarkStart w:id="567" w:name="Tc_Zilzj_IS9UWnmSyF2DhysA_4_0"/>
      <w:bookmarkStart w:id="568" w:name="Tc_Tdai-YiKOk-UvS2vjajq3w_3_16"/>
      <w:bookmarkStart w:id="569" w:name="Tc_eRjM_sMIaEWNh1CpLjckNQ_3_13"/>
      <w:bookmarkStart w:id="570" w:name="Tc_VrrplAikKUGiOrrPJXzI3A_3_10"/>
      <w:bookmarkStart w:id="571" w:name="Tc_VMdtcOTd5EilqsGK5UB6_w_3_7"/>
      <w:bookmarkStart w:id="572" w:name="Tc_4LqlePiWBU6C26UG0Hpp5A_3_2"/>
      <w:bookmarkStart w:id="573" w:name="Tc_Y30_ZLP8zEChFl-j3A1HgQ_2_16"/>
      <w:bookmarkStart w:id="574" w:name="Tc_5MMQoLwDLUqJ4qnxqHKODw_2_10"/>
      <w:bookmarkStart w:id="575" w:name="Tc_OmFq_WiCMkislzq0FM-ngw_2_7"/>
      <w:bookmarkStart w:id="576" w:name="Tc_UC7KAA1nlU2Tcelnh89zbw_1_10"/>
      <w:bookmarkStart w:id="577" w:name="_1e881822_ed20_49e6_b78a_d83fd50f80e8"/>
      <w:bookmarkStart w:id="578" w:name="Tc_zT564K-27kq4KgJbZgVXYQ_21_16"/>
      <w:bookmarkStart w:id="579" w:name="Tc_xJLa-p0Bfk2u53iSW9kXwg_21_13"/>
      <w:bookmarkStart w:id="580" w:name="Tc_fRoHEvBHFk6xesMKuPbGsQ_21_10"/>
      <w:bookmarkStart w:id="581" w:name="Tc_0BoR98fBkEKfNas_s-gweA_21_7"/>
      <w:bookmarkStart w:id="582" w:name="Tc_UBZDOpSBL0-3D31IqOtgoQ_21_4"/>
      <w:bookmarkStart w:id="583" w:name="Tc_rrnwCaQvHE6r-lBc1F6JQg_21_0"/>
      <w:bookmarkStart w:id="584" w:name="Tc_Qyo07AXn1ECjeriw9OVHsQ_20_11"/>
      <w:bookmarkStart w:id="585" w:name="Tc_s29fVJpC_k2BKDK92kb5WQ_20_8"/>
      <w:bookmarkStart w:id="586" w:name="Tc_f2VP9GQuWEmFVaCIi24sWg_20_5"/>
      <w:bookmarkStart w:id="587" w:name="Tc_9atQF8l96Uamhst0MjItOw_20_2"/>
      <w:bookmarkStart w:id="588" w:name="Tc_Mboy3rRV_kWF-XYNPwz55Q_20_0"/>
      <w:bookmarkStart w:id="589" w:name="Tc_fs5HuTNO5EyKjD4COc0IzQ_19_14"/>
      <w:bookmarkStart w:id="590" w:name="Tc_R3QTJOaqNEGmWUW-kNDIYA_19_8"/>
      <w:bookmarkStart w:id="591" w:name="Tc_-u5NKtJrpkCwC7x0h_JWSw_19_5"/>
      <w:bookmarkStart w:id="592" w:name="Tc_0jJfzknVPUmkUl14xoLKcQ_19_2"/>
      <w:bookmarkStart w:id="593" w:name="Tc_cnvLosjbxkaXSNuiTYGydw_19_0"/>
      <w:bookmarkStart w:id="594" w:name="Tc_Y81CiBO0GU6bzGw-iTB3Pw_18_14"/>
      <w:bookmarkStart w:id="595" w:name="Tc_2WHRzgxf_E6TdAZkaE4V0w_18_11"/>
      <w:bookmarkStart w:id="596" w:name="Tc_VXDMXvJOwker1R7ONn7xQg_18_5"/>
      <w:bookmarkStart w:id="597" w:name="Tc_xd92rpTxH0uOiaK7U3oHQQ_18_2"/>
      <w:bookmarkStart w:id="598" w:name="Tc_I_Sfw4c3-0GoUxk0hIvTbA_18_0"/>
      <w:bookmarkStart w:id="599" w:name="Tc_p5uoyUwaCE-Ksu2jm8gaEA_17_17"/>
      <w:bookmarkStart w:id="600" w:name="Tc_NwClRHGTeUu7pR5CfFbb0Q_17_14"/>
      <w:bookmarkStart w:id="601" w:name="Tc_BXN8sX9ftkyD7uKFlxlZ_w_17_11"/>
      <w:bookmarkStart w:id="602" w:name="Tc_r5BXdsEf9kqtun4T6eKdGQ_17_8"/>
      <w:bookmarkStart w:id="603" w:name="Tc_GBAf4CniikqGSOMqwV57Xw_17_5"/>
      <w:bookmarkStart w:id="604" w:name="Tc_flcgMREXUEyQDci0G_wqoA_17_0"/>
      <w:bookmarkStart w:id="605" w:name="Tc_nNyYNeCi8EC2UMmFQYgDsw_16_14"/>
      <w:bookmarkStart w:id="606" w:name="Tc_f4oyEUAkX06a9YcWc-WwlQ_16_11"/>
      <w:bookmarkStart w:id="607" w:name="Tc_WbAXk6m18EGaFQ_jgsYPLA_16_5"/>
      <w:bookmarkStart w:id="608" w:name="Tc_UmRs5UwgHE2mnphT2vL7og_16_2"/>
      <w:bookmarkStart w:id="609" w:name="Tc_mvha3e9hC0uYYwJT_tgn7w_16_0"/>
      <w:bookmarkStart w:id="610" w:name="Tc_0pDi7WHAzES_fNdlgpKPfg_15_14"/>
      <w:bookmarkStart w:id="611" w:name="Tc_sUVSOJg59EmyRgCATxpxgA_15_11"/>
      <w:bookmarkStart w:id="612" w:name="Tc_WaOAhn_IhUm-Du9L1_xF1Q_15_5"/>
      <w:bookmarkStart w:id="613" w:name="Tc_hbu-7msUb0WGqPFKvY_dcg_15_0"/>
      <w:bookmarkStart w:id="614" w:name="Tc_5Vb0RnrxwU6Ao5vQcPgX7g_14_17"/>
      <w:bookmarkStart w:id="615" w:name="Tc_RqnAv8TpRkiZdwZ-QUbtrg_14_14"/>
      <w:bookmarkStart w:id="616" w:name="Tc_515_sx5_RkS1LzW1BgN0XA_14_11"/>
      <w:bookmarkStart w:id="617" w:name="Tc__eTZaUCmpkiKRqozUyXK1w_14_8"/>
      <w:bookmarkStart w:id="618" w:name="Tc_npacqyMff0C_eoTA1ewiEA_14_5"/>
      <w:bookmarkStart w:id="619" w:name="Tc_lCgHJ2nIgE-yxpkToR5Vqg_14_0"/>
      <w:bookmarkStart w:id="620" w:name="Tc_0L8F5T9MBU2shgUzR6OXIw_13_14"/>
      <w:bookmarkStart w:id="621" w:name="Tc_RC9SwJ4lD0mwlFzXBXy0tg_13_11"/>
      <w:bookmarkStart w:id="622" w:name="Tc_Exf8NJVUN0-mNyQ5jv9FNw_13_0"/>
      <w:bookmarkStart w:id="623" w:name="Tc_Sjj5Fhz2b0uDLa06k9TVVA_11_16"/>
      <w:bookmarkStart w:id="624" w:name="Tc_n0x71_KojkWlALI8hvCQOA_11_13"/>
      <w:bookmarkStart w:id="625" w:name="Tc_jen1H2xwMkatLnkuFTwVXg_11_10"/>
      <w:bookmarkStart w:id="626" w:name="Tc_-YaCdC5XC0y4kCifpW5E-A_11_7"/>
      <w:bookmarkStart w:id="627" w:name="Tc_flcLENniEEuC7jKmRkY5Yw_11_4"/>
      <w:bookmarkStart w:id="628" w:name="Tc_lkVt7ekUpUCLuchmiIyvNw_11_0"/>
      <w:bookmarkStart w:id="629" w:name="Tc_LQROk_07nEOS102kau04Gw_10_11"/>
      <w:bookmarkStart w:id="630" w:name="Tc_koD48n9ybEWYkJbr_zCY7Q_10_8"/>
      <w:bookmarkStart w:id="631" w:name="Tc_X1ytZ3-VNkGGkg1FfypePg_10_5"/>
      <w:bookmarkStart w:id="632" w:name="Tc_BlNJynMdUU6tXnubjzy4Bg_10_2"/>
      <w:bookmarkStart w:id="633" w:name="Tc_h7kLRnumLE6WgRNZPTWg0A_10_0"/>
      <w:bookmarkStart w:id="634" w:name="Tc_nkwlhK0_nkGtmBAPFCW25w_9_14"/>
      <w:bookmarkStart w:id="635" w:name="Tc_oamjHX1t2UqKQrZmMunoLg_9_8"/>
      <w:bookmarkStart w:id="636" w:name="Tc_4eKp_kgCLE6vI5LM94a3jw_9_5"/>
      <w:bookmarkStart w:id="637" w:name="Tc_rF7mIVjEKk-7-6HJVBy1_g_9_2"/>
      <w:bookmarkStart w:id="638" w:name="Tc_nuKFLlbZLku_t9xFJ_XVnA_9_0"/>
      <w:bookmarkStart w:id="639" w:name="Tc_4TFHlnPb9EqivTD-q2U-zA_8_14"/>
      <w:bookmarkStart w:id="640" w:name="Tc_UJz7TPQbS0-zhFXJ-CsZdg_8_11"/>
      <w:bookmarkStart w:id="641" w:name="Tc_P_avED5JvkChUIwuQxCL2A_8_5"/>
      <w:bookmarkStart w:id="642" w:name="Tc_bQcEH4CtxkaqmYUyP1SGDw_8_2"/>
      <w:bookmarkStart w:id="643" w:name="Tc_yedJiDilK0-2GDMNyTW6-w_8_0"/>
      <w:bookmarkStart w:id="644" w:name="Tc_Xd7A_IGe8Em0ozhvB3mwIQ_7_14"/>
      <w:bookmarkStart w:id="645" w:name="Tc_XoK0PMWOd06m6C3KpFZBjA_7_11"/>
      <w:bookmarkStart w:id="646" w:name="Tc_bP28_x4LFEWSRCekKeCz7w_7_5"/>
      <w:bookmarkStart w:id="647" w:name="Tc__c7t2hokUUOoHhGG2uVoTw_7_2"/>
      <w:bookmarkStart w:id="648" w:name="Tc_X3WiMZ2ihUSfYulei6rLhg_7_0"/>
      <w:bookmarkStart w:id="649" w:name="Tc_Gjxiax8OL0axs_z9jW12Sw_6_14"/>
      <w:bookmarkStart w:id="650" w:name="Tc_gbpZU4GBt0SHKiI-8pLnEw_6_11"/>
      <w:bookmarkStart w:id="651" w:name="Tc_nfeDoTBz0UW_sXnA7A68UA_6_5"/>
      <w:bookmarkStart w:id="652" w:name="Tc_mOTvJYwHd0e5449EI0uuMQ_6_2"/>
      <w:bookmarkStart w:id="653" w:name="Tc_jg_xRSW4wkesMVlwY1sFkw_6_0"/>
      <w:bookmarkStart w:id="654" w:name="Tc_gw6KHnczgEyfQSl_7mWOKg_5_16"/>
      <w:bookmarkStart w:id="655" w:name="Tc_p7Vel9LfaUmFVU2qihFDng_5_13"/>
      <w:bookmarkStart w:id="656" w:name="Tc__eUf_7GNUEqJ8ZgoAWLhJw_5_10"/>
      <w:bookmarkStart w:id="657" w:name="Tc_7WhPs6sBSku7e39H0We_4Q_5_7"/>
      <w:bookmarkStart w:id="658" w:name="Tc_tnEAtEWsnEuEo6K5GjdAxA_5_4"/>
      <w:bookmarkStart w:id="659" w:name="Tc_XBAsZDhndk6kF787fklF-w_5_0"/>
      <w:bookmarkStart w:id="660" w:name="Tc_SAO1BeytFkarVRSXftNSzQ_4_16"/>
      <w:bookmarkStart w:id="661" w:name="Tc_5rKaLcTGkEuc0Es7u9o-fQ_4_13"/>
      <w:bookmarkStart w:id="662" w:name="Tc_dRL0BR2T4kyGaNRirQ2MVA_4_10"/>
      <w:bookmarkStart w:id="663" w:name="Tc_QYhboazmTE-ZYC6B1YAiFw_4_7"/>
      <w:bookmarkStart w:id="664" w:name="Tc_QnhqMT1Z2U6BaJLPVI2Csw_4_4"/>
      <w:bookmarkStart w:id="665" w:name="Tc_BKgPEgSWwEOX_0_vyBFQaQ_4_2"/>
      <w:bookmarkStart w:id="666" w:name="Tc_Zilzj_IS9UWnmSyF2DhysA_4_0"/>
      <w:bookmarkStart w:id="667" w:name="Tc_Tdai-YiKOk-UvS2vjajq3w_3_16"/>
      <w:bookmarkStart w:id="668" w:name="Tc_eRjM_sMIaEWNh1CpLjckNQ_3_13"/>
      <w:bookmarkStart w:id="669" w:name="Tc_VrrplAikKUGiOrrPJXzI3A_3_10"/>
      <w:bookmarkStart w:id="670" w:name="Tc_VMdtcOTd5EilqsGK5UB6_w_3_7"/>
      <w:bookmarkStart w:id="671" w:name="Tc_4LqlePiWBU6C26UG0Hpp5A_3_2"/>
      <w:bookmarkStart w:id="672" w:name="Tc_Y30_ZLP8zEChFl-j3A1HgQ_2_16"/>
      <w:bookmarkStart w:id="673" w:name="Tc_5MMQoLwDLUqJ4qnxqHKODw_2_10"/>
      <w:bookmarkStart w:id="674" w:name="Tc_OmFq_WiCMkislzq0FM-ngw_2_7"/>
      <w:bookmarkStart w:id="675" w:name="Tc_UC7KAA1nlU2Tcelnh89zbw_1_10"/>
      <w:bookmarkStart w:id="676" w:name="_1e881822_ed20_49e6_b78a_d83fd50f80e8"/>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tbl>
      <w:tblPr>
        <w:tblW w:w="10205" w:type="dxa"/>
        <w:jc w:val="left"/>
        <w:tblInd w:w="0" w:type="dxa"/>
        <w:tblLayout w:type="fixed"/>
        <w:tblCellMar>
          <w:top w:w="0" w:type="dxa"/>
          <w:left w:w="0" w:type="dxa"/>
          <w:bottom w:w="0" w:type="dxa"/>
          <w:right w:w="0" w:type="dxa"/>
        </w:tblCellMar>
      </w:tblPr>
      <w:tblGrid>
        <w:gridCol w:w="2971"/>
        <w:gridCol w:w="286"/>
        <w:gridCol w:w="1006"/>
        <w:gridCol w:w="286"/>
        <w:gridCol w:w="206"/>
        <w:gridCol w:w="365"/>
        <w:gridCol w:w="226"/>
        <w:gridCol w:w="196"/>
        <w:gridCol w:w="826"/>
        <w:gridCol w:w="286"/>
        <w:gridCol w:w="368"/>
        <w:gridCol w:w="653"/>
        <w:gridCol w:w="286"/>
        <w:gridCol w:w="196"/>
        <w:gridCol w:w="769"/>
        <w:gridCol w:w="286"/>
        <w:gridCol w:w="196"/>
        <w:gridCol w:w="797"/>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86585" cy="175260"/>
                      <wp:effectExtent l="0" t="0" r="0" b="0"/>
                      <wp:wrapNone/>
                      <wp:docPr id="44" name="Frame4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1610" cy="175260"/>
                      <wp:effectExtent l="0" t="0" r="0" b="0"/>
                      <wp:wrapNone/>
                      <wp:docPr id="45" name="Frame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38810" cy="175260"/>
                      <wp:effectExtent l="0" t="0" r="0" b="0"/>
                      <wp:wrapNone/>
                      <wp:docPr id="46"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1610" cy="175260"/>
                      <wp:effectExtent l="0" t="0" r="0" b="0"/>
                      <wp:wrapNone/>
                      <wp:docPr id="47" name="Frame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0810" cy="175260"/>
                      <wp:effectExtent l="0" t="0" r="0" b="0"/>
                      <wp:wrapNone/>
                      <wp:docPr id="48" name="Frame4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1775" cy="175260"/>
                      <wp:effectExtent l="0" t="0" r="0" b="0"/>
                      <wp:wrapNone/>
                      <wp:docPr id="49" name="Frame4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3510" cy="175260"/>
                      <wp:effectExtent l="0" t="0" r="0" b="0"/>
                      <wp:wrapNone/>
                      <wp:docPr id="50"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4510" cy="175260"/>
                      <wp:effectExtent l="0" t="0" r="0" b="0"/>
                      <wp:wrapNone/>
                      <wp:docPr id="52"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3" name="Frame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3680" cy="175260"/>
                      <wp:effectExtent l="0" t="0" r="0" b="0"/>
                      <wp:wrapNone/>
                      <wp:docPr id="54" name="Frame5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4655" cy="175260"/>
                      <wp:effectExtent l="0" t="0" r="0" b="0"/>
                      <wp:wrapNone/>
                      <wp:docPr id="55" name="Frame55"/>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1610" cy="175260"/>
                      <wp:effectExtent l="0" t="0" r="0" b="0"/>
                      <wp:wrapNone/>
                      <wp:docPr id="56" name="Frame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8315" cy="175260"/>
                      <wp:effectExtent l="0" t="0" r="0" b="0"/>
                      <wp:wrapNone/>
                      <wp:docPr id="58" name="Frame58"/>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1610" cy="175260"/>
                      <wp:effectExtent l="0" t="0" r="0" b="0"/>
                      <wp:wrapNone/>
                      <wp:docPr id="59" name="Frame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6095" cy="175260"/>
                      <wp:effectExtent l="0" t="0" r="0" b="0"/>
                      <wp:wrapNone/>
                      <wp:docPr id="61" name="Frame6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8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8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9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8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28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286" w:type="dxa"/>
            <w:tcBorders/>
            <w:vAlign w:val="center"/>
          </w:tcPr>
          <w:p>
            <w:pPr>
              <w:pStyle w:val="TableContents"/>
              <w:bidi w:val="0"/>
              <w:spacing w:before="0" w:after="1"/>
              <w:ind w:left="0" w:right="0" w:hanging="0"/>
              <w:jc w:val="left"/>
              <w:rPr/>
            </w:pPr>
            <w:r>
              <w:rPr/>
              <w:t> </w:t>
            </w:r>
          </w:p>
        </w:tc>
        <w:tc>
          <w:tcPr>
            <w:tcW w:w="96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86" w:type="dxa"/>
            <w:tcBorders/>
            <w:vAlign w:val="center"/>
          </w:tcPr>
          <w:p>
            <w:pPr>
              <w:pStyle w:val="TableContents"/>
              <w:bidi w:val="0"/>
              <w:spacing w:before="0" w:after="1"/>
              <w:ind w:left="0" w:right="0" w:hanging="0"/>
              <w:jc w:val="left"/>
              <w:rPr/>
            </w:pPr>
            <w:r>
              <w:rPr/>
              <w:t> </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 thousands, except share amounts)</w:t>
            </w:r>
          </w:p>
        </w:tc>
        <w:tc>
          <w:tcPr>
            <w:tcW w:w="286" w:type="dxa"/>
            <w:tcBorders/>
            <w:vAlign w:val="center"/>
          </w:tcPr>
          <w:p>
            <w:pPr>
              <w:pStyle w:val="TableContents"/>
              <w:bidi w:val="0"/>
              <w:spacing w:before="0" w:after="1"/>
              <w:ind w:left="0" w:right="0" w:hanging="0"/>
              <w:jc w:val="left"/>
              <w:rPr/>
            </w:pPr>
            <w:r>
              <w:rPr/>
              <w:t>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86" w:type="dxa"/>
            <w:tcBorders/>
            <w:vAlign w:val="center"/>
          </w:tcPr>
          <w:p>
            <w:pPr>
              <w:pStyle w:val="TableContents"/>
              <w:bidi w:val="0"/>
              <w:spacing w:before="0" w:after="1"/>
              <w:ind w:left="0" w:right="0" w:hanging="0"/>
              <w:jc w:val="left"/>
              <w:rPr/>
            </w:pPr>
            <w:r>
              <w:rPr/>
              <w:t>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2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86" w:type="dxa"/>
            <w:tcBorders/>
            <w:vAlign w:val="center"/>
          </w:tcPr>
          <w:p>
            <w:pPr>
              <w:pStyle w:val="TableContents"/>
              <w:bidi w:val="0"/>
              <w:spacing w:before="0" w:after="1"/>
              <w:ind w:left="0" w:right="0" w:hanging="0"/>
              <w:jc w:val="left"/>
              <w:rPr/>
            </w:pPr>
            <w:r>
              <w:rPr/>
              <w:t>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286" w:type="dxa"/>
            <w:tcBorders/>
            <w:vAlign w:val="center"/>
          </w:tcPr>
          <w:p>
            <w:pPr>
              <w:pStyle w:val="TableContents"/>
              <w:bidi w:val="0"/>
              <w:spacing w:before="0" w:after="1"/>
              <w:ind w:left="0" w:right="0" w:hanging="0"/>
              <w:jc w:val="left"/>
              <w:rPr/>
            </w:pPr>
            <w:r>
              <w:rPr/>
              <w:t>  ​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86" w:type="dxa"/>
            <w:tcBorders/>
            <w:vAlign w:val="center"/>
          </w:tcPr>
          <w:p>
            <w:pPr>
              <w:pStyle w:val="TableContents"/>
              <w:bidi w:val="0"/>
              <w:spacing w:before="0" w:after="1"/>
              <w:ind w:left="0" w:right="0" w:hanging="0"/>
              <w:jc w:val="left"/>
              <w:rPr/>
            </w:pPr>
            <w:r>
              <w:rPr/>
              <w:t>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4"/>
              </w:rPr>
              <w:t>Equity</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54,407,327</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918,610</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(658,551)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260,104</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early exercised stock options</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shares of common stock</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6,995</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28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(98,963)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(98,963)</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54,407,327</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925,831</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(757,514)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168,314</w:t>
            </w:r>
          </w:p>
        </w:tc>
      </w:tr>
      <w:tr>
        <w:trPr/>
        <w:tc>
          <w:tcPr>
            <w:tcW w:w="29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center"/>
              <w:rPr/>
            </w:pPr>
            <w:r>
              <w:rPr/>
              <w:t>​</w:t>
            </w:r>
          </w:p>
        </w:tc>
        <w:tc>
          <w:tcPr>
            <w:tcW w:w="653"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69"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7" w:type="dxa"/>
            <w:tcBorders/>
            <w:vAlign w:val="center"/>
          </w:tcPr>
          <w:p>
            <w:pPr>
              <w:pStyle w:val="TableContents"/>
              <w:bidi w:val="0"/>
              <w:spacing w:before="0" w:after="1"/>
              <w:ind w:left="0" w:right="0" w:hanging="0"/>
              <w:jc w:val="center"/>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and equity awards in connection with the ACELYRIN Merger</w:t>
            </w:r>
          </w:p>
        </w:tc>
        <w:tc>
          <w:tcPr>
            <w:tcW w:w="28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48,653,549</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238,072</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238,077</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798,751</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under the 2024 Employee Stock Purchase Plan </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184,633</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766</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766</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early exercised stock options</w:t>
            </w:r>
          </w:p>
        </w:tc>
        <w:tc>
          <w:tcPr>
            <w:tcW w:w="28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stock issued upon early exercise of stock options</w:t>
            </w:r>
          </w:p>
        </w:tc>
        <w:tc>
          <w:tcPr>
            <w:tcW w:w="28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8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18,635</w:t>
            </w:r>
          </w:p>
        </w:tc>
        <w:tc>
          <w:tcPr>
            <w:tcW w:w="28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18,635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w:t>
            </w:r>
          </w:p>
        </w:tc>
        <w:tc>
          <w:tcPr>
            <w:tcW w:w="28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28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59,321</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59,321</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28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104,042,477</w:t>
            </w:r>
          </w:p>
        </w:tc>
        <w:tc>
          <w:tcPr>
            <w:tcW w:w="28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w:t>
            </w:r>
          </w:p>
        </w:tc>
        <w:tc>
          <w:tcPr>
            <w:tcW w:w="2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1,183,488</w:t>
            </w:r>
          </w:p>
        </w:tc>
        <w:tc>
          <w:tcPr>
            <w:tcW w:w="286"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(698,193)</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485,327</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77" w:name="_031eee49_e773_4e4e_9919_bd17268107dc"/>
      <w:bookmarkEnd w:id="677"/>
      <w:r>
        <w:rPr>
          <w:rFonts w:ascii="Times New Roman;Times;serif" w:hAnsi="Times New Roman;Times;serif"/>
          <w:b/>
          <w:sz w:val="20"/>
        </w:rPr>
        <w:t>ALUMIS INC.</w:t>
      </w:r>
    </w:p>
    <w:p>
      <w:pPr>
        <w:pStyle w:val="TextBody"/>
        <w:bidi w:val="0"/>
        <w:spacing w:before="0" w:after="200"/>
        <w:ind w:left="0" w:right="0" w:hanging="0"/>
        <w:jc w:val="center"/>
        <w:rPr>
          <w:rFonts w:ascii="Times New Roman;Times;serif" w:hAnsi="Times New Roman;Times;serif"/>
          <w:b/>
          <w:sz w:val="20"/>
        </w:rPr>
      </w:pPr>
      <w:bookmarkStart w:id="678" w:name="CONDENSEDCONSOLIDATEDSTATEMENTSOFCASHFLO"/>
      <w:bookmarkEnd w:id="678"/>
      <w:r>
        <w:rPr>
          <w:rFonts w:ascii="Times New Roman;Times;serif" w:hAnsi="Times New Roman;Times;serif"/>
          <w:b/>
          <w:sz w:val="20"/>
        </w:rPr>
        <w:t xml:space="preserve">CONDENSED CONSOLIDATED STATEMENTS OF CASH FLOWS </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79" w:name="Tc_zRsq7Uqit0q4yRXkMjT3Ig_49_5"/>
      <w:bookmarkStart w:id="680" w:name="Tc_PWXno2pxHUGYFuWqjlGocg_49_2"/>
      <w:bookmarkStart w:id="681" w:name="Tc_jWPahOp-3kufwZMLD85K-w_49_0"/>
      <w:bookmarkStart w:id="682" w:name="Tc_hzFLg_LlykO18aCYcZXutA_48_0"/>
      <w:bookmarkStart w:id="683" w:name="Tc_xxU2tdDzaUmvbSKSfZpCCw_47_3"/>
      <w:bookmarkStart w:id="684" w:name="Tc_k_XxPGU7fECsCGL-OS7H-Q_47_0"/>
      <w:bookmarkStart w:id="685" w:name="Tc_VwLnk65cOUCCR5DQw7F4PQ_46_5"/>
      <w:bookmarkStart w:id="686" w:name="Tc_v0TpOyjEwkKPpSewU2t7AQ_46_2"/>
      <w:bookmarkStart w:id="687" w:name="Tc_GGUOYEIAM02dlkE-43ozsQ_46_0"/>
      <w:bookmarkStart w:id="688" w:name="Tc_EP72FcpU2Eaqrl2_F28Spw_45_0"/>
      <w:bookmarkStart w:id="689" w:name="Tc_Dad3xehkykunFL9VVVj7PQ_44_5"/>
      <w:bookmarkStart w:id="690" w:name="Tc_iwh3vQBF50Km4dEXR2-G0w_44_3"/>
      <w:bookmarkStart w:id="691" w:name="Tc_2Mb2qTIoKUWFyFNKZLxYYA_44_2"/>
      <w:bookmarkStart w:id="692" w:name="Tc_p8eY-M-pzk29zQRrdcap2w_44_0"/>
      <w:bookmarkStart w:id="693" w:name="Tc_FNxom1RK6UG6EXU0p0FUhA_43_5"/>
      <w:bookmarkStart w:id="694" w:name="Tc_jZwIsMvO2kapbSZP3RFFVg_43_2"/>
      <w:bookmarkStart w:id="695" w:name="Tc_3Mg7-qF7ukyLtt_HoKIm7Q_43_0"/>
      <w:bookmarkStart w:id="696" w:name="Tc_gfbt5zYSKk-_8ibt797pFg_42_6"/>
      <w:bookmarkStart w:id="697" w:name="Tc_TJcztRK3zkqQbqeHTjVFYg_42_5"/>
      <w:bookmarkStart w:id="698" w:name="Tc_CPlwEmwT8UmS2weUyXej4g_42_2"/>
      <w:bookmarkStart w:id="699" w:name="Tc_kucqAbYgj02qp8RLu3ev2g_42_0"/>
      <w:bookmarkStart w:id="700" w:name="Tc_M1SsiSf5UEWBD3SdNwh94Q_41_5"/>
      <w:bookmarkStart w:id="701" w:name="Tc_uiZhBbi5f0md6cGbmZ9RfA_41_2"/>
      <w:bookmarkStart w:id="702" w:name="Tc_7-1C43ouv0GAHFKBB11Jcw_41_0"/>
      <w:bookmarkStart w:id="703" w:name="Tc_d4HtSpY4x0GFM46UZjtgGw_40_0"/>
      <w:bookmarkStart w:id="704" w:name="Tc_CTgtNKvk0U2VxcyTVzv7HA_39_5"/>
      <w:bookmarkStart w:id="705" w:name="Tc_7zAZCz4uA0e-j-S7evBMKQ_39_2"/>
      <w:bookmarkStart w:id="706" w:name="Tc_fUAvznWzaESSZRX8Og89pA_39_0"/>
      <w:bookmarkStart w:id="707" w:name="Tc_gjUTlGpUh0ihuX8UmLau8g_38_0"/>
      <w:bookmarkStart w:id="708" w:name="Tc_7--pVBYL30CT492HTNyCgA_37_0"/>
      <w:bookmarkStart w:id="709" w:name="Tc_5Xwo9wc6HUGQTblN9HcnKQ_36_0"/>
      <w:bookmarkStart w:id="710" w:name="Tc_WsFrtNE2WEGg5c-od5Vb_Q_35_3"/>
      <w:bookmarkStart w:id="711" w:name="Tc__ZJFua6khUqvMoGDzBq7nA_35_0"/>
      <w:bookmarkStart w:id="712" w:name="Tc_V1TGVqH_6Ua7wqn6Ttd1gA_34_0"/>
      <w:bookmarkStart w:id="713" w:name="Tc_89YppnY0jkuo-yzw5HRMSQ_33_6"/>
      <w:bookmarkStart w:id="714" w:name="Tc_f-i806xkvE-9LGhzssOlmg_33_0"/>
      <w:bookmarkStart w:id="715" w:name="Tc_hSvRe8a8CESPcoLtuAP6mQ_32_6"/>
      <w:bookmarkStart w:id="716" w:name="Tc_Afwf5YoUr02fxmRfWy5f3g_32_0"/>
      <w:bookmarkStart w:id="717" w:name="Tc_FLlMs_IxRkeLQHnI3_WSkg_31_0"/>
      <w:bookmarkStart w:id="718" w:name="Tc_L4K-7_jk80KjDQqM6ItXAA_30_0"/>
      <w:bookmarkStart w:id="719" w:name="Tc_MjQ9-aM62UKkimJxiyC4Vg_29_3"/>
      <w:bookmarkStart w:id="720" w:name="Tc_iFQ5dUAAHUWv8QnNhXtaAA_29_0"/>
      <w:bookmarkStart w:id="721" w:name="Tc__egyRJwbTE-AVjetl8F5ng_28_0"/>
      <w:bookmarkStart w:id="722" w:name="Tc_M0EVp3cShUym71Bs44SCFg_27_0"/>
      <w:bookmarkStart w:id="723" w:name="Tc_oaO3E2qn1E-s4HJAOtvKTA_26_0"/>
      <w:bookmarkStart w:id="724" w:name="Tc_iCgRcgTMjUuXmjMVO_-rAA_25_0"/>
      <w:bookmarkStart w:id="725" w:name="Tc_p55D60KAM0ilfF7gRbX3ig_24_0"/>
      <w:bookmarkStart w:id="726" w:name="Tc_WjOCDpXcS0uoWqEk-6G2oA_23_0"/>
      <w:bookmarkStart w:id="727" w:name="Tc_ojHSpScSzUyd3fVOlgi9CQ_22_0"/>
      <w:bookmarkStart w:id="728" w:name="Tc_9yiJtzPTL0OpsGQqoIkXqQ_21_0"/>
      <w:bookmarkStart w:id="729" w:name="Tc_lYdD-j8gPE-hyhCy836iVw_20_0"/>
      <w:bookmarkStart w:id="730" w:name="Tc_-UYdIdWT402fRzjvkox-CQ_19_0"/>
      <w:bookmarkStart w:id="731" w:name="Tc_Rjk6wt4kl0Wgh-MIUMCLoA_18_0"/>
      <w:bookmarkStart w:id="732" w:name="Tc_fHe0rHz0VEGGAcihT-bG7Q_17_0"/>
      <w:bookmarkStart w:id="733" w:name="Tc_2I4l2UF1b0Of-mw5ALADkw_16_0"/>
      <w:bookmarkStart w:id="734" w:name="Tc_OBMjFtTXAE2sAJT2xkq-pQ_15_0"/>
      <w:bookmarkStart w:id="735" w:name="Tc_5aUtEcU2ZEmHDaAZC9HgZA_14_0"/>
      <w:bookmarkStart w:id="736" w:name="Tc_TETAZ7-9j0K1r3usxSCUCg_13_0"/>
      <w:bookmarkStart w:id="737" w:name="Tc_SiTBPvQIREO32hUz7kJTFA_12_3"/>
      <w:bookmarkStart w:id="738" w:name="Tc_vytMB4dfZkePLnwO0ctXRA_12_0"/>
      <w:bookmarkStart w:id="739" w:name="Tc_UPKsEAfVvUSjNBEhURusXg_11_6"/>
      <w:bookmarkStart w:id="740" w:name="Tc_SotOonP93ku8c7JLmG771w_11_0"/>
      <w:bookmarkStart w:id="741" w:name="Tc_x8G6YUMcXEGGgkT1KWvMkQ_10_0"/>
      <w:bookmarkStart w:id="742" w:name="Tc_c_Ow4jkic0ypUIFbjaQoyg_9_0"/>
      <w:bookmarkStart w:id="743" w:name="Tc_as3HvF1EYECsfjqBpCEibg_8_0"/>
      <w:bookmarkStart w:id="744" w:name="Tc_Wp-MiCd2qEqKSl6vMXTnsg_7_0"/>
      <w:bookmarkStart w:id="745" w:name="Tc_Rl3NZqJmzE2Rbrf8iy1gsw_6_6"/>
      <w:bookmarkStart w:id="746" w:name="Tc_PvNJBPrjykm459J_RpFUiQ_6_0"/>
      <w:bookmarkStart w:id="747" w:name="Tc_XsjvkfE2QUekyLhY27G7cQ_5_0"/>
      <w:bookmarkStart w:id="748" w:name="Tc_W37hn58tWEC3EXnXLb6K1Q_4_5"/>
      <w:bookmarkStart w:id="749" w:name="Tc_1rtjbpwpJ0uXwBx3qdIFyA_4_2"/>
      <w:bookmarkStart w:id="750" w:name="Tc_12LI5PeUh0CSPCPD0m1k2Q_4_0"/>
      <w:bookmarkStart w:id="751" w:name="Tc_k1roqKDo5UmiK7h0suNfXQ_3_0"/>
      <w:bookmarkStart w:id="752" w:name="Tc_Kjz8WLOz50GUNhjWyLF8Nw_2_5"/>
      <w:bookmarkStart w:id="753" w:name="Tc_oMqlSjLvqUKjHv4lsPmDrw_2_2"/>
      <w:bookmarkStart w:id="754" w:name="Tc_aDGVZqOAiEubnDBhytma6w_2_0"/>
      <w:bookmarkStart w:id="755" w:name="Tc_cpRDk4lmdEqp6e0RmZyPlQ_1_2"/>
      <w:bookmarkStart w:id="756" w:name="_47a42a55_5269_4a82_96d2_7e4044818b8f"/>
      <w:bookmarkStart w:id="757" w:name="Tc_zRsq7Uqit0q4yRXkMjT3Ig_49_5"/>
      <w:bookmarkStart w:id="758" w:name="Tc_PWXno2pxHUGYFuWqjlGocg_49_2"/>
      <w:bookmarkStart w:id="759" w:name="Tc_jWPahOp-3kufwZMLD85K-w_49_0"/>
      <w:bookmarkStart w:id="760" w:name="Tc_hzFLg_LlykO18aCYcZXutA_48_0"/>
      <w:bookmarkStart w:id="761" w:name="Tc_xxU2tdDzaUmvbSKSfZpCCw_47_3"/>
      <w:bookmarkStart w:id="762" w:name="Tc_k_XxPGU7fECsCGL-OS7H-Q_47_0"/>
      <w:bookmarkStart w:id="763" w:name="Tc_VwLnk65cOUCCR5DQw7F4PQ_46_5"/>
      <w:bookmarkStart w:id="764" w:name="Tc_v0TpOyjEwkKPpSewU2t7AQ_46_2"/>
      <w:bookmarkStart w:id="765" w:name="Tc_GGUOYEIAM02dlkE-43ozsQ_46_0"/>
      <w:bookmarkStart w:id="766" w:name="Tc_EP72FcpU2Eaqrl2_F28Spw_45_0"/>
      <w:bookmarkStart w:id="767" w:name="Tc_Dad3xehkykunFL9VVVj7PQ_44_5"/>
      <w:bookmarkStart w:id="768" w:name="Tc_iwh3vQBF50Km4dEXR2-G0w_44_3"/>
      <w:bookmarkStart w:id="769" w:name="Tc_2Mb2qTIoKUWFyFNKZLxYYA_44_2"/>
      <w:bookmarkStart w:id="770" w:name="Tc_p8eY-M-pzk29zQRrdcap2w_44_0"/>
      <w:bookmarkStart w:id="771" w:name="Tc_FNxom1RK6UG6EXU0p0FUhA_43_5"/>
      <w:bookmarkStart w:id="772" w:name="Tc_jZwIsMvO2kapbSZP3RFFVg_43_2"/>
      <w:bookmarkStart w:id="773" w:name="Tc_3Mg7-qF7ukyLtt_HoKIm7Q_43_0"/>
      <w:bookmarkStart w:id="774" w:name="Tc_gfbt5zYSKk-_8ibt797pFg_42_6"/>
      <w:bookmarkStart w:id="775" w:name="Tc_TJcztRK3zkqQbqeHTjVFYg_42_5"/>
      <w:bookmarkStart w:id="776" w:name="Tc_CPlwEmwT8UmS2weUyXej4g_42_2"/>
      <w:bookmarkStart w:id="777" w:name="Tc_kucqAbYgj02qp8RLu3ev2g_42_0"/>
      <w:bookmarkStart w:id="778" w:name="Tc_M1SsiSf5UEWBD3SdNwh94Q_41_5"/>
      <w:bookmarkStart w:id="779" w:name="Tc_uiZhBbi5f0md6cGbmZ9RfA_41_2"/>
      <w:bookmarkStart w:id="780" w:name="Tc_7-1C43ouv0GAHFKBB11Jcw_41_0"/>
      <w:bookmarkStart w:id="781" w:name="Tc_d4HtSpY4x0GFM46UZjtgGw_40_0"/>
      <w:bookmarkStart w:id="782" w:name="Tc_CTgtNKvk0U2VxcyTVzv7HA_39_5"/>
      <w:bookmarkStart w:id="783" w:name="Tc_7zAZCz4uA0e-j-S7evBMKQ_39_2"/>
      <w:bookmarkStart w:id="784" w:name="Tc_fUAvznWzaESSZRX8Og89pA_39_0"/>
      <w:bookmarkStart w:id="785" w:name="Tc_gjUTlGpUh0ihuX8UmLau8g_38_0"/>
      <w:bookmarkStart w:id="786" w:name="Tc_7--pVBYL30CT492HTNyCgA_37_0"/>
      <w:bookmarkStart w:id="787" w:name="Tc_5Xwo9wc6HUGQTblN9HcnKQ_36_0"/>
      <w:bookmarkStart w:id="788" w:name="Tc_WsFrtNE2WEGg5c-od5Vb_Q_35_3"/>
      <w:bookmarkStart w:id="789" w:name="Tc__ZJFua6khUqvMoGDzBq7nA_35_0"/>
      <w:bookmarkStart w:id="790" w:name="Tc_V1TGVqH_6Ua7wqn6Ttd1gA_34_0"/>
      <w:bookmarkStart w:id="791" w:name="Tc_89YppnY0jkuo-yzw5HRMSQ_33_6"/>
      <w:bookmarkStart w:id="792" w:name="Tc_f-i806xkvE-9LGhzssOlmg_33_0"/>
      <w:bookmarkStart w:id="793" w:name="Tc_hSvRe8a8CESPcoLtuAP6mQ_32_6"/>
      <w:bookmarkStart w:id="794" w:name="Tc_Afwf5YoUr02fxmRfWy5f3g_32_0"/>
      <w:bookmarkStart w:id="795" w:name="Tc_FLlMs_IxRkeLQHnI3_WSkg_31_0"/>
      <w:bookmarkStart w:id="796" w:name="Tc_L4K-7_jk80KjDQqM6ItXAA_30_0"/>
      <w:bookmarkStart w:id="797" w:name="Tc_MjQ9-aM62UKkimJxiyC4Vg_29_3"/>
      <w:bookmarkStart w:id="798" w:name="Tc_iFQ5dUAAHUWv8QnNhXtaAA_29_0"/>
      <w:bookmarkStart w:id="799" w:name="Tc__egyRJwbTE-AVjetl8F5ng_28_0"/>
      <w:bookmarkStart w:id="800" w:name="Tc_M0EVp3cShUym71Bs44SCFg_27_0"/>
      <w:bookmarkStart w:id="801" w:name="Tc_oaO3E2qn1E-s4HJAOtvKTA_26_0"/>
      <w:bookmarkStart w:id="802" w:name="Tc_iCgRcgTMjUuXmjMVO_-rAA_25_0"/>
      <w:bookmarkStart w:id="803" w:name="Tc_p55D60KAM0ilfF7gRbX3ig_24_0"/>
      <w:bookmarkStart w:id="804" w:name="Tc_WjOCDpXcS0uoWqEk-6G2oA_23_0"/>
      <w:bookmarkStart w:id="805" w:name="Tc_ojHSpScSzUyd3fVOlgi9CQ_22_0"/>
      <w:bookmarkStart w:id="806" w:name="Tc_9yiJtzPTL0OpsGQqoIkXqQ_21_0"/>
      <w:bookmarkStart w:id="807" w:name="Tc_lYdD-j8gPE-hyhCy836iVw_20_0"/>
      <w:bookmarkStart w:id="808" w:name="Tc_-UYdIdWT402fRzjvkox-CQ_19_0"/>
      <w:bookmarkStart w:id="809" w:name="Tc_Rjk6wt4kl0Wgh-MIUMCLoA_18_0"/>
      <w:bookmarkStart w:id="810" w:name="Tc_fHe0rHz0VEGGAcihT-bG7Q_17_0"/>
      <w:bookmarkStart w:id="811" w:name="Tc_2I4l2UF1b0Of-mw5ALADkw_16_0"/>
      <w:bookmarkStart w:id="812" w:name="Tc_OBMjFtTXAE2sAJT2xkq-pQ_15_0"/>
      <w:bookmarkStart w:id="813" w:name="Tc_5aUtEcU2ZEmHDaAZC9HgZA_14_0"/>
      <w:bookmarkStart w:id="814" w:name="Tc_TETAZ7-9j0K1r3usxSCUCg_13_0"/>
      <w:bookmarkStart w:id="815" w:name="Tc_SiTBPvQIREO32hUz7kJTFA_12_3"/>
      <w:bookmarkStart w:id="816" w:name="Tc_vytMB4dfZkePLnwO0ctXRA_12_0"/>
      <w:bookmarkStart w:id="817" w:name="Tc_UPKsEAfVvUSjNBEhURusXg_11_6"/>
      <w:bookmarkStart w:id="818" w:name="Tc_SotOonP93ku8c7JLmG771w_11_0"/>
      <w:bookmarkStart w:id="819" w:name="Tc_x8G6YUMcXEGGgkT1KWvMkQ_10_0"/>
      <w:bookmarkStart w:id="820" w:name="Tc_c_Ow4jkic0ypUIFbjaQoyg_9_0"/>
      <w:bookmarkStart w:id="821" w:name="Tc_as3HvF1EYECsfjqBpCEibg_8_0"/>
      <w:bookmarkStart w:id="822" w:name="Tc_Wp-MiCd2qEqKSl6vMXTnsg_7_0"/>
      <w:bookmarkStart w:id="823" w:name="Tc_Rl3NZqJmzE2Rbrf8iy1gsw_6_6"/>
      <w:bookmarkStart w:id="824" w:name="Tc_PvNJBPrjykm459J_RpFUiQ_6_0"/>
      <w:bookmarkStart w:id="825" w:name="Tc_XsjvkfE2QUekyLhY27G7cQ_5_0"/>
      <w:bookmarkStart w:id="826" w:name="Tc_W37hn58tWEC3EXnXLb6K1Q_4_5"/>
      <w:bookmarkStart w:id="827" w:name="Tc_1rtjbpwpJ0uXwBx3qdIFyA_4_2"/>
      <w:bookmarkStart w:id="828" w:name="Tc_12LI5PeUh0CSPCPD0m1k2Q_4_0"/>
      <w:bookmarkStart w:id="829" w:name="Tc_k1roqKDo5UmiK7h0suNfXQ_3_0"/>
      <w:bookmarkStart w:id="830" w:name="Tc_Kjz8WLOz50GUNhjWyLF8Nw_2_5"/>
      <w:bookmarkStart w:id="831" w:name="Tc_oMqlSjLvqUKjHv4lsPmDrw_2_2"/>
      <w:bookmarkStart w:id="832" w:name="Tc_aDGVZqOAiEubnDBhytma6w_2_0"/>
      <w:bookmarkStart w:id="833" w:name="Tc_cpRDk4lmdEqp6e0RmZyPlQ_1_2"/>
      <w:bookmarkStart w:id="834" w:name="_47a42a55_5269_4a82_96d2_7e4044818b8f"/>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tbl>
      <w:tblPr>
        <w:tblW w:w="10205" w:type="dxa"/>
        <w:jc w:val="left"/>
        <w:tblInd w:w="0" w:type="dxa"/>
        <w:tblLayout w:type="fixed"/>
        <w:tblCellMar>
          <w:top w:w="0" w:type="dxa"/>
          <w:left w:w="0" w:type="dxa"/>
          <w:bottom w:w="0" w:type="dxa"/>
          <w:right w:w="0" w:type="dxa"/>
        </w:tblCellMar>
      </w:tblPr>
      <w:tblGrid>
        <w:gridCol w:w="7462"/>
        <w:gridCol w:w="346"/>
        <w:gridCol w:w="196"/>
        <w:gridCol w:w="806"/>
        <w:gridCol w:w="346"/>
        <w:gridCol w:w="196"/>
        <w:gridCol w:w="853"/>
      </w:tblGrid>
      <w:tr>
        <w:trPr/>
        <w:tc>
          <w:tcPr>
            <w:tcW w:w="7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738370" cy="175260"/>
                      <wp:effectExtent l="0" t="0" r="0" b="0"/>
                      <wp:wrapNone/>
                      <wp:docPr id="62" name="Frame62"/>
                      <a:graphic xmlns:a="http://schemas.openxmlformats.org/drawingml/2006/main">
                        <a:graphicData uri="http://schemas.microsoft.com/office/word/2010/wordprocessingShape">
                          <wps:wsp>
                            <wps:cNvSpPr txBox="1"/>
                            <wps:spPr>
                              <a:xfrm>
                                <a:off x="0" y="0"/>
                                <a:ext cx="4738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11810" cy="175260"/>
                      <wp:effectExtent l="0" t="0" r="0" b="0"/>
                      <wp:wrapNone/>
                      <wp:docPr id="65" name="Frame65"/>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41655" cy="175260"/>
                      <wp:effectExtent l="0" t="0" r="0" b="0"/>
                      <wp:wrapNone/>
                      <wp:docPr id="68" name="Frame68"/>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6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4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  ​</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(235,274)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(39,642)</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impairment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pPr>
            <w:r>
              <w:rPr/>
              <w:t>—</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25,630</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accretion of discounts on marketable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(2,152)</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1,713</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bargain purchase in connection with the ACELYRIN Merger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(187,907)</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prepaid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7,373</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prepaid expenses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(1,723)</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(1,162)</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11,037</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6,537</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2,611</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(1,349)</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(8,561)</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(168,582)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(186,707)</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  ​</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Maturities of marketable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144,274</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(468,058)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(24,535)</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acquired in connection with the ACELYRIN Merger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49,742</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(216,993)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168,828</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  ​</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public offering of common stock, net of underwriter discounts, commissions and offering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323,797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pPr>
            <w:r>
              <w:rPr/>
              <w:t>—</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under the 2024 Employee Stock Purchase Plan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Repurchase of common stock issued upon early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359,616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749</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(17,130)</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170,632</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153,502</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pPr>
            <w:r>
              <w:rPr/>
              <w:t>  ​</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1,776</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options exercise proceeds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1"/>
              <w:ind w:left="0" w:right="0" w:hanging="0"/>
              <w:jc w:val="right"/>
              <w:rPr/>
            </w:pPr>
            <w:r>
              <w:rPr/>
              <w:t>—</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Vesting of early exercised stock options and unvested restricted shares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consideration transferred in connection with the ACELYRIN Merger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238,077</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Reconciliation of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pPr>
            <w:r>
              <w:rPr/>
              <w:t>  ​</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151,753</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w:t>
            </w:r>
          </w:p>
        </w:tc>
      </w:tr>
      <w:tr>
        <w:trPr/>
        <w:tc>
          <w:tcPr>
            <w:tcW w:w="746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1,382</w:t>
            </w:r>
          </w:p>
        </w:tc>
      </w:tr>
      <w:tr>
        <w:trPr/>
        <w:tc>
          <w:tcPr>
            <w:tcW w:w="74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153,502</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ALUMIS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835" w:name="a1OrganizationandNatureoftheBusiness_172"/>
      <w:bookmarkStart w:id="836" w:name="a1OrganizationandNatureoftheBusiness_172"/>
      <w:bookmarkEnd w:id="836"/>
    </w:p>
    <w:tbl>
      <w:tblPr>
        <w:tblW w:w="3827" w:type="dxa"/>
        <w:jc w:val="left"/>
        <w:tblInd w:w="0" w:type="dxa"/>
        <w:tblLayout w:type="fixed"/>
        <w:tblCellMar>
          <w:top w:w="0" w:type="dxa"/>
          <w:left w:w="0" w:type="dxa"/>
          <w:bottom w:w="0" w:type="dxa"/>
          <w:right w:w="0" w:type="dxa"/>
        </w:tblCellMar>
      </w:tblPr>
      <w:tblGrid>
        <w:gridCol w:w="271"/>
        <w:gridCol w:w="355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35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Organization and Nature of the Business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in its mission to create medicines that significantly improve the lives of patients by replacing broad immunosuppression with targeted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two wholly owned subsidiaries, ACELYRIN, Inc. (“ACELYRIN”), a Delaware corporation incorporated on July 27, 2020 and its wholly owned subsidiary, WH2, LLC. Arrow Merger Sub, Inc. (“Merger Sub”), the Company’s wholly owned subsidiary incorporated in January 2025, was merged with and into ACELYRIN in May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ACELYRIN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6, 2025, the Company entered into an Agreement and Plan of Merger, and, on April 20, 2025, the Company entered into an Amendment to Agreement and Plan of Merger (collectively the “Merger Agreement”) with ACELYRIN and Merger Sub, a Delaware corporation and a direct wholly owned subsidiary of the Company. Under the terms of the Merger Agreement, Merger Sub merged with and into ACELYRIN, with ACELYRIN continuing as a direct wholly owned subsidiary of the Company (the “ACELYRIN Merger”). The Merger Agreement was approved by the disinterested directors on the Company’s board of directors and the board of directors of ACELYRIN and was approved by the stockholders of each company on May 13, 2025. On May 21, 2025, the Company completed the ACELYRIN Merger with ACELYRIN for a purchase consideration of $238.1 million that included the issuance of 48,653,549 shares of the Company’s common stock and the fair value of replacement awards attributable to pre-combination services, to acquire net assets with a fair value of $426.0 million. See Note 3 for additional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Public Offering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7, 2026, the Company entered into an underwriting agreement (the “Underwriting Agreement”) with Morgan Stanley &amp; Co. LLC, Leerink Partners LLC and Cantor Fitzgerald &amp; Co. (“Cantor”) (collectively the “Underwriters”), relating to the issuance and sale in a public offering of 17,650,000 shares of the Company’s common stock at a price of $17.00 per share. In addition, the Company granted the Underwriters an option, exercisable for 30 days, to purchase up to 2,647,500 additional shares of common stock at the public offering price, less the underwriting discounts and commissions, which was exercised in full on January 8, 2026. On January 9, 2026, the offering closed and the Company received net proceeds of $324.4 million, after deducting underwriting discounts and commissions.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offering was made pursuant to a shelf registration statement on Form S-3 (File No. 333-288510) that was filed with the U.S. Securities and Exchange Commission (“SEC”) on July 3, 2025 and declared effective by the SEC on August 19, 2025, and related prospectus and prospectus supplement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i/>
          <w:sz w:val="20"/>
        </w:rPr>
        <w:t>Controlled Equity Offering</w:t>
      </w:r>
      <w:r>
        <w:rPr>
          <w:rFonts w:ascii="Times New Roman;Times;serif" w:hAnsi="Times New Roman;Times;serif"/>
          <w:b/>
          <w:i/>
          <w:sz w:val="15"/>
        </w:rPr>
        <w:t>SM</w:t>
      </w:r>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val="false"/>
          <w:sz w:val="20"/>
        </w:rPr>
        <w:t>On March 18, 2026, the Company entered into a Controlled Equity Offering</w:t>
      </w:r>
      <w:r>
        <w:rPr>
          <w:rFonts w:ascii="Times New Roman;Times;serif" w:hAnsi="Times New Roman;Times;serif"/>
          <w:b w:val="false"/>
          <w:sz w:val="15"/>
        </w:rPr>
        <w:t>SM</w:t>
      </w:r>
      <w:r>
        <w:rPr>
          <w:rFonts w:ascii="Times New Roman;Times;serif" w:hAnsi="Times New Roman;Times;serif"/>
          <w:b/>
          <w:sz w:val="20"/>
        </w:rPr>
        <w:t> </w:t>
      </w:r>
      <w:r>
        <w:rPr>
          <w:rFonts w:ascii="Times New Roman;Times;serif" w:hAnsi="Times New Roman;Times;serif"/>
          <w:b w:val="false"/>
          <w:sz w:val="20"/>
        </w:rPr>
        <w:t>Sales Agreement</w:t>
      </w:r>
      <w:r>
        <w:rPr>
          <w:rFonts w:ascii="Times New Roman;Times;serif" w:hAnsi="Times New Roman;Times;serif"/>
          <w:b/>
          <w:sz w:val="20"/>
        </w:rPr>
        <w:t xml:space="preserve"> </w:t>
      </w:r>
      <w:r>
        <w:rPr>
          <w:rFonts w:ascii="Times New Roman;Times;serif" w:hAnsi="Times New Roman;Times;serif"/>
          <w:b w:val="false"/>
          <w:sz w:val="20"/>
        </w:rPr>
        <w:t>(the “Sales Agreement”) with Cantor as sales agent, pursuant to which the Company may offer and sell, from time to time through Cantor, at its option, shares of its common stock having an aggregate offering price of up to $300.0</w:t>
      </w:r>
      <w:r>
        <w:rPr>
          <w:rFonts w:ascii="Times New Roman;Times;serif" w:hAnsi="Times New Roman;Times;serif"/>
          <w:b/>
          <w:sz w:val="20"/>
        </w:rPr>
        <w:t xml:space="preserve"> </w:t>
      </w:r>
      <w:r>
        <w:rPr>
          <w:rFonts w:ascii="Times New Roman;Times;serif" w:hAnsi="Times New Roman;Times;serif"/>
          <w:b w:val="false"/>
          <w:sz w:val="20"/>
        </w:rPr>
        <w:t>million (the “ATM Shares”). The sales of the ATM Shares will be made by any method permitted that is deemed to be an “at-the-market” equity offering as defined in Rule 415(a)(4) promulgated under the Securities Act of 1933, as amended (the “Securities Act”), including sales made directly on or through the Nasdaq Global Select Market. The Company agreed to pay Cantor a commission of up to 3.0%</w:t>
      </w:r>
      <w:r>
        <w:rPr>
          <w:rFonts w:ascii="Times New Roman;Times;serif" w:hAnsi="Times New Roman;Times;serif"/>
          <w:b/>
          <w:sz w:val="20"/>
        </w:rPr>
        <w:t xml:space="preserve"> </w:t>
      </w:r>
      <w:r>
        <w:rPr>
          <w:rFonts w:ascii="Times New Roman;Times;serif" w:hAnsi="Times New Roman;Times;serif"/>
          <w:b w:val="false"/>
          <w:sz w:val="20"/>
        </w:rPr>
        <w:t>of the aggregate gross proceeds from any ATM Shares sold by Cantor. As of June 30, 2026, no</w:t>
      </w:r>
      <w:r>
        <w:rPr>
          <w:rFonts w:ascii="Times New Roman;Times;serif" w:hAnsi="Times New Roman;Times;serif"/>
          <w:b/>
          <w:sz w:val="20"/>
        </w:rPr>
        <w:t xml:space="preserve"> </w:t>
      </w:r>
      <w:r>
        <w:rPr>
          <w:rFonts w:ascii="Times New Roman;Times;serif" w:hAnsi="Times New Roman;Times;serif"/>
          <w:b w:val="false"/>
          <w:sz w:val="20"/>
        </w:rPr>
        <w:t>ATM Shares were sold under the Sales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incurred negative operating cash flows and significant losses from operations since its inception. For the three and six months ended June 30, 2026 and 2025, the Company incurred net income (loss) of $(142.2) million, $59.3 million, $(235.3) million and $(39.6) million, respectively. Cash used in operating activities was $168.6 million and $186.7 million for the six months ended June 30, 2026 and 2025, respectively. As of June 30, 2026, the Company had an accumulated deficit of $1,137.2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historically funded its operations primarily through the issuance of common stock, including in connection with the ACELYRIN Merger and the Company’s initial public offering (“IPO”) and a concurrent private placement transaction, the issuance of redeemable convertible preferred stock and convertible promissory notes in private placements, and, most recently, the public offering of common stock which closed on January 9, 2026, as well as cash payments received under the collaboration and license agreement (the “Kaken Collaboration Agreement”) with Kaken Pharmaceutical Co., Ltd. (“Kaken”).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The Company believes that, based on its current operating plan, its existing cash, cash equivalents and marketable securities of $502.3 million as of June 30, 2026, will be sufficient to meet its operating and capital requirements for at least 12 months from the date of issuance of these unaudited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need to raise significant additional capital to fund ongoing research and development activities and maintain future operations. The Company’s management continuously monitors and, where necessary, may reduce its operating expenses in response to its clinical development progress and its ability and need to raise additional capital through a combination of public and private equity, debt financings, strategic alliances and licensing arrangements. For example, should any of the Company’s ongoing trials not meet its clinical development objectives, the Company may scale back or discontinue related activities and reallocate its working capital to extend its ability to meet its operating and capital requirements. The Company’s ability to access capital when needed is not assured and, if capital is not available to the Company when, and in the amounts, needed, on the terms which are favorable, the Company could be required to delay, scale back, or abandon some or all of its planned development programs and other operations, which could materially harm the Company’s business, financial condition and results of operations. </w:t>
      </w:r>
    </w:p>
    <w:tbl>
      <w:tblPr>
        <w:tblW w:w="6317" w:type="dxa"/>
        <w:jc w:val="left"/>
        <w:tblInd w:w="0" w:type="dxa"/>
        <w:tblLayout w:type="fixed"/>
        <w:tblCellMar>
          <w:top w:w="0" w:type="dxa"/>
          <w:left w:w="0" w:type="dxa"/>
          <w:bottom w:w="0" w:type="dxa"/>
          <w:right w:w="0" w:type="dxa"/>
        </w:tblCellMar>
      </w:tblPr>
      <w:tblGrid>
        <w:gridCol w:w="271"/>
        <w:gridCol w:w="604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6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Summary of Significant Accounting Policies and Basis of Presentation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significant accounting policies and estimates used in the preparation of the accompanying unaudited condensed consolidated financial statements are described in the Company’s audited consolidated financial statements for the year ended December 31, 2025 included in the Company’s Annual Report on Form 10-K filed with the SEC on March 19, 2026. There have been no material changes in the Company’s significant accounting policies during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i/>
          <w:sz w:val="20"/>
        </w:rPr>
      </w:pPr>
      <w:bookmarkStart w:id="837" w:name="_cp_change_108"/>
      <w:bookmarkStart w:id="838" w:name="_cp_change_106"/>
      <w:bookmarkEnd w:id="837"/>
      <w:bookmarkEnd w:id="838"/>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and accompanying notes are unaudited and have been prepared in accordance with accounting principles generally accepted in the United States of America (“U.S. GAAP”) and applicable rules and regulations of the SEC regarding interim financial reporting and do not contain all information that is included in the annual financial statements and notes thereto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include the accounts of its subsidiaries, and all intercompany transactions were eliminated. The Company’s unaudited condensed consolidated financial statements include the accounts of its subsidiaries ACELYRIN and WH2, LLC after the closing of the ACELYRIN Merger, and the accounts of Merger Sub from its incorporation in January 2025 until the ACELYRIN Merger. WH2, LLC has not had any operations or any balances since the closing of the ACELYRIN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unaudited condensed consolidated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2026 and its results of operations for the three and six months ended June 30, 2026 and 2025 and its cash flows for the six months ended June 30, 2026 and 2025. The condensed balance sheet as of December 31, 2025, included in this filing, was derived from audited annual consolidated financial statements but does not include all disclosures required by U.S. GAAP. The results of operations for the three and six months ended June 30, 2026 and 2025 are not necessarily indicative of the results of operations to be expected for the full year or for any other subsequent interim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reference in these notes to applicable guidance is meant to refer to the authoritative U.S. GAAP as found in the Accounting Standards Codification (“ASC”) and Accounting Standards Updates (“ASU”) of the Financial Accounting Standards Board (“FASB”).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an ongoing basis, the Company evaluates estimates and assumptions, including but not limited to those related to accrued research and development expenses, valuation of acquired in-process research and development (“IPR&amp;D”) intangible assets, revenue recognition, and stock-based compensation expense.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and Geographical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and manages its business as one reportable and operating segment, which is the business of researching and developing medicines for autoimmune disorders. The chief executive officer, who is the chief operating decision maker (“CODM”), reviews financial information on an aggregate basis for purposes of allocating resources and evaluating financial performance. See Note 15 for additional information. All of the Company’s long-lived assets are located in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Financial instruments which potentially subject the Company to concentration of credit risk consist primarily of cash and cash equivalents, investments in marketable securities, accounts receivable and restricted cash. The Company maintains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bank deposits in federally insured financial institutions and certain of these deposits exceed federally insured limits. To date, the Company has not experienced any losses on its deposits of cash and periodically evaluates the creditworthiness of the financial institutions at which its bank deposits are maintained.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invests in money market funds, U.S. Treasury obligations, commercial paper, corporate debt obligations, supranational debt obligations, and government development bank obligations, which can be subject to certain credit risks. The Company mitigates credit risk by limiting its exposure to any one issuer and monitoring the ongoing creditworthiness of the financial institutions at which investments are maintained and of the issuers of the marketable securities. To date, the Company has not experienced any loss of principal on its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 customer to be significant when revenues from that customer represent 10% or more of total revenues. All of the Company’s revenue recognized in its condensed consolidated statements of operations and comprehensive income (loss) for the three and six months ended June 30, 2026 and 2025, was earned under its license and collaboration agreement with Kaken. As a result, the Company is subject to customer concentration risk. To date, the Company has not incurred any credit losses in connection with the Kaken Collaboration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Company’s business and results of operations may be affected by worldwide economic conditions, which may continue to be impacted by global macroeconomic challenges and uncertainty in the markets, including international trade policies and tariffs,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The United States and other countries have imposed and may continue to impose new trade restrictions and export regulations, have levied tariffs and taxes on certain goods, including tariffs targeting pharmaceutical products and related inputs, and could continue to significantly increase tariffs on a broad array of goods. Similarly, the Company’s financial condition and results of operations may continue to be affected by global economic uncertainty, general market volatility and geopolitical tensions, including the ongoing Russia-Ukraine military conflict and the ongoing military conflict involving the U.S., Israel and Iran. Escalation or expansion of these conflicts, as well as related sanctions, export controls, trade restrictions and the disruption of global energy markets, fuel prices, transportation networks, and supply chains, may disrupt or otherwise negatively impact the Company’s supply chain and increase its costs. These geopolitical developments, together with evolving global economic conditions, trade policies and broader macroeconomic conditions may negatively impact the Company’s business, financial position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Intangible assets related to acquired IPR&amp;D are considered to be indefinite-lived until abandonment or completion of the associated research and development efforts, which generally occurs when regulatory approval is obtained. Indefinite-lived intangible assets are not amortized and, instead, are tested for impairment annually in the fourth quarter, or more frequently if events or changes in circumstances indicate that it is more likely than not that the assets are impaired as required by ASC 350 </w:t>
      </w:r>
      <w:r>
        <w:rPr>
          <w:rFonts w:ascii="Times New Roman;Times;serif" w:hAnsi="Times New Roman;Times;serif"/>
          <w:i/>
          <w:sz w:val="20"/>
        </w:rPr>
        <w:t>Intangibles - Goodwill and Other</w:t>
      </w:r>
      <w:r>
        <w:rPr>
          <w:rFonts w:ascii="Times New Roman;Times;serif" w:hAnsi="Times New Roman;Times;serif"/>
          <w:sz w:val="20"/>
        </w:rPr>
        <w:t xml:space="preserve"> (“ASC 350”). Such events and circumstances may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significant changes in the Company’s business climate, economic and industry trends, legal or regulatory factors, clinical trial results, significant competition or changes in development strategy.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first perform a qualitative assessment to determine whether it is necessary to perform a quantitative impairment test. Alternatively, the Company may elect to proceed directly to a quantitative impairment test. The quantitative impairment test compares the fair value of the indefinite-lived intangible asset with its carrying amount. If the carrying amount exceeds fair value, an impairment loss is recognized for the excess and the carrying amount of the asset is reduced accordingly. After an impairment loss is recognized, the adjusted carrying amount of the intangible asset becomes its new accounting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determining the initial fair value of an intangible asset, or when quantitative analysis is required to determine any impairment, the Company usually uses an income approach that discounts expected future cash flows to present value using a discount rate that is based on the estimated weighted-average cost of capital for comparable companies and represents the rate that market participants would use to value the intangible asset. These cash flow models require the use of Level 3 fair value measurements and inputs, including estimated revenues, costs and probabilities of achieving technical and regulatory milestones, among other factors. The Company recognized an intangible assets impairment loss for the three and six months ended June 30, 2026. See Note 6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with finite useful lives, which include completed IPR&amp;D projects, are amortized over their estimated useful lives, primarily on a straight-line basis, and are also periodically reviewed for changes in facts or circumstances that may result in an impairment or in a reduction to the estimated useful life of the asset.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Development costs incurred after an acquisition are expensed as they are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assesses the likelihood of deferred tax assets being realized. It provides a valuation allowance when it is more likely than not that some portion or all of a deferred tax asset will not be realized. The ultimate realization of deferred tax assets is dependent upon the generation of future taxable income during the periods in which the temporary differences representing net future deductible amounts become deductible.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unrecognized tax benefits.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 benefit from income taxes of $1.8 million for the three and six months ended June 30, 2026, which was primarily related to the reduction of deferred tax liabilities, partially offset by an increase in valuation allowance resulting from the measurement of its acquired IPR&amp;D intangible asset at fair value in connection with an impairment assessment. The Company recognized a benefit from income taxes of $8.6 million for the three and six months ended June 30, 2025, which was primarily related to the realization of deferred tax assets and valuation allowance release resulting from the ACELYRIN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and adopted by the Company as of the specified effective date. The Company qualifies as an “emerging growth company” as defined in the JOBS Act, and has elected not to “opt out” of the extended transition related to complying with new or revised accounting standards, which means that when a standard is issued or revised and it has different application dates for public and private companies, the Company will adopt the new or revised standard at the time private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2025, the FASB issued </w:t>
      </w:r>
      <w:r>
        <w:rPr>
          <w:rFonts w:ascii="Times New Roman;Times;serif" w:hAnsi="Times New Roman;Times;serif"/>
          <w:i/>
          <w:sz w:val="20"/>
        </w:rPr>
        <w:t>ASU 2025</w:t>
      </w:r>
      <w:r>
        <w:rPr>
          <w:rFonts w:ascii="Times New Roman;Times;serif" w:hAnsi="Times New Roman;Times;serif"/>
          <w:sz w:val="20"/>
        </w:rPr>
        <w:noBreakHyphen/>
      </w:r>
      <w:r>
        <w:rPr>
          <w:rFonts w:ascii="Times New Roman;Times;serif" w:hAnsi="Times New Roman;Times;serif"/>
          <w:i/>
          <w:sz w:val="20"/>
        </w:rPr>
        <w:t xml:space="preserve">05, Financial Instruments—Credit Losses (Topic 326): Measurement of Credit Losses for Accounts Receivable and Contract Assets (“ASU 2025-05”) </w:t>
      </w:r>
      <w:r>
        <w:rPr>
          <w:rFonts w:ascii="Times New Roman;Times;serif" w:hAnsi="Times New Roman;Times;serif"/>
          <w:sz w:val="20"/>
        </w:rPr>
        <w:t>which provides a practical expedient and accounting policy election related to estimating expected credit losses for certain receivables and contract assets. The Company adopted ASU 2025</w:t>
        <w:noBreakHyphen/>
        <w:t>05 as of January 1, 2026. Adoption of this guidance did not have a material impact on the Company’s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Recently Issued and Not Yet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Disaggregation of Income Statement Expenses (Topic 220)</w:t>
      </w:r>
      <w:r>
        <w:rPr>
          <w:rFonts w:ascii="Times New Roman;Times;serif" w:hAnsi="Times New Roman;Times;serif"/>
          <w:sz w:val="20"/>
        </w:rPr>
        <w:t xml:space="preserve"> (“ASU 2024-03”), requiring that public business entities disclose additional information about specific expense categories in the notes to financial statements at interim and annual reporting periods. The amendments of ASU 2024-03 are effective for annual reporting periods beginning after December 15, 2026, and interim reporting periods beginning after December 15, 2027. The requirements of ASU 2024-03 may be applied either prospectively to financial statements issued for reporting periods after the effective date or retrospectively to any or all prior periods presented in the financial statements. The Company is currently evaluating the impact of adopting ASU 2024-03 on its consolidated financial statements and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2025, the FASB issued ASU No. 2025-11, </w:t>
      </w:r>
      <w:r>
        <w:rPr>
          <w:rFonts w:ascii="Times New Roman;Times;serif" w:hAnsi="Times New Roman;Times;serif"/>
          <w:i/>
          <w:sz w:val="20"/>
        </w:rPr>
        <w:t xml:space="preserve">Interim Reporting (Topic 270): Narrow-Scope Improvements </w:t>
      </w:r>
      <w:r>
        <w:rPr>
          <w:rFonts w:ascii="Times New Roman;Times;serif" w:hAnsi="Times New Roman;Times;serif"/>
          <w:sz w:val="20"/>
        </w:rPr>
        <w:t>(“ASU 2025-11”), which clarifies the form and content of interim financial statements, adds a comprehensive list of required interim disclosures, and provides a disclosure principle for condensed interim financial statements. ASU 2025-11 is effective for interim reporting periods within annual reporting periods beginning after December 15, 2027. Early adoption is permitted and, on adoption, can be applied either prospectively or retrospectively to any or all periods presented in the financial statements. The Company is currently evaluating the impact of the new standard on the Company's consolidated financial statements and related disclosures.</w:t>
      </w:r>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Acquisition</w:t>
            </w:r>
          </w:p>
        </w:tc>
      </w:tr>
    </w:tbl>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ACELYRIN Merger</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completed its acquisition of ACELYRIN on May 21, 2025 (the “Closing Date”) and accounted for the transaction as an acquisition under ASC Topic 805, </w:t>
      </w:r>
      <w:r>
        <w:rPr>
          <w:rFonts w:ascii="Times New Roman;Times;serif" w:hAnsi="Times New Roman;Times;serif"/>
          <w:i/>
          <w:sz w:val="20"/>
        </w:rPr>
        <w:t>Business Combinations</w:t>
      </w:r>
      <w:r>
        <w:rPr>
          <w:rFonts w:ascii="Times New Roman;Times;serif" w:hAnsi="Times New Roman;Times;serif"/>
          <w:sz w:val="20"/>
        </w:rPr>
        <w:t>. ACELYRIN was a late-stage biopharma company focused on identifying, acquiring, and accelerating the development and commercialization of transformative medicines. ACELYRIN’s portfolio consisted of lonigutamab, a subcutaneously delivered, monoclonal antibody targeting IGF-1R for the potential treatment of Thyroid Eye Disease (“TED”). The ACELYRIN Merger strengthened the Company’s balance sheet and its cash position and added the lonigutamab product candidate to the Company’s development portfolio as of the Closing Date. The ACELYRIN Merger was accounted for as a business combination with the Company being treated as the accounting acquirer.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00"/>
        <w:ind w:left="0" w:right="0" w:hanging="0"/>
        <w:jc w:val="both"/>
        <w:rPr>
          <w:rFonts w:ascii="Times New Roman;Times;serif" w:hAnsi="Times New Roman;Times;serif"/>
          <w:sz w:val="20"/>
        </w:rPr>
      </w:pPr>
      <w:bookmarkStart w:id="839" w:name="Tc_a0Wy7wJZVEm-LixN5TnHtw_5_2"/>
      <w:bookmarkStart w:id="840" w:name="Tc_4MgNf7DznU-pXUnjPKqVSw_5_0"/>
      <w:bookmarkStart w:id="841" w:name="Tc_wkbdxHX__ka1j2m0aue27g_4_2"/>
      <w:bookmarkStart w:id="842" w:name="Tc_3J3PkMJWFECD35v21X_aBw_4_0"/>
      <w:bookmarkStart w:id="843" w:name="Tc_nXbQ7nXB10ex7Ioxeyk54w_3_2"/>
      <w:bookmarkStart w:id="844" w:name="Tc_yaimfOFMbEKw7bzVdo2iLA_3_0"/>
      <w:bookmarkStart w:id="845" w:name="Tc_C8le37RDokqCepIjnJ-8CQ_2_2"/>
      <w:bookmarkStart w:id="846" w:name="Tc_niOwp4slpUCjyy7Y68mL2Q_2_0"/>
      <w:bookmarkStart w:id="847" w:name="Tc_5-xssEJObkWfCr_SfKSc9Q_1_0"/>
      <w:bookmarkStart w:id="848" w:name="_9d1f8545_d453_4427_a4ef_77ad7cac728c"/>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sz w:val="20"/>
        </w:rPr>
        <w:t>As of the Closing Date, the Company (i) issued 48,653,549 shares of its common stock in exchange for ACELYRIN’s issued and outstanding common stock shares and paid cash for fractional shares, (ii) assumed ACELYRIN’s stock options with an exercise price of $18.00 or less outstanding and unexercised immediately prior to the Closing Date, which were exercisable into 4,712,186 shares of the Company’s common stock, (iii) assumed ACELYRIN’s restricted stock units (“RSUs”) outstanding and unvested immediately prior to the Closing Date, which were converted into 1,323,905 of the Company’s RSUs, and (iv) assumed ACELYRIN’s performance RSUs outstanding and unvested immediately prior to the Closing Date, which were converted into 146,963 of the Company’s RSUs subject only to a service vesting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Outstanding shares, stock options, RSUs and performance RSUs were exchanged at the exchange ratio of 0.4814 shares of the Company’s common stock for each share of ACELYRIN’s common stock (the “Exchange Ratio”). ACELYRIN’s outstanding and unexercised stock options with exercise prices more than $18.00 were cancelled. Exercise prices for the assumed stock options were determined as the product of the original exercise prices multiplied by the reciprocal of the Exchange Ratio. Converted ACELYRIN stock options and RSUs continue to vest in accordance with their original terms. Assumed performance RSUs were deemed to have 100% satisfied their performance conditions and vest in two equal installments on May 15 of calendar years 2026 and 2027, subject to the holder of the converted performance RSUs remaining in service with the Company or any of its subsidiaries on such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price consideration consisted of the Company’s shares of common stock issued as of the Closing Date and the additional stock-based compensation related to the fair value of replacement awards attributable to pre-combination services, and was calculated as follows (in thousands, except share and per share amounts):</w:t>
      </w:r>
    </w:p>
    <w:tbl>
      <w:tblPr>
        <w:tblW w:w="8002" w:type="dxa"/>
        <w:jc w:val="left"/>
        <w:tblInd w:w="0" w:type="dxa"/>
        <w:tblLayout w:type="fixed"/>
        <w:tblCellMar>
          <w:top w:w="0" w:type="dxa"/>
          <w:left w:w="0" w:type="dxa"/>
          <w:bottom w:w="0" w:type="dxa"/>
          <w:right w:w="0" w:type="dxa"/>
        </w:tblCellMar>
      </w:tblPr>
      <w:tblGrid>
        <w:gridCol w:w="6601"/>
        <w:gridCol w:w="109"/>
        <w:gridCol w:w="211"/>
        <w:gridCol w:w="1081"/>
      </w:tblGrid>
      <w:tr>
        <w:trPr/>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191635" cy="175260"/>
                      <wp:effectExtent l="0" t="0" r="0" b="0"/>
                      <wp:wrapNone/>
                      <wp:docPr id="69" name="Frame69"/>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86435" cy="175260"/>
                      <wp:effectExtent l="0" t="0" r="0" b="0"/>
                      <wp:wrapNone/>
                      <wp:docPr id="72" name="Frame7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Implied shares of common stock issued to holders of ACELYRIN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48,653,549</w:t>
            </w:r>
          </w:p>
        </w:tc>
      </w:tr>
      <w:tr>
        <w:trPr/>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 price per share of common stock as of Closing Date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6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Consideration transferred for share exchange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232,564</w:t>
            </w:r>
          </w:p>
        </w:tc>
      </w:tr>
      <w:tr>
        <w:trPr/>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replacement awards attributable to pre-combination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w:t>
            </w:r>
          </w:p>
        </w:tc>
      </w:tr>
      <w:tr>
        <w:trPr/>
        <w:tc>
          <w:tcPr>
            <w:tcW w:w="6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purchase price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238,077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bookmarkStart w:id="849" w:name="Tc_ZyYxNPnnJkWydU6Vv-vezw_24_2"/>
      <w:bookmarkStart w:id="850" w:name="Tc_ah-J1mk8WUGn1YQl7MGqWQ_24_0"/>
      <w:bookmarkStart w:id="851" w:name="Tc_79tkC4NRu0GRX3ivI2ZqhA_23_0"/>
      <w:bookmarkStart w:id="852" w:name="Tc_s7hF-qEhBkOnTLYl6u6lZQ_22_2"/>
      <w:bookmarkStart w:id="853" w:name="Tc_OYSx2fp89Uuj1i5nnUgtCQ_22_0"/>
      <w:bookmarkStart w:id="854" w:name="Tc_yXiZOSqJDEiiFWx7CPQmRw_21_0"/>
      <w:bookmarkStart w:id="855" w:name="Tc_AhHweJZ7SU29XipwieMWNg_20_0"/>
      <w:bookmarkStart w:id="856" w:name="Tc_sD6oOBcuKE-Sxys18ERdbQ_19_0"/>
      <w:bookmarkStart w:id="857" w:name="Tc_uVS6uF7Z8U-ZXIbXkblQCg_18_0"/>
      <w:bookmarkStart w:id="858" w:name="Tc_HiMBRJh72UeQs_5RNbkyfw_17_0"/>
      <w:bookmarkStart w:id="859" w:name="Tc_29f3QddDnUSZ2Jfv1aS_sA_16_0"/>
      <w:bookmarkStart w:id="860" w:name="Tc_9LK5C7b5sUOByuKiP8S2wQ_15_2"/>
      <w:bookmarkStart w:id="861" w:name="Tc_F5ARG-E6DUOezDZP1JYhpQ_15_0"/>
      <w:bookmarkStart w:id="862" w:name="Tc_zg346EaA10Shs5g_Tz3lQg_14_0"/>
      <w:bookmarkStart w:id="863" w:name="Tc_l-zu5Jf_ckCflPNU1gvvFQ_13_2"/>
      <w:bookmarkStart w:id="864" w:name="Tc_mcHK4oQ5IUqbhotLQHHsMQ_13_0"/>
      <w:bookmarkStart w:id="865" w:name="Tc_skGy9Vrsb0K0XqaXS3W6lA_12_0"/>
      <w:bookmarkStart w:id="866" w:name="Tc_XDp3jicg1EiP4F4lc9Kvyg_11_0"/>
      <w:bookmarkStart w:id="867" w:name="Tc_BcAVUE9Q2kWghwEEkTDjFw_10_0"/>
      <w:bookmarkStart w:id="868" w:name="Tc_-iAMStlpyECsKDiIJFBdeA_9_0"/>
      <w:bookmarkStart w:id="869" w:name="Tc_sOBfXPsXQ0qPXlUpwF79_A_8_0"/>
      <w:bookmarkStart w:id="870" w:name="Tc_mamPNwfRak2FOOxVl7i75w_7_0"/>
      <w:bookmarkStart w:id="871" w:name="Tc_viIWz1yVzUWrZ4DJBKlYUg_6_0"/>
      <w:bookmarkStart w:id="872" w:name="Tc_4FYjqeYtjUSzbbBgsJ44jg_5_0"/>
      <w:bookmarkStart w:id="873" w:name="Tc_BF2I2NpkIUWRc-Ix4khK5g_4_0"/>
      <w:bookmarkStart w:id="874" w:name="Tc_mp_8Ud4C2EKKprzhK93xNQ_3_0"/>
      <w:bookmarkStart w:id="875" w:name="Tc_-JGBMh8kO029sGDn4vOb5g_2_2"/>
      <w:bookmarkStart w:id="876" w:name="Tc_eqP2ImY4b0m8WYpDdX-hEw_2_0"/>
      <w:bookmarkStart w:id="877" w:name="Tc_wcTTZhxxV0ax70JICvFrgA_1_0"/>
      <w:bookmarkStart w:id="878" w:name="_0b30dc10_a135_496d_b399_e1c40276971d"/>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sz w:val="20"/>
        </w:rPr>
        <w:t>The following table presents the final purchase price allocation of the fair value of the net assets acquired and liabilities assumed as of the Closing Date (in thousands):</w:t>
      </w:r>
    </w:p>
    <w:tbl>
      <w:tblPr>
        <w:tblW w:w="5364" w:type="dxa"/>
        <w:jc w:val="left"/>
        <w:tblInd w:w="0" w:type="dxa"/>
        <w:tblLayout w:type="fixed"/>
        <w:tblCellMar>
          <w:top w:w="0" w:type="dxa"/>
          <w:left w:w="0" w:type="dxa"/>
          <w:bottom w:w="0" w:type="dxa"/>
          <w:right w:w="0" w:type="dxa"/>
        </w:tblCellMar>
      </w:tblPr>
      <w:tblGrid>
        <w:gridCol w:w="4111"/>
        <w:gridCol w:w="146"/>
        <w:gridCol w:w="211"/>
        <w:gridCol w:w="89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610485" cy="175260"/>
                      <wp:effectExtent l="0" t="0" r="0" b="0"/>
                      <wp:wrapNone/>
                      <wp:docPr id="73" name="Frame73"/>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260"/>
                      <wp:effectExtent l="0" t="0" r="0" b="0"/>
                      <wp:wrapNone/>
                      <wp:docPr id="74" name="Frame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8960" cy="175260"/>
                      <wp:effectExtent l="0" t="0" r="0" b="0"/>
                      <wp:wrapNone/>
                      <wp:docPr id="76" name="Frame7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333,436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prepaid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credit voucher for clinical manufacturing</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expenses and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460,065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  ​</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accrued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 and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(34,081)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net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425,984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consideration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238,077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Gain on bargain purchase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187,907</w:t>
            </w:r>
          </w:p>
        </w:tc>
      </w:tr>
    </w:tbl>
    <w:p>
      <w:pPr>
        <w:pStyle w:val="TextBody"/>
        <w:shd w:fill="FFFFFF" w:val="clea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consist of an acquired IPR&amp;D intangible asset related to the lonigutamab product candidate that was in development as of the Closing Date. The acquired IPR&amp;D intangible asset was initially recognized at a fair value of $51.0 million, determined using the multi-period excess earnings method, which reflected the present value of projected incremental after-tax cash flows attributable to the asset as of the Closing Date. The valuation utilized a discount rate of 24.0% representing management’s best estimate of a market participant's after-tax weighted average cost of capital. Projected future cash flows were based on significant estimates, including estimated revenues, costs and probabilities of achieving technical and regulatory milestones, among other factors. See Note 6 for additional information.</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acquired a prepaid credit voucher for clinical manufacturing issued by one of ACELYRIN’s contract manufacturers that is applied towards payments of clinical product manufacturing invoices issued by the vendor. The balance of $11.4 million as of the Closing Date was not adjusted from its carrying amount as its fair value approximated its carrying value as of this date.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acquired two operating leases and a sublease. See Note 10 for additional details. The Company estimated the fair value of lease liabilities as the present value of the remaining lease payments, as if the acquired leases were new leases of the acquirer as of the Closing Date. The Company measured the right-of-use asset at the same amount as the lease liability as adjusted to reflect favorable or unfavorable terms of the lease when compared with market terms. As ACELYRIN entered into a sublease in February 2025, these sublease terms were considered at market terms. As of the Closing Date, the fair value of operating lease liabilities, current, increased by $0.2 million and the fair value of operating lease liabilities, non-current, increased by $0.5 million. As of the Closing Date, the fair value of operating lease right-of-use assets, net, decreased by $0.1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Because the fair value of the identifiable assets acquired and liabilities assumed exceeded the fair value of the purchase consideration transferred, the Company recorded a gain on bargain purchase of $187.9 million as of the Closing Date. Consequently, the Company reassessed the recognition and measurement of identifiable assets acquired and liabilities assumed in accordance with ASC 805-30-25-4 and concluded that all acquired assets and assumed liabilities were recognized and that the valuation procedures and resulting measures were appropriate. Gain on bargain purchase was primarily related to the market value of ACELYRIN’s common stock trading below the carrying value of net assets and the Exchange Ratio being fixed at the time the Merger Agreement was signed and not adjusted for subsequent changes in the market price of the Company’s common stock. Gain on bargain purchase was recognized as other income in the consolidated statements of operations and comprehensive income (loss) for the year ended December 31, 2025. The Company recognized a deferred tax liability of $10.7 million related to the acquired IPR&amp;D intangible asset as of the Closing Date.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had additional severance-related obligations under the Merger Agreement that were separate from the assets and liabilities acquired in the Merger. In accordance with the ACELYRIN severance plan, ACELYRIN employees who were terminated without cause within 12 months of the Closing Date were entitled to severance benefits, including cash severance, accelerated vesting of outstanding equity awards and an extension of the post-termination exercise period of outstanding stock options of generally up to 12 months.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estimated total cash severance obligation, including related payroll taxes, of $11.9 million. The severance obligation was recognized over the remaining requisite service periods of the affected employees and was substantially paid by December 31, 2025. The Company recognized $5.2 million as general and administrative expenses and $3.7 million as research and development expenses related to severance expenses for the three and six months ended June 30, 2025. The Company recognized $6.5 million as general and administrative expenses and $5.4 million as research and development expenses related to severance expenses for the year ended December 31, 2025. No severance expense was recognized for the three and six months ended June 30, 2026.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estimated stock-based compensation expense of $13.1 million related to the accelerated vesting of equity awards and the post-termination exercise period extensions granted to affected employees, which was fully recognized during the year ended December 31, 2025. The Company recognized stock-based compensation expense of $10.8 million related to these arrangements for the three and six months ended June 30, 2025, consisting of $7.8 million in general and administrative expenses and $3.0 million in research and development expenses. The Company recognized stock-based compensation expense of $13.1 million for the year ended December 31, 2025, consisting of $9.0 million in general and administrative expenses and $4.1 million in research and development expenses. No stock-based compensation expense related to these arrangements was recognized for the three and six months ended June 30, 2026.</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addition, the Company recognized ACELYRIN Merger transaction costs of $7.1 million and $14.8 million in general and administrative expenses for the three and six months ended June 30, 2025, respectively. No ACELYRIN Merger transaction costs were recognized during the three and six months ended June 30, 2026.</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Following the Closing Date, the operating results of ACELYRIN have been included in the Company’s consolidated financial statements.</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ACELYRIN Merger is intended to be a reorganization under Internal Revenue Code of 1986, as amended (the “Internal Revenue Code”) Section 368(a). The Merger Agreement outlines the “plan of reorganization” within the meaning of the regulations issued under Internal Revenue Code Section 368(a) and the ACELYRIN Merger is intended to qualify as a tax-free reorganization for U.S. federal and state income tax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tbl>
      <w:tblPr>
        <w:tblW w:w="2612" w:type="dxa"/>
        <w:jc w:val="left"/>
        <w:tblInd w:w="0" w:type="dxa"/>
        <w:tblLayout w:type="fixed"/>
        <w:tblCellMar>
          <w:top w:w="0" w:type="dxa"/>
          <w:left w:w="0" w:type="dxa"/>
          <w:bottom w:w="0" w:type="dxa"/>
          <w:right w:w="0" w:type="dxa"/>
        </w:tblCellMar>
      </w:tblPr>
      <w:tblGrid>
        <w:gridCol w:w="271"/>
        <w:gridCol w:w="23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1—Quoted prices in active markets for identical assets or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3—Unobservable inputs that are supported by little or no market activity and that are significant to the fair value of the assets or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Level 1 and Level 2 financial instruments. Changes in the ability to observe valuation inputs may result in a reclassification of levels of certain securities within the fair value hierarchy.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1 financial instruments are comprised of money market funds and U.S. Treasury obligations. Level 2 financial instruments are comprised of U.S. Treasury obligations, corporate debt obligations, commercial paper, supranational debt obligations and government development bank obligations. Marketable securities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b/>
          <w:i/>
          <w:sz w:val="20"/>
        </w:rPr>
      </w:pPr>
      <w:bookmarkStart w:id="879" w:name="_8f11312a_73ef_48a5_86f2_335242bad9c2_3"/>
      <w:bookmarkStart w:id="880" w:name="_8f11312a_73ef_48a5_86f2_335242bad9c2_2"/>
      <w:bookmarkStart w:id="881" w:name="_8f11312a_73ef_48a5_86f2_335242bad9c2"/>
      <w:bookmarkStart w:id="882" w:name="_c59066dc_0fc6_4bbf_881b_c5664ef21712_3"/>
      <w:bookmarkStart w:id="883" w:name="_c59066dc_0fc6_4bbf_881b_c5664ef21712_2"/>
      <w:bookmarkStart w:id="884" w:name="_c59066dc_0fc6_4bbf_881b_c5664ef21712"/>
      <w:bookmarkStart w:id="885" w:name="_37f4a257_fcae_48af_a8bb_254910f63f52_3"/>
      <w:bookmarkStart w:id="886" w:name="_37f4a257_fcae_48af_a8bb_254910f63f52_2"/>
      <w:bookmarkStart w:id="887" w:name="_37f4a257_fcae_48af_a8bb_254910f63f52"/>
      <w:bookmarkStart w:id="888" w:name="Tc_Hw47rFJlH0CZ-jky5rKlZA_13_11"/>
      <w:bookmarkStart w:id="889" w:name="Tc_y1ZT6NzDzU-me2eye0gkyA_13_9"/>
      <w:bookmarkStart w:id="890" w:name="Tc_iNGKXhN4z0amu5IbBCrqeQ_13_8"/>
      <w:bookmarkStart w:id="891" w:name="Tc_0-QViSLKLEmTsJZA_vvhYw_13_5"/>
      <w:bookmarkStart w:id="892" w:name="Tc_qN1avtrRnkqu2HpDlOuUmg_13_2"/>
      <w:bookmarkStart w:id="893" w:name="Tc_kTKWZFkMbUSyIkuqYegOoA_13_0"/>
      <w:bookmarkStart w:id="894" w:name="Tc_E-_Ycgk-M0OJnAhSmKN6Rg_12_9"/>
      <w:bookmarkStart w:id="895" w:name="Tc_Af-Odp5OqU-lkvMvo269hw_12_3"/>
      <w:bookmarkStart w:id="896" w:name="Tc__ACx6kseb0aL7M9gE0XdVA_12_0"/>
      <w:bookmarkStart w:id="897" w:name="Tc_7O4h293i9EGEe1jywAIBPQ_11_9"/>
      <w:bookmarkStart w:id="898" w:name="Tc_5DrZPBk_sE2ujzLrncjcIw_11_3"/>
      <w:bookmarkStart w:id="899" w:name="Tc_NYyx9dSKMk-01QLKQtRKIA_11_0"/>
      <w:bookmarkStart w:id="900" w:name="Tc_Q67WBDdwcEafgMaOayzZCA_10_9"/>
      <w:bookmarkStart w:id="901" w:name="Tc_tg7RXReBXkKstXCgtxrwRA_10_3"/>
      <w:bookmarkStart w:id="902" w:name="Tc_29Dwnf8XtUu3EMrCIKkneg_10_0"/>
      <w:bookmarkStart w:id="903" w:name="Tc_CEIu_FPiH06z0sElif2rKw_9_9"/>
      <w:bookmarkStart w:id="904" w:name="Tc_1V7KjbpBDE2LbSGQIl9lgQ_9_3"/>
      <w:bookmarkStart w:id="905" w:name="Tc_DCG-7UOo_0CT9anITT9wLw_9_0"/>
      <w:bookmarkStart w:id="906" w:name="Tc_vKnZE5TwxEq76QB6prGEtQ_8_9"/>
      <w:bookmarkStart w:id="907" w:name="Tc_l3Let03ezkKbvk384u_96w_8_0"/>
      <w:bookmarkStart w:id="908" w:name="Tc_DVaTpjRcZkmLuagvV3djiA_7_0"/>
      <w:bookmarkStart w:id="909" w:name="Tc_bPBx5hRyDkabyfNGstwFUQ_6_9"/>
      <w:bookmarkStart w:id="910" w:name="Tc_LbLuvSgG70qS6-5BjjxE7w_6_6"/>
      <w:bookmarkStart w:id="911" w:name="Tc_wVWFEAkgB02wnvOq-QinfA_6_0"/>
      <w:bookmarkStart w:id="912" w:name="Tc_Dw0jKidKBE-IsBHYFQhchQ_5_11"/>
      <w:bookmarkStart w:id="913" w:name="Tc_f_TUJzOtB0qyOu5htSo_1Q_5_9"/>
      <w:bookmarkStart w:id="914" w:name="Tc_ZSyPBa5Ql0Su6p812WvZ4A_5_8"/>
      <w:bookmarkStart w:id="915" w:name="Tc_BaYrFquV_0m1PXz_4wRqgg_5_6"/>
      <w:bookmarkStart w:id="916" w:name="Tc_7U0T999lukCrBd9ODny-zQ_5_5"/>
      <w:bookmarkStart w:id="917" w:name="Tc_-D0j1lWHaE-yF7qr5f9UjA_5_2"/>
      <w:bookmarkStart w:id="918" w:name="Tc_87Um0_dGfkuTAzFBRM8JnA_5_0"/>
      <w:bookmarkStart w:id="919" w:name="Tc_ss8cRcgQ1ESix6xnc5TGsQ_4_0"/>
      <w:bookmarkStart w:id="920" w:name="Tc_9QYdskTPxkaxxvxRWXvONw_3_0"/>
      <w:bookmarkStart w:id="921" w:name="Tc_JYW_Jk_CRUSf5Da_dUgS3Q_2_11"/>
      <w:bookmarkStart w:id="922" w:name="Tc_msqMdpFEmEaYa4sFBZrstg_2_8"/>
      <w:bookmarkStart w:id="923" w:name="Tc_ZNyPRTsgP0qIcmYg-KH0cQ_2_5"/>
      <w:bookmarkStart w:id="924" w:name="Tc_hmBsWwCIQkabz_0-a5Z2mQ_2_2"/>
      <w:bookmarkStart w:id="925" w:name="Tc_p8NXpnbOxE66j7kUu6w7xQ_1_2"/>
      <w:bookmarkStart w:id="926" w:name="_5ca94674_7739_49e6_bfee_c58a74ac6448"/>
      <w:bookmarkStart w:id="927" w:name="Tc_K9p_oGyN70OenzLlaN-Jow_11_11"/>
      <w:bookmarkStart w:id="928" w:name="Tc_mRA-tt_0CU2kFz6l4cspxQ_11_9"/>
      <w:bookmarkStart w:id="929" w:name="Tc_uASB2rhNqEO9taDceOZjJQ_11_8"/>
      <w:bookmarkStart w:id="930" w:name="Tc_pc4PUf-OZUKyslD24Bhimw_11_5"/>
      <w:bookmarkStart w:id="931" w:name="Tc_walsSGqs206MgHT-UE-dxg_11_2"/>
      <w:bookmarkStart w:id="932" w:name="Tc_NFOy_4i6L0yGR2chSngl_g_11_0"/>
      <w:bookmarkStart w:id="933" w:name="Tc_vHP8eGFjZEmhirECgqnKMA_10_9"/>
      <w:bookmarkStart w:id="934" w:name="Tc_sdG8znLfaUeKrc6rYVMNOA_10_3"/>
      <w:bookmarkStart w:id="935" w:name="Tc_FD0BBhUBtUOWUtLBYtp84g_10_0"/>
      <w:bookmarkStart w:id="936" w:name="Tc_G-SrYkqch063k9C-LL5Osw_9_9"/>
      <w:bookmarkStart w:id="937" w:name="Tc__Umb2hD9ukC6cW0FLlo3Jw_9_3"/>
      <w:bookmarkStart w:id="938" w:name="Tc_bxkZG-ETc0-KUAr_RPxUFA_9_0"/>
      <w:bookmarkStart w:id="939" w:name="Tc_L_1-O49SHUOC7YXTd0e7-Q_8_9"/>
      <w:bookmarkStart w:id="940" w:name="Tc_YMif9AScgEC8DihhX8BggA_8_3"/>
      <w:bookmarkStart w:id="941" w:name="Tc_n2hDSNqJoEecZpSZMeD0UA_8_0"/>
      <w:bookmarkStart w:id="942" w:name="Tc_J1JSCXv1yki772mN2-3Flw_7_9"/>
      <w:bookmarkStart w:id="943" w:name="Tc_dxbYvZ9edUyUBSEUJTaOlQ_7_0"/>
      <w:bookmarkStart w:id="944" w:name="Tc_YPG-ouULaUSkLp6-dp-_XQ_6_0"/>
      <w:bookmarkStart w:id="945" w:name="Tc_t239e-qrf0exAxsnQn22gg_5_11"/>
      <w:bookmarkStart w:id="946" w:name="Tc_0gfp_bFCg0ynxsQaqA1RSw_5_9"/>
      <w:bookmarkStart w:id="947" w:name="Tc_6DVqKAkXQUC8WEMWrDrAVw_5_8"/>
      <w:bookmarkStart w:id="948" w:name="Tc_0LqycNr9zEml-zj15dFEOQ_5_6"/>
      <w:bookmarkStart w:id="949" w:name="Tc_k4VyUJHefE-2O7ypAH2Xmw_5_5"/>
      <w:bookmarkStart w:id="950" w:name="Tc_2UGbUbjdV0S6e3LRRjrlLg_5_2"/>
      <w:bookmarkStart w:id="951" w:name="Tc_kjpgW9rYKkihHCKgzn5r4A_5_0"/>
      <w:bookmarkStart w:id="952" w:name="Tc_FcqqFzfA4kOQu83Idx6X3g_4_0"/>
      <w:bookmarkStart w:id="953" w:name="Tc_mK903THaL0qEl-3-UssiCQ_3_0"/>
      <w:bookmarkStart w:id="954" w:name="Tc_jw-mVBNLWkWI-T1h-DxaCg_2_11"/>
      <w:bookmarkStart w:id="955" w:name="Tc_JrKB7pHxmU2aIK7Dme4rzw_2_8"/>
      <w:bookmarkStart w:id="956" w:name="Tc_dW1ctbt4lUOvaKjB009Aaw_2_5"/>
      <w:bookmarkStart w:id="957" w:name="Tc_tnj_Tq4d502orWoO-GT1AQ_2_2"/>
      <w:bookmarkStart w:id="958" w:name="Tc_WM4fks3wbUC48hH4YZ4ANA_1_2"/>
      <w:bookmarkStart w:id="959" w:name="_18b272ac_3dfb_4fa4_820f_c234a4b88d04"/>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b/>
          <w:i/>
          <w:sz w:val="20"/>
        </w:rPr>
        <w:t>Recurring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present the Company’s fair value hierarchy for financial assets measured at fair value on a recurring basis as of June 30, 2026 and December 31, 2025 (in thousands):</w:t>
      </w:r>
    </w:p>
    <w:tbl>
      <w:tblPr>
        <w:tblW w:w="7767" w:type="dxa"/>
        <w:jc w:val="left"/>
        <w:tblInd w:w="0" w:type="dxa"/>
        <w:tblLayout w:type="fixed"/>
        <w:tblCellMar>
          <w:top w:w="0" w:type="dxa"/>
          <w:left w:w="0" w:type="dxa"/>
          <w:bottom w:w="0" w:type="dxa"/>
          <w:right w:w="0" w:type="dxa"/>
        </w:tblCellMar>
      </w:tblPr>
      <w:tblGrid>
        <w:gridCol w:w="2671"/>
        <w:gridCol w:w="346"/>
        <w:gridCol w:w="211"/>
        <w:gridCol w:w="781"/>
        <w:gridCol w:w="346"/>
        <w:gridCol w:w="211"/>
        <w:gridCol w:w="781"/>
        <w:gridCol w:w="346"/>
        <w:gridCol w:w="239"/>
        <w:gridCol w:w="392"/>
        <w:gridCol w:w="346"/>
        <w:gridCol w:w="211"/>
        <w:gridCol w:w="88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96085" cy="175260"/>
                      <wp:effectExtent l="0" t="0" r="0" b="0"/>
                      <wp:wrapNone/>
                      <wp:docPr id="77" name="Frame77"/>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1765" cy="175260"/>
                      <wp:effectExtent l="0" t="0" r="0" b="0"/>
                      <wp:wrapNone/>
                      <wp:docPr id="85" name="Frame8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8920" cy="175260"/>
                      <wp:effectExtent l="0" t="0" r="0" b="0"/>
                      <wp:wrapNone/>
                      <wp:docPr id="86" name="Frame86"/>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62610" cy="175260"/>
                      <wp:effectExtent l="0" t="0" r="0" b="0"/>
                      <wp:wrapNone/>
                      <wp:docPr id="89" name="Frame8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75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58,709</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Marketable securities, 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101,091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301,457</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86,859</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86,859</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48,274</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Supranational debt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238,221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497,296</w:t>
            </w:r>
          </w:p>
        </w:tc>
      </w:tr>
    </w:tbl>
    <w:p>
      <w:pPr>
        <w:pStyle w:val="TextBody"/>
        <w:bidi w:val="0"/>
        <w:spacing w:before="0" w:after="240"/>
        <w:ind w:left="0" w:right="0" w:hanging="0"/>
        <w:jc w:val="both"/>
        <w:rPr/>
      </w:pPr>
      <w:r>
        <w:rPr/>
        <w:t>​</w:t>
      </w:r>
    </w:p>
    <w:tbl>
      <w:tblPr>
        <w:tblW w:w="8757" w:type="dxa"/>
        <w:jc w:val="left"/>
        <w:tblInd w:w="0" w:type="dxa"/>
        <w:tblLayout w:type="fixed"/>
        <w:tblCellMar>
          <w:top w:w="0" w:type="dxa"/>
          <w:left w:w="0" w:type="dxa"/>
          <w:bottom w:w="0" w:type="dxa"/>
          <w:right w:w="0" w:type="dxa"/>
        </w:tblCellMar>
      </w:tblPr>
      <w:tblGrid>
        <w:gridCol w:w="3661"/>
        <w:gridCol w:w="346"/>
        <w:gridCol w:w="211"/>
        <w:gridCol w:w="781"/>
        <w:gridCol w:w="346"/>
        <w:gridCol w:w="211"/>
        <w:gridCol w:w="781"/>
        <w:gridCol w:w="346"/>
        <w:gridCol w:w="239"/>
        <w:gridCol w:w="392"/>
        <w:gridCol w:w="346"/>
        <w:gridCol w:w="211"/>
        <w:gridCol w:w="88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24735" cy="175260"/>
                      <wp:effectExtent l="0" t="0" r="0" b="0"/>
                      <wp:wrapNone/>
                      <wp:docPr id="90" name="Frame90"/>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765" cy="175260"/>
                      <wp:effectExtent l="0" t="0" r="0" b="0"/>
                      <wp:wrapNone/>
                      <wp:docPr id="98" name="Frame9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8920" cy="175260"/>
                      <wp:effectExtent l="0" t="0" r="0" b="0"/>
                      <wp:wrapNone/>
                      <wp:docPr id="99" name="Frame9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62610" cy="175260"/>
                      <wp:effectExtent l="0" t="0" r="0" b="0"/>
                      <wp:wrapNone/>
                      <wp:docPr id="102" name="Frame1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75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81,729</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3,971</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Marketable securities,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37,673</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148,482</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30,743</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27,672</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27,672</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Supranational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7,922</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development bank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108,022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304,531</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Company did not hold Level 3 financial instruments measured on a recurring basis and there were no transfers between Level 1 and Level 2 categories during the six months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Nonrecurring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the Company measured its acquired IPR&amp;D intangible asset at fair value on a nonrecurring basis in connection with an impairment assessment. The fair value measurement was classified within Level 3 of the fair value hierarchy. Based on the assessment, the Company recorded an impairment loss of $41.8 million during the three and six months ended June 30, 2026. See Note 6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Normal"/>
        <w:bidi w:val="0"/>
        <w:spacing w:before="0" w:after="0"/>
        <w:jc w:val="left"/>
        <w:rPr>
          <w:sz w:val="4"/>
          <w:szCs w:val="4"/>
        </w:rPr>
      </w:pPr>
      <w:r>
        <w:rPr>
          <w:sz w:val="4"/>
          <w:szCs w:val="4"/>
        </w:rPr>
      </w:r>
      <w:bookmarkStart w:id="960" w:name="Tc_jGYoWTz7tE2VpwF8Lv8DiA_11_11"/>
      <w:bookmarkStart w:id="961" w:name="Tc_5WZaQH-sCk-FcJMC30exGw_11_9"/>
      <w:bookmarkStart w:id="962" w:name="Tc_gUuwmtIbvEiMORcgU0iRQQ_11_8"/>
      <w:bookmarkStart w:id="963" w:name="Tc_N8mQ4YC0S0aM3iaq5vKVVA_11_5"/>
      <w:bookmarkStart w:id="964" w:name="Tc_1Luk4mI5zU-RAfgRkBE1uw_11_2"/>
      <w:bookmarkStart w:id="965" w:name="Tc_uGc1D51LIk2tWd3bJAoh-w_11_0"/>
      <w:bookmarkStart w:id="966" w:name="Tc_V5GLmTKwnUyF3WT-rRGIyw_10_9"/>
      <w:bookmarkStart w:id="967" w:name="Tc_TjQMIyTZ4USA-Eed3VB8Rw_10_0"/>
      <w:bookmarkStart w:id="968" w:name="Tc_4hIn-dW_tk2-TBqGIxXR-A_9_9"/>
      <w:bookmarkStart w:id="969" w:name="Tc_kgCpJ5VY6EqSk385CqWN7Q_9_0"/>
      <w:bookmarkStart w:id="970" w:name="Tc_FuFjy5JPyE2fHYJgu9Dg7g_8_9"/>
      <w:bookmarkStart w:id="971" w:name="Tc_IjIh2ktzWUSghhXDhMxkcg_8_0"/>
      <w:bookmarkStart w:id="972" w:name="Tc_OyEsG1MBPkmRm-M6xpoJzQ_7_9"/>
      <w:bookmarkStart w:id="973" w:name="Tc_ysdaqZHSB0iQdQ6EAEHo2g_7_0"/>
      <w:bookmarkStart w:id="974" w:name="Tc_81omL-VwzkSSZlVpTk66FQ_6_11"/>
      <w:bookmarkStart w:id="975" w:name="Tc_4lRPA4KGFEOlBtEvWNSwUw_6_9"/>
      <w:bookmarkStart w:id="976" w:name="Tc_Zg8mSPIkS060jygFXOkdyg_6_8"/>
      <w:bookmarkStart w:id="977" w:name="Tc_t1tgTh0Msk-oBQV4h4IuYg_6_5"/>
      <w:bookmarkStart w:id="978" w:name="Tc_hmP_USPmo029g8zH7vWTqw_6_2"/>
      <w:bookmarkStart w:id="979" w:name="Tc_w53I-F_48kOZaVTDDmlbNg_6_0"/>
      <w:bookmarkStart w:id="980" w:name="Tc_v7HoATsMkUSRNHdH3_UFJA_5_0"/>
      <w:bookmarkStart w:id="981" w:name="Tc_53n89EWW7UCUhhOi2FIDbQ_4_11"/>
      <w:bookmarkStart w:id="982" w:name="Tc_VKPUmoqZ6kyAmHBVmjwbFA_4_8"/>
      <w:bookmarkStart w:id="983" w:name="Tc_7XGKQQSdF0yDEh91ZHAQZw_4_5"/>
      <w:bookmarkStart w:id="984" w:name="Tc_m9q3hDEWh0SjRZFmhjQC1A_4_2"/>
      <w:bookmarkStart w:id="985" w:name="Tc_rAxnFYtT-0ePb5iG4T2djg_3_11"/>
      <w:bookmarkStart w:id="986" w:name="Tc_jv1un_CueUeGcQrsthb0SA_3_8"/>
      <w:bookmarkStart w:id="987" w:name="Tc_lcRMboWSnUGrVydyZF4UBA_3_5"/>
      <w:bookmarkStart w:id="988" w:name="Tc_jKAAVpJa6k-s3NkTePbLRw_3_2"/>
      <w:bookmarkStart w:id="989" w:name="Tc_Qw4vow_iEU6R_3P-3ynSAQ_2_8"/>
      <w:bookmarkStart w:id="990" w:name="Tc_tlTpQbIesUmWxHpTiKkmEw_2_5"/>
      <w:bookmarkStart w:id="991" w:name="Tc_zsmnFNeKGUCkexZiUEjcqg_1_2"/>
      <w:bookmarkStart w:id="992" w:name="_72a86d89_7b8c_4bc0_9a49_d82f9008a961"/>
      <w:bookmarkStart w:id="993" w:name="Tc_wGQ6Z1ZyPUakdh2rOyBc4A_10_11"/>
      <w:bookmarkStart w:id="994" w:name="Tc_uKzwe8_iYUm3vB3BBic2Rg_10_8"/>
      <w:bookmarkStart w:id="995" w:name="Tc_U0KT96N9IUaeuZpDqK7wDg_10_5"/>
      <w:bookmarkStart w:id="996" w:name="Tc_WXnGpoF_MUm-lJ68EZEnhg_10_2"/>
      <w:bookmarkStart w:id="997" w:name="Tc_oWoGJrT2q02y_yZDuO20_w_10_0"/>
      <w:bookmarkStart w:id="998" w:name="Tc_tvcvmFzVakazhci5tvwQzw_9_9"/>
      <w:bookmarkStart w:id="999" w:name="Tc_QkesXYIU2E2oHqOaYC3B6g_9_0"/>
      <w:bookmarkStart w:id="1000" w:name="Tc_pHNFKUEhhkK3N41KOGbK2g_8_6"/>
      <w:bookmarkStart w:id="1001" w:name="Tc_32PGNjAT_E2esIFdk72L6A_8_0"/>
      <w:bookmarkStart w:id="1002" w:name="Tc_wJ0-3vaqmkuOwtcl0eetJw_7_0"/>
      <w:bookmarkStart w:id="1003" w:name="Tc_dmy2zyjZNUKVu254LSgPZw_6_11"/>
      <w:bookmarkStart w:id="1004" w:name="Tc_480pXjlcz0CrNYQEuTpssQ_6_8"/>
      <w:bookmarkStart w:id="1005" w:name="Tc_PY2F8C_8ZkqfCpCWMymSpQ_6_5"/>
      <w:bookmarkStart w:id="1006" w:name="Tc_t2m-qPAJ-UGRrkRcg2lcpg_6_2"/>
      <w:bookmarkStart w:id="1007" w:name="Tc_ZbQI-K9ekE68Fzx06uY13A_6_0"/>
      <w:bookmarkStart w:id="1008" w:name="Tc__2r7Tlcm0UW-p5Qywa1Tqw_5_0"/>
      <w:bookmarkStart w:id="1009" w:name="Tc_e3tMvFb-PU23dSdXsNlG8w_4_11"/>
      <w:bookmarkStart w:id="1010" w:name="Tc_uv8ahTc1i0aCmJQQ32BqhQ_4_8"/>
      <w:bookmarkStart w:id="1011" w:name="Tc_cGAdg0wm0U69Ou5Bd5IKug_4_5"/>
      <w:bookmarkStart w:id="1012" w:name="Tc_vkwL4GA5706GtK29zijZsA_4_2"/>
      <w:bookmarkStart w:id="1013" w:name="Tc_lgFIBcg_G0Wl-MXEI-V43g_3_11"/>
      <w:bookmarkStart w:id="1014" w:name="Tc_JQ_5G4alD0CeGodvzoQtOg_3_8"/>
      <w:bookmarkStart w:id="1015" w:name="Tc_4JnhaRv6fE6gk77FoJhYPw_3_5"/>
      <w:bookmarkStart w:id="1016" w:name="Tc_M3FjEBOBjkexcir5Bq2nqQ_3_2"/>
      <w:bookmarkStart w:id="1017" w:name="Tc_KubZfWIwU0iwtmxKTdJHSw_2_8"/>
      <w:bookmarkStart w:id="1018" w:name="Tc_9L8ILxRNekqTceER6gmHMQ_2_5"/>
      <w:bookmarkStart w:id="1019" w:name="Tc_K_MO5_oeVU2LzWbR7wFbNQ_1_2"/>
      <w:bookmarkStart w:id="1020" w:name="_eec9e9d6_94b9_40aa_a75c_b487d3dd1b1f"/>
      <w:bookmarkStart w:id="1021" w:name="Tc_jGYoWTz7tE2VpwF8Lv8DiA_11_11"/>
      <w:bookmarkStart w:id="1022" w:name="Tc_5WZaQH-sCk-FcJMC30exGw_11_9"/>
      <w:bookmarkStart w:id="1023" w:name="Tc_gUuwmtIbvEiMORcgU0iRQQ_11_8"/>
      <w:bookmarkStart w:id="1024" w:name="Tc_N8mQ4YC0S0aM3iaq5vKVVA_11_5"/>
      <w:bookmarkStart w:id="1025" w:name="Tc_1Luk4mI5zU-RAfgRkBE1uw_11_2"/>
      <w:bookmarkStart w:id="1026" w:name="Tc_uGc1D51LIk2tWd3bJAoh-w_11_0"/>
      <w:bookmarkStart w:id="1027" w:name="Tc_V5GLmTKwnUyF3WT-rRGIyw_10_9"/>
      <w:bookmarkStart w:id="1028" w:name="Tc_TjQMIyTZ4USA-Eed3VB8Rw_10_0"/>
      <w:bookmarkStart w:id="1029" w:name="Tc_4hIn-dW_tk2-TBqGIxXR-A_9_9"/>
      <w:bookmarkStart w:id="1030" w:name="Tc_kgCpJ5VY6EqSk385CqWN7Q_9_0"/>
      <w:bookmarkStart w:id="1031" w:name="Tc_FuFjy5JPyE2fHYJgu9Dg7g_8_9"/>
      <w:bookmarkStart w:id="1032" w:name="Tc_IjIh2ktzWUSghhXDhMxkcg_8_0"/>
      <w:bookmarkStart w:id="1033" w:name="Tc_OyEsG1MBPkmRm-M6xpoJzQ_7_9"/>
      <w:bookmarkStart w:id="1034" w:name="Tc_ysdaqZHSB0iQdQ6EAEHo2g_7_0"/>
      <w:bookmarkStart w:id="1035" w:name="Tc_81omL-VwzkSSZlVpTk66FQ_6_11"/>
      <w:bookmarkStart w:id="1036" w:name="Tc_4lRPA4KGFEOlBtEvWNSwUw_6_9"/>
      <w:bookmarkStart w:id="1037" w:name="Tc_Zg8mSPIkS060jygFXOkdyg_6_8"/>
      <w:bookmarkStart w:id="1038" w:name="Tc_t1tgTh0Msk-oBQV4h4IuYg_6_5"/>
      <w:bookmarkStart w:id="1039" w:name="Tc_hmP_USPmo029g8zH7vWTqw_6_2"/>
      <w:bookmarkStart w:id="1040" w:name="Tc_w53I-F_48kOZaVTDDmlbNg_6_0"/>
      <w:bookmarkStart w:id="1041" w:name="Tc_v7HoATsMkUSRNHdH3_UFJA_5_0"/>
      <w:bookmarkStart w:id="1042" w:name="Tc_53n89EWW7UCUhhOi2FIDbQ_4_11"/>
      <w:bookmarkStart w:id="1043" w:name="Tc_VKPUmoqZ6kyAmHBVmjwbFA_4_8"/>
      <w:bookmarkStart w:id="1044" w:name="Tc_7XGKQQSdF0yDEh91ZHAQZw_4_5"/>
      <w:bookmarkStart w:id="1045" w:name="Tc_m9q3hDEWh0SjRZFmhjQC1A_4_2"/>
      <w:bookmarkStart w:id="1046" w:name="Tc_rAxnFYtT-0ePb5iG4T2djg_3_11"/>
      <w:bookmarkStart w:id="1047" w:name="Tc_jv1un_CueUeGcQrsthb0SA_3_8"/>
      <w:bookmarkStart w:id="1048" w:name="Tc_lcRMboWSnUGrVydyZF4UBA_3_5"/>
      <w:bookmarkStart w:id="1049" w:name="Tc_jKAAVpJa6k-s3NkTePbLRw_3_2"/>
      <w:bookmarkStart w:id="1050" w:name="Tc_Qw4vow_iEU6R_3P-3ynSAQ_2_8"/>
      <w:bookmarkStart w:id="1051" w:name="Tc_tlTpQbIesUmWxHpTiKkmEw_2_5"/>
      <w:bookmarkStart w:id="1052" w:name="Tc_zsmnFNeKGUCkexZiUEjcqg_1_2"/>
      <w:bookmarkStart w:id="1053" w:name="_72a86d89_7b8c_4bc0_9a49_d82f9008a961"/>
      <w:bookmarkStart w:id="1054" w:name="Tc_wGQ6Z1ZyPUakdh2rOyBc4A_10_11"/>
      <w:bookmarkStart w:id="1055" w:name="Tc_uKzwe8_iYUm3vB3BBic2Rg_10_8"/>
      <w:bookmarkStart w:id="1056" w:name="Tc_U0KT96N9IUaeuZpDqK7wDg_10_5"/>
      <w:bookmarkStart w:id="1057" w:name="Tc_WXnGpoF_MUm-lJ68EZEnhg_10_2"/>
      <w:bookmarkStart w:id="1058" w:name="Tc_oWoGJrT2q02y_yZDuO20_w_10_0"/>
      <w:bookmarkStart w:id="1059" w:name="Tc_tvcvmFzVakazhci5tvwQzw_9_9"/>
      <w:bookmarkStart w:id="1060" w:name="Tc_QkesXYIU2E2oHqOaYC3B6g_9_0"/>
      <w:bookmarkStart w:id="1061" w:name="Tc_pHNFKUEhhkK3N41KOGbK2g_8_6"/>
      <w:bookmarkStart w:id="1062" w:name="Tc_32PGNjAT_E2esIFdk72L6A_8_0"/>
      <w:bookmarkStart w:id="1063" w:name="Tc_wJ0-3vaqmkuOwtcl0eetJw_7_0"/>
      <w:bookmarkStart w:id="1064" w:name="Tc_dmy2zyjZNUKVu254LSgPZw_6_11"/>
      <w:bookmarkStart w:id="1065" w:name="Tc_480pXjlcz0CrNYQEuTpssQ_6_8"/>
      <w:bookmarkStart w:id="1066" w:name="Tc_PY2F8C_8ZkqfCpCWMymSpQ_6_5"/>
      <w:bookmarkStart w:id="1067" w:name="Tc_t2m-qPAJ-UGRrkRcg2lcpg_6_2"/>
      <w:bookmarkStart w:id="1068" w:name="Tc_ZbQI-K9ekE68Fzx06uY13A_6_0"/>
      <w:bookmarkStart w:id="1069" w:name="Tc__2r7Tlcm0UW-p5Qywa1Tqw_5_0"/>
      <w:bookmarkStart w:id="1070" w:name="Tc_e3tMvFb-PU23dSdXsNlG8w_4_11"/>
      <w:bookmarkStart w:id="1071" w:name="Tc_uv8ahTc1i0aCmJQQ32BqhQ_4_8"/>
      <w:bookmarkStart w:id="1072" w:name="Tc_cGAdg0wm0U69Ou5Bd5IKug_4_5"/>
      <w:bookmarkStart w:id="1073" w:name="Tc_vkwL4GA5706GtK29zijZsA_4_2"/>
      <w:bookmarkStart w:id="1074" w:name="Tc_lgFIBcg_G0Wl-MXEI-V43g_3_11"/>
      <w:bookmarkStart w:id="1075" w:name="Tc_JQ_5G4alD0CeGodvzoQtOg_3_8"/>
      <w:bookmarkStart w:id="1076" w:name="Tc_4JnhaRv6fE6gk77FoJhYPw_3_5"/>
      <w:bookmarkStart w:id="1077" w:name="Tc_M3FjEBOBjkexcir5Bq2nqQ_3_2"/>
      <w:bookmarkStart w:id="1078" w:name="Tc_KubZfWIwU0iwtmxKTdJHSw_2_8"/>
      <w:bookmarkStart w:id="1079" w:name="Tc_9L8ILxRNekqTceER6gmHMQ_2_5"/>
      <w:bookmarkStart w:id="1080" w:name="Tc_K_MO5_oeVU2LzWbR7wFbNQ_1_2"/>
      <w:bookmarkStart w:id="1081" w:name="_eec9e9d6_94b9_40aa_a75c_b487d3dd1b1f"/>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tbl>
      <w:tblPr>
        <w:tblW w:w="2282" w:type="dxa"/>
        <w:jc w:val="left"/>
        <w:tblInd w:w="0" w:type="dxa"/>
        <w:tblLayout w:type="fixed"/>
        <w:tblCellMar>
          <w:top w:w="0" w:type="dxa"/>
          <w:left w:w="0" w:type="dxa"/>
          <w:bottom w:w="0" w:type="dxa"/>
          <w:right w:w="0" w:type="dxa"/>
        </w:tblCellMar>
      </w:tblPr>
      <w:tblGrid>
        <w:gridCol w:w="271"/>
        <w:gridCol w:w="20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Marketable securities, which are classified as available-for-sale, consisted of the following as of June 30, 2026 and December 31, 2025 (in thousands):</w:t>
      </w:r>
    </w:p>
    <w:tbl>
      <w:tblPr>
        <w:tblW w:w="7758" w:type="dxa"/>
        <w:jc w:val="left"/>
        <w:tblInd w:w="0" w:type="dxa"/>
        <w:tblLayout w:type="fixed"/>
        <w:tblCellMar>
          <w:top w:w="0" w:type="dxa"/>
          <w:left w:w="0" w:type="dxa"/>
          <w:bottom w:w="0" w:type="dxa"/>
          <w:right w:w="0" w:type="dxa"/>
        </w:tblCellMar>
      </w:tblPr>
      <w:tblGrid>
        <w:gridCol w:w="2971"/>
        <w:gridCol w:w="346"/>
        <w:gridCol w:w="265"/>
        <w:gridCol w:w="980"/>
        <w:gridCol w:w="109"/>
        <w:gridCol w:w="335"/>
        <w:gridCol w:w="551"/>
        <w:gridCol w:w="109"/>
        <w:gridCol w:w="270"/>
        <w:gridCol w:w="616"/>
        <w:gridCol w:w="109"/>
        <w:gridCol w:w="211"/>
        <w:gridCol w:w="88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86585" cy="175260"/>
                      <wp:effectExtent l="0" t="0" r="0" b="0"/>
                      <wp:wrapNone/>
                      <wp:docPr id="103" name="Frame10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8275" cy="175260"/>
                      <wp:effectExtent l="0" t="0" r="0" b="0"/>
                      <wp:wrapNone/>
                      <wp:docPr id="105" name="Frame10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22300" cy="175260"/>
                      <wp:effectExtent l="0" t="0" r="0" b="0"/>
                      <wp:wrapNone/>
                      <wp:docPr id="106" name="Frame106"/>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2725" cy="175260"/>
                      <wp:effectExtent l="0" t="0" r="0" b="0"/>
                      <wp:wrapNone/>
                      <wp:docPr id="108" name="Frame10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49885" cy="175260"/>
                      <wp:effectExtent l="0" t="0" r="0" b="0"/>
                      <wp:wrapNone/>
                      <wp:docPr id="109" name="Frame10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1450" cy="175260"/>
                      <wp:effectExtent l="0" t="0" r="0" b="0"/>
                      <wp:wrapNone/>
                      <wp:docPr id="111" name="Frame11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91160" cy="175260"/>
                      <wp:effectExtent l="0" t="0" r="0" b="0"/>
                      <wp:wrapNone/>
                      <wp:docPr id="112" name="Frame11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2610" cy="175260"/>
                      <wp:effectExtent l="0" t="0" r="0" b="0"/>
                      <wp:wrapNone/>
                      <wp:docPr id="115" name="Frame1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44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Basis</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Marketable securities,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301,955</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301,457</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87,008</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86,859</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48,311</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Supranational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marketable securities, current</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439,270</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438,587</w:t>
            </w:r>
          </w:p>
        </w:tc>
      </w:tr>
    </w:tbl>
    <w:p>
      <w:pPr>
        <w:pStyle w:val="TextBody"/>
        <w:bidi w:val="0"/>
        <w:spacing w:before="0" w:after="240"/>
        <w:ind w:left="0" w:right="0" w:hanging="0"/>
        <w:jc w:val="both"/>
        <w:rPr/>
      </w:pPr>
      <w:r>
        <w:rPr/>
        <w:t>​</w:t>
      </w:r>
    </w:p>
    <w:tbl>
      <w:tblPr>
        <w:tblW w:w="8496" w:type="dxa"/>
        <w:jc w:val="left"/>
        <w:tblInd w:w="0" w:type="dxa"/>
        <w:tblLayout w:type="fixed"/>
        <w:tblCellMar>
          <w:top w:w="0" w:type="dxa"/>
          <w:left w:w="0" w:type="dxa"/>
          <w:bottom w:w="0" w:type="dxa"/>
          <w:right w:w="0" w:type="dxa"/>
        </w:tblCellMar>
      </w:tblPr>
      <w:tblGrid>
        <w:gridCol w:w="3661"/>
        <w:gridCol w:w="346"/>
        <w:gridCol w:w="265"/>
        <w:gridCol w:w="981"/>
        <w:gridCol w:w="109"/>
        <w:gridCol w:w="295"/>
        <w:gridCol w:w="591"/>
        <w:gridCol w:w="109"/>
        <w:gridCol w:w="335"/>
        <w:gridCol w:w="551"/>
        <w:gridCol w:w="146"/>
        <w:gridCol w:w="211"/>
        <w:gridCol w:w="89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24735" cy="175260"/>
                      <wp:effectExtent l="0" t="0" r="0" b="0"/>
                      <wp:wrapNone/>
                      <wp:docPr id="116" name="Frame116"/>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8275" cy="175260"/>
                      <wp:effectExtent l="0" t="0" r="0" b="0"/>
                      <wp:wrapNone/>
                      <wp:docPr id="118" name="Frame11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22935" cy="175260"/>
                      <wp:effectExtent l="0" t="0" r="0" b="0"/>
                      <wp:wrapNone/>
                      <wp:docPr id="119" name="Frame11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7325" cy="175260"/>
                      <wp:effectExtent l="0" t="0" r="0" b="0"/>
                      <wp:wrapNone/>
                      <wp:docPr id="121" name="Frame12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75285" cy="175260"/>
                      <wp:effectExtent l="0" t="0" r="0" b="0"/>
                      <wp:wrapNone/>
                      <wp:docPr id="122" name="Frame122"/>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2725" cy="175260"/>
                      <wp:effectExtent l="0" t="0" r="0" b="0"/>
                      <wp:wrapNone/>
                      <wp:docPr id="124" name="Frame12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9885" cy="175260"/>
                      <wp:effectExtent l="0" t="0" r="0" b="0"/>
                      <wp:wrapNone/>
                      <wp:docPr id="125" name="Frame12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2710" cy="175260"/>
                      <wp:effectExtent l="0" t="0" r="0" b="0"/>
                      <wp:wrapNone/>
                      <wp:docPr id="126" name="Frame1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8960" cy="175260"/>
                      <wp:effectExtent l="0" t="0" r="0" b="0"/>
                      <wp:wrapNone/>
                      <wp:docPr id="128" name="Frame12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4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Basis</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Marketable securities,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148,352</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148,481</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30,720</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30,744</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27,652</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Supranational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7,913</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development bank obligations</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109"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218,643</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218,831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Marketable securities classified as current as of June 30, 2026 and December 31, 2025 had contractual maturities of one year or less from the purchase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marketable securities were not significantly impacted. For all marketable securities with a fair value less than its amortized cost basis, the Company determined the decline in fair value below amortized cost basis to be immaterial and non-credit related, and therefore no allowance for expected credit losses was recorded for the three and six months ended June 30, 2026 and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consist of the acquired IPR&amp;D intangible asset related to the lonigutamab product candidate acquired in the ACELYRIN Merger at its estimated fair value of $51.0 million as of the Closing Date. See Note 3 for additional information. The asset is classified as an indefinite-lived intangible asset and, accordingly, is not amortized but is subject to annual impairment testing, or more frequently if events or changes in circumstances indicate that the asset may be impaired.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2026, the Company completed its strategic review of the lonigutamab program and decided to pursue strategic alternatives for the program. This decision represented a triggering event under ASC 350 and required the Company to perform an interim impairment assessment of the acquired IPR&amp;D intangible asset. Based on the results of the impairment assessment, the Company recorded an intangible assets impairment loss of $41.8 million, which was recognized as a separate line item in operating expenses, in its unaudited condensed consolidated statement of operations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comprehensive income (loss) for the three and six months ended June 30, 2026. The impairment loss reduced the carrying value of the acquired IPR&amp;D intangible asset to its estimated fair value of $9.1 million as of June 30, 2026.</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fair value of the acquired IPR&amp;D intangible asset was determined using a weighted scenario-based, risk-adjusted discounted cash flows method, which estimates the present value of projected future cash flows attributable to the asset under multiple potential outcomes and applies probability weightings ranging from 10% to 70%. The valuation incorporated significant unobservable inputs and assumptions including the probability and timing of potential strategic transactions, such as out-licensing arrangements, estimated future cash flows, projected revenues, the probability of technical and regulatory success and a discount rate of 24%.</w:t>
      </w:r>
    </w:p>
    <w:p>
      <w:pPr>
        <w:pStyle w:val="TextBody"/>
        <w:bidi w:val="0"/>
        <w:spacing w:before="0" w:after="240"/>
        <w:ind w:left="0" w:right="0" w:hanging="0"/>
        <w:jc w:val="left"/>
        <w:rPr>
          <w:rFonts w:ascii="Times New Roman;Times;serif" w:hAnsi="Times New Roman;Times;serif"/>
          <w:b/>
          <w:sz w:val="20"/>
        </w:rPr>
      </w:pPr>
      <w:bookmarkStart w:id="1082" w:name="Tc_RNUEtXsZa02igVekQtU4Qg_10_5"/>
      <w:bookmarkStart w:id="1083" w:name="Tc_tfwDDgq4kEasZ4Ss7RCKEg_10_2"/>
      <w:bookmarkStart w:id="1084" w:name="Tc_xq6BZQYX3kKlOl-ulni8qA_10_0"/>
      <w:bookmarkStart w:id="1085" w:name="Tc_tlMuFjJzN0qBNansTkb0Cw_9_0"/>
      <w:bookmarkStart w:id="1086" w:name="Tc_WkpVXS3FzUqS1a-hRP-XAA_8_0"/>
      <w:bookmarkStart w:id="1087" w:name="Tc_5zsITQQlK0yytZhG1oG7_A_7_0"/>
      <w:bookmarkStart w:id="1088" w:name="Tc_CmBKdB2FnEmOJXRfacj4Bw_6_6"/>
      <w:bookmarkStart w:id="1089" w:name="Tc_hF3g9_-Nb0OsEpX7mZ5DRg_6_0"/>
      <w:bookmarkStart w:id="1090" w:name="Tc_o9OgYlxhJkucBgrd1p3n2g_5_0"/>
      <w:bookmarkStart w:id="1091" w:name="Tc_lSalVSKhUUOkSZXFdL3QHg_4_0"/>
      <w:bookmarkStart w:id="1092" w:name="Tc_oIqnoTTuYk6Lc88Osi6HBQ_3_5"/>
      <w:bookmarkStart w:id="1093" w:name="Tc_WmqfR7TRoUynqGbUt3dAWA_3_2"/>
      <w:bookmarkStart w:id="1094" w:name="Tc_XoO382R-0UiHqddy20XImw_3_0"/>
      <w:bookmarkStart w:id="1095" w:name="Tc__CRt_0c20EKF9wRmjqceMA_2_5"/>
      <w:bookmarkStart w:id="1096" w:name="Tc_3X2VK-4SZUWu4ACi7c3dVw_2_2"/>
      <w:bookmarkStart w:id="1097" w:name="Tc_WOnuoNR5gUGvlyz8vx5udw_1_5"/>
      <w:bookmarkStart w:id="1098" w:name="Tc_dsajBxTjq0a3vUMJXBCc2A_1_2"/>
      <w:bookmarkStart w:id="1099" w:name="_ad6a9976_44f5_42c7_af45_44a0db57b758"/>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r>
        <w:rPr>
          <w:rFonts w:ascii="Times New Roman;Times;serif" w:hAnsi="Times New Roman;Times;serif"/>
          <w:b/>
          <w:i w:val="false"/>
          <w:caps w:val="false"/>
          <w:smallCaps w:val="false"/>
          <w:sz w:val="20"/>
        </w:rPr>
        <w:t>7.</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consists of cash pledged as collateral for stand-by letters of credit of $1.4 million and $1.3 million as of June 30, 2026 and December 31, 2025, respectively. Substantially all of the restricted cash relates to lease commitments and will remain restricted until the termination or modification of the underlying lease agreements. Restricted cash was classified as non-current in the condensed consolidated balance sheets as of June 30, 2026 and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Prepaid Expenses and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prepaid expenses and current assets consisted of the following as of June 30, 2026 and December 31, 2025 (in thousands):</w:t>
      </w:r>
    </w:p>
    <w:tbl>
      <w:tblPr>
        <w:tblW w:w="6770" w:type="dxa"/>
        <w:jc w:val="left"/>
        <w:tblInd w:w="0" w:type="dxa"/>
        <w:tblLayout w:type="fixed"/>
        <w:tblCellMar>
          <w:top w:w="0" w:type="dxa"/>
          <w:left w:w="0" w:type="dxa"/>
          <w:bottom w:w="0" w:type="dxa"/>
          <w:right w:w="0" w:type="dxa"/>
        </w:tblCellMar>
      </w:tblPr>
      <w:tblGrid>
        <w:gridCol w:w="4111"/>
        <w:gridCol w:w="346"/>
        <w:gridCol w:w="211"/>
        <w:gridCol w:w="571"/>
        <w:gridCol w:w="346"/>
        <w:gridCol w:w="281"/>
        <w:gridCol w:w="90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610485" cy="175260"/>
                      <wp:effectExtent l="0" t="0" r="0" b="0"/>
                      <wp:wrapNone/>
                      <wp:docPr id="129" name="Frame12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78435" cy="175260"/>
                      <wp:effectExtent l="0" t="0" r="0" b="0"/>
                      <wp:wrapNone/>
                      <wp:docPr id="134" name="Frame13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4040" cy="175260"/>
                      <wp:effectExtent l="0" t="0" r="0" b="0"/>
                      <wp:wrapNone/>
                      <wp:docPr id="135" name="Frame135"/>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exercise proceeds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credit voucher for clinical manufacturing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prepaid expenses and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6,740</w:t>
            </w:r>
          </w:p>
        </w:tc>
      </w:tr>
    </w:tbl>
    <w:p>
      <w:pPr>
        <w:pStyle w:val="TextBody"/>
        <w:bidi w:val="0"/>
        <w:spacing w:before="0" w:after="0"/>
        <w:ind w:left="0" w:right="0" w:hanging="0"/>
        <w:jc w:val="left"/>
        <w:rPr>
          <w:color w:val="231F20"/>
        </w:rPr>
      </w:pPr>
      <w:r>
        <w:rPr>
          <w:color w:val="231F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prepaid credit voucher for clinical manufacturing was received by ACELYRIN in the third quarter of 2024 as part of an agreement to cancel certain services with a vendor under a manufacturing agreement related to the suspension of development of certain ACELYRIN programs. The prepaid credit voucher for clinical manufacturing may be used to settle invoices for services and raw materials from this vendor related to the lonigutamab product candidate. As of June 30, 2026, the prepaid credit voucher for clinical manufacturing included $13 thousand classified in other prepaid expenses and current assets and $0.9 million included in other assets, non-current.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i/>
          <w:sz w:val="20"/>
        </w:rPr>
      </w:pPr>
      <w:bookmarkStart w:id="1100" w:name="Tc_YTZOCosZo0CELX0ucjf_gA_6_5"/>
      <w:bookmarkStart w:id="1101" w:name="Tc_Q1b36raopEe35_pF1W2E8A_6_2"/>
      <w:bookmarkStart w:id="1102" w:name="Tc_aKS77yzt20ShBRJ_HnWbuQ_6_0"/>
      <w:bookmarkStart w:id="1103" w:name="Tc_I34-u2G3pUCThMIspyn31w_5_0"/>
      <w:bookmarkStart w:id="1104" w:name="Tc_cJV3511vVkqINjj67Us_sg_4_0"/>
      <w:bookmarkStart w:id="1105" w:name="Tc_9Qf9m741i0KmvHXKjG15Pw_3_5"/>
      <w:bookmarkStart w:id="1106" w:name="Tc_IKeN-P2wHEyTTsl5cWcocQ_3_2"/>
      <w:bookmarkStart w:id="1107" w:name="Tc_UTFQlHCYdUSk97DVmAZu8g_3_0"/>
      <w:bookmarkStart w:id="1108" w:name="Tc_x9yfUr1pJUek6th3eYSehQ_2_5"/>
      <w:bookmarkStart w:id="1109" w:name="Tc_zbMUvfCFtk6OWt2N1onxBw_2_2"/>
      <w:bookmarkStart w:id="1110" w:name="Tc_6LcBDF3zWEO1xQWBAgtgFw_1_5"/>
      <w:bookmarkStart w:id="1111" w:name="Tc_P_mGaLCi2USP_sLqshPNzA_1_2"/>
      <w:bookmarkStart w:id="1112" w:name="Tc_oFEw0HLEkUu1oySRO6kzxQ_10_7"/>
      <w:bookmarkStart w:id="1113" w:name="Tc_Feu3gJUIDE6Eg1wX3uL0zA_10_4"/>
      <w:bookmarkStart w:id="1114" w:name="Tc_4FjjvVNuE0-wLDaN7ABptA_10_0"/>
      <w:bookmarkStart w:id="1115" w:name="Tc_Wfd_n2ABD0iyGkNkm7pnHQ_9_0"/>
      <w:bookmarkStart w:id="1116" w:name="Tc_la5nDN8iLUGGJeCaV7hUsA_8_0"/>
      <w:bookmarkStart w:id="1117" w:name="Tc_cooYRY5unky9m8LPFUElvA_7_0"/>
      <w:bookmarkStart w:id="1118" w:name="Tc_CrCX9SHY_EiFbBKh7QgRGQ_6_0"/>
      <w:bookmarkStart w:id="1119" w:name="Tc_Un7x1zqOR0CaboujO6tMww_5_0"/>
      <w:bookmarkStart w:id="1120" w:name="Tc_8DoxRbvmzUif2-LWCt0Bng_4_0"/>
      <w:bookmarkStart w:id="1121" w:name="Tc_sOsRF3UjPUGMuq1d2vB_nA_3_7"/>
      <w:bookmarkStart w:id="1122" w:name="Tc_TY81KtRDjkmZGFfh26Cz9g_3_4"/>
      <w:bookmarkStart w:id="1123" w:name="Tc_UiVrhO8J0EC--MwEPu5YEg_3_0"/>
      <w:bookmarkStart w:id="1124" w:name="Tc__dpfsm9ZRkWQFRnhEod8HA_2_7"/>
      <w:bookmarkStart w:id="1125" w:name="Tc_lJFIBafoN0-P8OCqqSQ9PA_2_4"/>
      <w:bookmarkStart w:id="1126" w:name="Tc_t2M09vMWhUOZjzF8oaI_sg_2_2"/>
      <w:bookmarkStart w:id="1127" w:name="Tc_-hG0Hv2MxkyW6jSks4elCA_1_7"/>
      <w:bookmarkStart w:id="1128" w:name="Tc_Uwl6APiWwECLwvf7jinb2Q_1_4"/>
      <w:bookmarkStart w:id="1129" w:name="Tc_byzkr1uv9Eisy_lejccY2Q_1_2"/>
      <w:bookmarkStart w:id="1130" w:name="_ea7b903a_ac6f_477b_b6e2_9828ea2ed17f"/>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b/>
          <w:i/>
          <w:sz w:val="20"/>
        </w:rPr>
        <w:t>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net consisted of the following </w:t>
      </w:r>
      <w:r>
        <w:rPr>
          <w:rFonts w:ascii="Times New Roman;Times;serif" w:hAnsi="Times New Roman;Times;serif"/>
          <w:color w:val="231F20"/>
          <w:sz w:val="20"/>
        </w:rPr>
        <w:t xml:space="preserve">as of June 30, 2026 and December 31, 2025 </w:t>
      </w:r>
      <w:r>
        <w:rPr>
          <w:rFonts w:ascii="Times New Roman;Times;serif" w:hAnsi="Times New Roman;Times;serif"/>
          <w:sz w:val="20"/>
        </w:rPr>
        <w:t>(in thousands):</w:t>
      </w:r>
    </w:p>
    <w:tbl>
      <w:tblPr>
        <w:tblW w:w="10102" w:type="dxa"/>
        <w:jc w:val="left"/>
        <w:tblInd w:w="0" w:type="dxa"/>
        <w:tblLayout w:type="fixed"/>
        <w:tblCellMar>
          <w:top w:w="0" w:type="dxa"/>
          <w:left w:w="0" w:type="dxa"/>
          <w:bottom w:w="0" w:type="dxa"/>
          <w:right w:w="0" w:type="dxa"/>
        </w:tblCellMar>
      </w:tblPr>
      <w:tblGrid>
        <w:gridCol w:w="4156"/>
        <w:gridCol w:w="346"/>
        <w:gridCol w:w="2821"/>
        <w:gridCol w:w="346"/>
        <w:gridCol w:w="211"/>
        <w:gridCol w:w="691"/>
        <w:gridCol w:w="346"/>
        <w:gridCol w:w="252"/>
        <w:gridCol w:w="933"/>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639060" cy="175260"/>
                      <wp:effectExtent l="0" t="0" r="0" b="0"/>
                      <wp:wrapNone/>
                      <wp:docPr id="136" name="Frame136"/>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91335" cy="175260"/>
                      <wp:effectExtent l="0" t="0" r="0" b="0"/>
                      <wp:wrapNone/>
                      <wp:docPr id="138" name="Frame13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0020" cy="175260"/>
                      <wp:effectExtent l="0" t="0" r="0" b="0"/>
                      <wp:wrapNone/>
                      <wp:docPr id="143" name="Frame14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2455" cy="175260"/>
                      <wp:effectExtent l="0" t="0" r="0" b="0"/>
                      <wp:wrapNone/>
                      <wp:docPr id="144" name="Frame14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8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 </w:t>
            </w:r>
          </w:p>
        </w:tc>
        <w:tc>
          <w:tcPr>
            <w:tcW w:w="2821"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Shorter of useful life or lease 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vAlign w:val="center"/>
          </w:tcPr>
          <w:p>
            <w:pPr>
              <w:pStyle w:val="TableContents"/>
              <w:bidi w:val="0"/>
              <w:spacing w:before="0" w:after="1"/>
              <w:ind w:left="0" w:right="0" w:hanging="0"/>
              <w:jc w:val="left"/>
              <w:rPr/>
            </w:pPr>
            <w:r>
              <w:rPr/>
              <w:t> </w:t>
            </w:r>
          </w:p>
        </w:tc>
        <w:tc>
          <w:tcPr>
            <w:tcW w:w="28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5,882</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5,843</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1"/>
              <w:ind w:left="0" w:right="0" w:hanging="0"/>
              <w:jc w:val="left"/>
              <w:rPr/>
            </w:pPr>
            <w:r>
              <w:rPr/>
              <w:t> </w:t>
            </w:r>
          </w:p>
        </w:tc>
        <w:tc>
          <w:tcPr>
            <w:tcW w:w="28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vAlign w:val="center"/>
          </w:tcPr>
          <w:p>
            <w:pPr>
              <w:pStyle w:val="TableContents"/>
              <w:bidi w:val="0"/>
              <w:spacing w:before="0" w:after="1"/>
              <w:ind w:left="0" w:right="0" w:hanging="0"/>
              <w:jc w:val="left"/>
              <w:rPr/>
            </w:pPr>
            <w:r>
              <w:rPr/>
              <w:t> </w:t>
            </w:r>
          </w:p>
        </w:tc>
        <w:tc>
          <w:tcPr>
            <w:tcW w:w="28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46" w:type="dxa"/>
            <w:tcBorders/>
            <w:shd w:fill="CCEEFF" w:val="clear"/>
            <w:vAlign w:val="center"/>
          </w:tcPr>
          <w:p>
            <w:pPr>
              <w:pStyle w:val="TableContents"/>
              <w:bidi w:val="0"/>
              <w:spacing w:before="0" w:after="1"/>
              <w:ind w:left="0" w:right="0" w:hanging="0"/>
              <w:jc w:val="left"/>
              <w:rPr/>
            </w:pPr>
            <w:r>
              <w:rPr/>
              <w:t> </w:t>
            </w:r>
          </w:p>
        </w:tc>
        <w:tc>
          <w:tcPr>
            <w:tcW w:w="28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gross</w:t>
            </w:r>
          </w:p>
        </w:tc>
        <w:tc>
          <w:tcPr>
            <w:tcW w:w="346" w:type="dxa"/>
            <w:tcBorders/>
            <w:vAlign w:val="center"/>
          </w:tcPr>
          <w:p>
            <w:pPr>
              <w:pStyle w:val="TableContents"/>
              <w:bidi w:val="0"/>
              <w:spacing w:before="0" w:after="1"/>
              <w:ind w:left="0" w:right="0" w:hanging="0"/>
              <w:jc w:val="left"/>
              <w:rPr/>
            </w:pPr>
            <w:r>
              <w:rPr/>
              <w:t>​</w:t>
            </w:r>
          </w:p>
        </w:tc>
        <w:tc>
          <w:tcPr>
            <w:tcW w:w="28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8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28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16,847</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was $0.8 million and $0.9 million for the three months ended June 30, 2026 and 2025, respectively and $1.7 million for each of the six months ended June 30,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Accrued Expenses and Current Liabilities</w:t>
      </w:r>
    </w:p>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Other accrued expenses and current liabilities consisted of the following as of June 30, 2026 and December 31, 2025 (in thousands):</w:t>
      </w:r>
    </w:p>
    <w:p>
      <w:pPr>
        <w:pStyle w:val="TextBody"/>
        <w:bidi w:val="0"/>
        <w:spacing w:before="0" w:after="240"/>
        <w:ind w:left="0" w:right="0" w:hanging="0"/>
        <w:jc w:val="both"/>
        <w:rPr>
          <w:color w:val="231F20"/>
        </w:rPr>
      </w:pPr>
      <w:r>
        <w:rPr>
          <w:color w:val="231F20"/>
        </w:rPr>
        <w:t>​</w:t>
      </w:r>
    </w:p>
    <w:tbl>
      <w:tblPr>
        <w:tblW w:w="7025" w:type="dxa"/>
        <w:jc w:val="left"/>
        <w:tblInd w:w="0" w:type="dxa"/>
        <w:tblLayout w:type="fixed"/>
        <w:tblCellMar>
          <w:top w:w="0" w:type="dxa"/>
          <w:left w:w="0" w:type="dxa"/>
          <w:bottom w:w="0" w:type="dxa"/>
          <w:right w:w="0" w:type="dxa"/>
        </w:tblCellMar>
      </w:tblPr>
      <w:tblGrid>
        <w:gridCol w:w="4261"/>
        <w:gridCol w:w="346"/>
        <w:gridCol w:w="211"/>
        <w:gridCol w:w="676"/>
        <w:gridCol w:w="346"/>
        <w:gridCol w:w="252"/>
        <w:gridCol w:w="93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705735" cy="175260"/>
                      <wp:effectExtent l="0" t="0" r="0" b="0"/>
                      <wp:wrapNone/>
                      <wp:docPr id="145" name="Frame14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0020" cy="175260"/>
                      <wp:effectExtent l="0" t="0" r="0" b="0"/>
                      <wp:wrapNone/>
                      <wp:docPr id="150" name="Frame15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2455" cy="175260"/>
                      <wp:effectExtent l="0" t="0" r="0" b="0"/>
                      <wp:wrapNone/>
                      <wp:docPr id="151" name="Frame15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personnel and related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17,825</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services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6,570</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22,303</w:t>
            </w:r>
          </w:p>
        </w:tc>
      </w:tr>
    </w:tbl>
    <w:p>
      <w:pPr>
        <w:pStyle w:val="TextBody"/>
        <w:bidi w:val="0"/>
        <w:spacing w:before="0" w:after="240"/>
        <w:ind w:left="0" w:right="0" w:hanging="0"/>
        <w:jc w:val="both"/>
        <w:rPr>
          <w:color w:val="231F20"/>
        </w:rPr>
      </w:pPr>
      <w:r>
        <w:rPr>
          <w:color w:val="231F20"/>
        </w:rPr>
        <w:t>​</w:t>
      </w:r>
    </w:p>
    <w:tbl>
      <w:tblPr>
        <w:tblW w:w="1142" w:type="dxa"/>
        <w:jc w:val="left"/>
        <w:tblInd w:w="0" w:type="dxa"/>
        <w:tblLayout w:type="fixed"/>
        <w:tblCellMar>
          <w:top w:w="0" w:type="dxa"/>
          <w:left w:w="0" w:type="dxa"/>
          <w:bottom w:w="0" w:type="dxa"/>
          <w:right w:w="0" w:type="dxa"/>
        </w:tblCellMar>
      </w:tblPr>
      <w:tblGrid>
        <w:gridCol w:w="271"/>
        <w:gridCol w:w="871"/>
      </w:tblGrid>
      <w:tr>
        <w:trPr/>
        <w:tc>
          <w:tcPr>
            <w:tcW w:w="271" w:type="dxa"/>
            <w:tcBorders/>
            <w:vAlign w:val="center"/>
          </w:tcPr>
          <w:p>
            <w:pPr>
              <w:pStyle w:val="TableContents"/>
              <w:bidi w:val="0"/>
              <w:spacing w:before="240" w:after="240"/>
              <w:jc w:val="left"/>
              <w:rPr>
                <w:rFonts w:ascii="Times New Roman;Times;serif" w:hAnsi="Times New Roman;Times;serif"/>
                <w:b/>
                <w:sz w:val="20"/>
              </w:rPr>
            </w:pPr>
            <w:r>
              <w:rPr>
                <w:rFonts w:ascii="Times New Roman;Times;serif" w:hAnsi="Times New Roman;Times;serif"/>
                <w:b/>
                <w:sz w:val="20"/>
              </w:rPr>
              <w:t>8.</w:t>
            </w:r>
          </w:p>
        </w:tc>
        <w:tc>
          <w:tcPr>
            <w:tcW w:w="871" w:type="dxa"/>
            <w:tcBorders/>
            <w:vAlign w:val="center"/>
          </w:tcPr>
          <w:p>
            <w:pPr>
              <w:pStyle w:val="TableContents"/>
              <w:bidi w:val="0"/>
              <w:spacing w:before="240" w:after="240"/>
              <w:jc w:val="left"/>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Kaken Collaboration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2025 (the “Effective Date”), the Company entered into the Kaken Collaboration Agreement. Under the terms of the Kaken Collaboration Agreement, the Company granted to Kaken an exclusive right to develop, manufacture and commercialize envu for dermatology indications in Japan, with options to expand the license, subject to opt-in payments and certain cost-sharing obligations on the part of Kaken, to include rheumatological and gastrointestinal diseases.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Kaken Collaboration Agreement, the Company is responsible for the global development of envu in the dermatology field, and Kaken is responsible for the clinical development, regulatory approvals and commercialization of envu in Japan in dermatology and other indications for which Kaken has exercised its option. Kaken is required to use commercially reasonable efforts to conduct all subsequent development, manufacture, and commercialization activities. The Kaken Collaboration Agreement further provides that the Company will retain rights to envu in all other indications and geographies.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March 2025, Kaken made an upfront, non-refundable payment of $20.0 million to the Company. In addition, Kaken will pay the Company an aggregate of $20.0 million towards global development costs for envu in the dermatology field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end of 2026 and thereafter will pay a specified share of development costs applicable to the dermatology field, and for any field for which Kaken exercises its option, subject to Kaken's right to opt out of cost-sharing in certain indications in specified circumstances. In addition, Kaken would pay the Company up to an aggregate of $36.0 million upon the achievement of regulatory milestones and upon Kaken’s exercise of its field expansion options for the rheumatology and gastrointestinal fields. In addition, the Company is entitled to receive aggregate payments of up to ¥15.5 billion upon the achievement of commercial milestones, plus tiered royalties at percentages ranging from the low double digits into the twenties on aggregate net sales of envu in Japan.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Kaken Collaboration Agreement and concluded it was within the scope of ASC 606. As of the Effective Date, the Company identified four performance obligations: (1) license to develop, manufacture and commercialize envu (the “License Obligation”), (2) development services that support the global development of envu (the “Development Services Obligation”), (3) the manufacture of the clinical supply in Japan (the “Manufacturing Services Obligation”) and (4) a material right related to the option for rheumatology disease (the “Material Right Obligation”). The License Obligation was considered functional intellectual property and distinct from other promises under the contract, as Kaken can benefit from the license on its own or together with other readily available resources. The Development Services Obligation and Manufacturing Services Obligation were considered distinct as Kaken could benefit from both of these separately with the license transferred by the Company at the inception of the agreement. The option in the rheumatology field contained a material right because its exercise does not require payment of a fee that is commensurate with the value of the additional license. No material right was assigned to the gastrointestinal field since its estimated fair value did not exceed the exercise price of the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transaction price includes the upfront license fee of $20.0 million, the global development cost reimbursement of $20.0 million in the dermatology field through the end of 2026, the estimated global development cost reimbursement in the dermatology field after 2026 of $1.5 million and an immaterial amount of variable consideration related to the Manufacturing Services Obligation. The Company determined that any variable consideration related to development and regulatory milestones was deemed to be fully constrained at inception and therefore excluded from the initial transaction price due to the high degree of uncertainty and risk associated with these potential payments, and the Company could not assert that it was probable that a significant reversal in the amount of cumulative revenue recognized would not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developed the estimated standalone selling prices for the License Obligation and Material Right Obligation primarily based on the probability-weighted value of expected future revenues associated with each underlying license. In developing such estimates, the Company applied judgment in determining the forecasted revenue, taking into consideration the applicable market conditions, the probability of success, and the time needed to develop each indication for which the license relates. The Company developed the estimated standalone selling price for the development services and clinical supply primarily based on the resources to be committed to perform the service.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inception of the contract, the Company allocated $17.4 million to the License Obligation, $20.8 million to the Development Services Obligation, $3.3 million to the Material Right Obligation and an immaterial amount to the Manufacturing Services Obligation. The License Obligation was satisfied in March 2025 upon transfer of the license to Kaken. For the Development Services Obligation, the Company recognizes revenue over time as Kaken consumes the benefit of such services as they are being performed. The Company measures proportional performance over time for the Development Services Obligation by using an input method based on cost incurred relative to the total estimated cost of the obligation on a quarterly basis. The Company re-evaluates the transaction price as uncertain events are resolved or other changes in circumstances occur as of the end of each reporting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license revenue of zero for the three and six months ended June 30, 2026, and zero and $17.4 million for the three and six months ended June 30, 2025, respectively, related to the License Obligation. The Company recognized collaboration revenue of $1.7 million and $3.4 million for the three and six months ended June 30, 2026, respectively, and $2.7 million for the three and six months ended June 30, 2025, related to the Development Services Obligation and Manufacturing Services Obligation. As of June 30, 2026, collaboration revenue receivable was zero, deferred revenue, current was $6.7 million and deferred revenue, non-current was zero. As of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collaboration revenue receivable was less than $0.1 million, deferred revenue, current was $1.5 million and deferred revenue, non-current was $2.6 million. Revenue recognized during the period that was included in deferred revenue at the beginning of the period was $1.7 million and zero for the three months ended June 30, 2026 and 2025, respectively and was $3.4 million and zero for the six months ended June 30, 2026 and 2025, respectively. The aggregate estimated amount of transaction price that was unsatisfied as of June 30, 2026 was $14.2 million, of which, $10.9 million related to the Development Services Obligation that is expected to be recognized through 2028 as the Company performs its services towards the global development of envu in the dermatology field. The remaining $3.3 million estimated amount of transaction price that was unsatisfied as of June 30, 2026 related to the Material Right Obligation and is deferred until the option is exercised or expires.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Tenet Medicines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2024, ACELYRIN entered into an asset purchase agreement (“Purchase Agreement”) with Tenet Medicines, Inc. (“Tenet”). In consideration for the assets and other rights Tenet received under the Purchase Agreement, ACELYRIN is entitled to receive development, regulatory and commercial milestone payments of up to $157.5 million in the aggregate based on the achievement of specified milestones, royalties on worldwide net sales, and payments on sublicense income. On December 31, 2025, Climb Bio, Inc. (“Climb Bio”), the parent company of Tenet, filed a complaint in Delaware Superior Court seeking a declaratory judgment that budoprutug is not a “Product” under the Purchase Agreement, and therefore Climb Bio does not owe milestone or royalty payments to the Company under the Purchase Agreement. The Company disputes Climb Bio’s interpretation and, in January 2026, issued a notice of material breach to Climb Bio for failing to timely pay a $3.0 million development milestone. The Company intends to seek recovery of the $3.0 million development milestone, as well as any other future milestone or royalty payments, through litigation. The matter remains pending.</w:t>
      </w:r>
    </w:p>
    <w:tbl>
      <w:tblPr>
        <w:tblW w:w="2747" w:type="dxa"/>
        <w:jc w:val="left"/>
        <w:tblInd w:w="0" w:type="dxa"/>
        <w:tblLayout w:type="fixed"/>
        <w:tblCellMar>
          <w:top w:w="0" w:type="dxa"/>
          <w:left w:w="0" w:type="dxa"/>
          <w:bottom w:w="0" w:type="dxa"/>
          <w:right w:w="0" w:type="dxa"/>
        </w:tblCellMar>
      </w:tblPr>
      <w:tblGrid>
        <w:gridCol w:w="271"/>
        <w:gridCol w:w="247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4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Foresite Labs Services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 renew for an additional one-year term, unless terminated earlier by the parties. Foresite Labs provides services to assist the Company in exploring specified immunology genetic targets. The Company recognized $0.4 million and $0.3 million as research and development expenses under the services agreement for the three months ended June 30, 2026 and 2025, respectively. The Company recognized $0.5 million as research and development expenses under the services agreement for each of the six months ended June 30, 2026 and 2025. There were no accrued expenses under the services agreement as of June 30, 2026 and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Commitments and Contingent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2022, the Company entered into a lease agreement for 55,000 square feet of office and laboratory space in South San Francisco, California, which commenced in January 2023 and has a contractual termination date in August 2033. The lease agreement includes a renewal option allowing the Company to extend this lease for an additional three years at the prevailing rental rate, which the Company was not reasonably certain to exercise.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2024, the Company entered into a lease agreement for approximately 22,000 square feet of additional office space in South San Francisco, California. The lease has a contractual termination date of December 2026, with the right to extend the lease for an additional two years subject to certain conditions. The Company determined that, for accounting purposes, the commencement date of the lease is in January 2025 and the lease term ends in December 2026, as it was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bookmarkStart w:id="1131" w:name="Tc_Q0PXwlvka0mvcPF7rM6jBw_4_5"/>
      <w:bookmarkStart w:id="1132" w:name="Tc_IQmYc_s26ka5mI0dD_wOcw_4_3"/>
      <w:bookmarkStart w:id="1133" w:name="Tc_M3L4QUE9o0awRuDUvPuYXA_4_0"/>
      <w:bookmarkStart w:id="1134" w:name="Tc_kSgIcF9w1kKbGqSiflQzZg_3_0"/>
      <w:bookmarkStart w:id="1135" w:name="Tc_tC62yz9fEESamXzDAuX1lw_2_4"/>
      <w:bookmarkStart w:id="1136" w:name="Tc_yC10VlzWskK8Wnn05f1efw_2_2"/>
      <w:bookmarkStart w:id="1137" w:name="Tc_yi5SsZYMHECWtKTOXMSnBQ_1_4"/>
      <w:bookmarkStart w:id="1138" w:name="Tc_C-Lhe-tKdU2zuNo3N-_dag_1_2"/>
      <w:bookmarkStart w:id="1139" w:name="Tc_I-nP_98-Z0qjLwZ2TxZCmg_3_5"/>
      <w:bookmarkStart w:id="1140" w:name="Tc_MrPa3G-JfUa185a1Q5Td1A_3_2"/>
      <w:bookmarkStart w:id="1141" w:name="Tc_Yd_ojezp7kGVUt9lk5XOSg_3_0"/>
      <w:bookmarkStart w:id="1142" w:name="Tc_XPfTWgwKNU-8oupvr86cQQ_2_5"/>
      <w:bookmarkStart w:id="1143" w:name="Tc_LMfCnjjJwU2R37ctG7v2Kg_2_2"/>
      <w:bookmarkStart w:id="1144" w:name="Tc_b-B0X4qYSEu3EvTBpZF6dw_1_2"/>
      <w:bookmarkStart w:id="1145" w:name="_71d8ce78_4860_42e3_8d0f_feb432902bd5"/>
      <w:bookmarkStart w:id="1146" w:name="Tc_kXtnO0OG0kyuzQCUiEulJg_5_11"/>
      <w:bookmarkStart w:id="1147" w:name="Tc_84n92xIOw0GllMSUgSgS8Q_5_8"/>
      <w:bookmarkStart w:id="1148" w:name="Tc_VAijASOdNkKC0ci3aF8aAg_5_5"/>
      <w:bookmarkStart w:id="1149" w:name="Tc_Gb3RgZJHvEmWS3Q-4CzI-g_5_2"/>
      <w:bookmarkStart w:id="1150" w:name="Tc_BPd7JN01EE2LGqd0mc4gaA_5_0"/>
      <w:bookmarkStart w:id="1151" w:name="Tc_bdIj1SR8iE2Pu4DL7VMTnw_4_0"/>
      <w:bookmarkStart w:id="1152" w:name="Tc_iTukBpjm9U6lPUMZUODyJA_3_11"/>
      <w:bookmarkStart w:id="1153" w:name="Tc_pQx_d6bIF0ufsVTn0Grp6g_3_8"/>
      <w:bookmarkStart w:id="1154" w:name="Tc_3OokZnj_HUqH8b0Eo8HDyQ_3_5"/>
      <w:bookmarkStart w:id="1155" w:name="Tc_noNwKtvf6US8ZDCFVc4E7Q_3_2"/>
      <w:bookmarkStart w:id="1156" w:name="Tc_CKUDwPwFVEiD3-w-K-j-Jw_3_0"/>
      <w:bookmarkStart w:id="1157" w:name="Tc_J0QgF75WzEOaJLvDhZOwvQ_2_11"/>
      <w:bookmarkStart w:id="1158" w:name="Tc_ijEhOQR6-E--CR73jLFOAw_2_8"/>
      <w:bookmarkStart w:id="1159" w:name="Tc_E8b18_k5qUGiZBmWtU-x9g_2_5"/>
      <w:bookmarkStart w:id="1160" w:name="Tc_79M9liQ8j06_SpGlItiSNg_2_2"/>
      <w:bookmarkStart w:id="1161" w:name="Tc_gBMY0bZRr0-xQVCCtXgHFA_1_8"/>
      <w:bookmarkStart w:id="1162" w:name="Tc_gSFhSyHpXUGrqA4r6R-MPg_1_2"/>
      <w:bookmarkStart w:id="1163" w:name="_2227be59_a4ce_4db3_85ab_d479e761eecb"/>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Pr>
          <w:rFonts w:ascii="Times New Roman;Times;serif" w:hAnsi="Times New Roman;Times;serif"/>
          <w:sz w:val="20"/>
        </w:rPr>
        <w:t xml:space="preserve">reasonably certain that the lease would be extended. As of the commencement date, undiscounted future lease payments totaled $1.9 million and the lease liability was calculated to be $1.8 million, which is equal to the present value of the future lease payments, discounted at an incremental borrowing rate of 7.9%. In April 2026, the Company entered into an amended agreement to extend the lease for an additional two years ending in December 2028. As of the lease modification date, undiscounted future lease payments totaled $2.9 million, and the lease liability was calculated as $2.5 million, which is equal to the present value of future lease payments, discounted at an incremental borrowing rate of 9.3%. The amended agreement has an option to extend the lease for an additional two years subject to certain conditions.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ACELYRIN Merger, the Company became the successor to ACELYRIN’s rights under ACELYRIN’s lease and sublease agreements. In January 2023, ACELYRIN entered into a lease agreement to rent approximately 10,012 square feet of office space in Southern California. The term of the lease is 65 months with an option to extend it for an additional three years. Monthly rent payments are approximately $30 thousand, subject to an annual 3.0% increase. In addition to the base rent, the Company is obligated to pay variable costs related to its share of operating expenses and taxes. In December 2025, the Company entered into an agreement to sublease the entirety of its Southern California leased space through August 24, 2028, the remainder of the lease term. The sublease included the operating lease right-of-use asset and certain property, plant and equipment. Sublease income was immaterial for the three and six months ended June 30, 2026. In April 2026, the Company delivered a notice of termination to the sublessee, and the sublease was terminated in April 2026.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0"/>
        </w:rPr>
        <w:t>In July 2023, ACELYRIN entered into a lease agreement to rent approximately 22,365</w:t>
      </w:r>
      <w:r>
        <w:rPr>
          <w:rFonts w:ascii="Times New Roman;Times;serif" w:hAnsi="Times New Roman;Times;serif"/>
          <w:sz w:val="24"/>
        </w:rPr>
        <w:t> </w:t>
      </w:r>
      <w:r>
        <w:rPr>
          <w:rFonts w:ascii="Times New Roman;Times;serif" w:hAnsi="Times New Roman;Times;serif"/>
          <w:sz w:val="20"/>
        </w:rPr>
        <w:t>square feet of office space in South San Francisco, California. The term of the lease is 60</w:t>
      </w:r>
      <w:r>
        <w:rPr>
          <w:rFonts w:ascii="Times New Roman;Times;serif" w:hAnsi="Times New Roman;Times;serif"/>
          <w:sz w:val="24"/>
        </w:rPr>
        <w:t xml:space="preserve"> </w:t>
      </w:r>
      <w:r>
        <w:rPr>
          <w:rFonts w:ascii="Times New Roman;Times;serif" w:hAnsi="Times New Roman;Times;serif"/>
          <w:sz w:val="20"/>
        </w:rPr>
        <w:t>months with an option to extend it for an additional five years. Monthly base rent payments are approximately $0.2</w:t>
      </w:r>
      <w:r>
        <w:rPr>
          <w:rFonts w:ascii="Times New Roman;Times;serif" w:hAnsi="Times New Roman;Times;serif"/>
          <w:sz w:val="24"/>
        </w:rPr>
        <w:t xml:space="preserve"> </w:t>
      </w:r>
      <w:r>
        <w:rPr>
          <w:rFonts w:ascii="Times New Roman;Times;serif" w:hAnsi="Times New Roman;Times;serif"/>
          <w:sz w:val="20"/>
        </w:rPr>
        <w:t>million, subject to an annual 3.5%</w:t>
      </w:r>
      <w:r>
        <w:rPr>
          <w:rFonts w:ascii="Times New Roman;Times;serif" w:hAnsi="Times New Roman;Times;serif"/>
          <w:sz w:val="24"/>
        </w:rPr>
        <w:t xml:space="preserve"> </w:t>
      </w:r>
      <w:r>
        <w:rPr>
          <w:rFonts w:ascii="Times New Roman;Times;serif" w:hAnsi="Times New Roman;Times;serif"/>
          <w:sz w:val="20"/>
        </w:rPr>
        <w:t>increase. In addition to the base rent, the Company is obligated to pay variable costs related to its share of operating expenses and taxes. In February 2025, ACELYRIN entered into an agreement to sublease the entirety of its South San Francisco leased space through October 2029, the remainder of the lease term. The sublease included the operating lease right-of-use asset and certain property, plant and equipment. Sublease income was immaterial for the three and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components of lease costs were as follows (in thousands):</w:t>
      </w:r>
    </w:p>
    <w:tbl>
      <w:tblPr>
        <w:tblW w:w="6752" w:type="dxa"/>
        <w:jc w:val="left"/>
        <w:tblInd w:w="0" w:type="dxa"/>
        <w:tblLayout w:type="fixed"/>
        <w:tblCellMar>
          <w:top w:w="0" w:type="dxa"/>
          <w:left w:w="0" w:type="dxa"/>
          <w:bottom w:w="0" w:type="dxa"/>
          <w:right w:w="0" w:type="dxa"/>
        </w:tblCellMar>
      </w:tblPr>
      <w:tblGrid>
        <w:gridCol w:w="1831"/>
        <w:gridCol w:w="346"/>
        <w:gridCol w:w="255"/>
        <w:gridCol w:w="690"/>
        <w:gridCol w:w="418"/>
        <w:gridCol w:w="255"/>
        <w:gridCol w:w="690"/>
        <w:gridCol w:w="109"/>
        <w:gridCol w:w="256"/>
        <w:gridCol w:w="693"/>
        <w:gridCol w:w="132"/>
        <w:gridCol w:w="256"/>
        <w:gridCol w:w="82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62685" cy="175260"/>
                      <wp:effectExtent l="0" t="0" r="0" b="0"/>
                      <wp:wrapNone/>
                      <wp:docPr id="152" name="Frame152"/>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1925" cy="175260"/>
                      <wp:effectExtent l="0" t="0" r="0" b="0"/>
                      <wp:wrapNone/>
                      <wp:docPr id="154" name="Frame15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150" cy="175260"/>
                      <wp:effectExtent l="0" t="0" r="0" b="0"/>
                      <wp:wrapNone/>
                      <wp:docPr id="155" name="Frame15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5430" cy="175260"/>
                      <wp:effectExtent l="0" t="0" r="0" b="0"/>
                      <wp:wrapNone/>
                      <wp:docPr id="156" name="Frame156"/>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1925" cy="175260"/>
                      <wp:effectExtent l="0" t="0" r="0" b="0"/>
                      <wp:wrapNone/>
                      <wp:docPr id="157" name="Frame15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150" cy="175260"/>
                      <wp:effectExtent l="0" t="0" r="0" b="0"/>
                      <wp:wrapNone/>
                      <wp:docPr id="158" name="Frame15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2560" cy="175260"/>
                      <wp:effectExtent l="0" t="0" r="0" b="0"/>
                      <wp:wrapNone/>
                      <wp:docPr id="160" name="Frame1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40055" cy="175260"/>
                      <wp:effectExtent l="0" t="0" r="0" b="0"/>
                      <wp:wrapNone/>
                      <wp:docPr id="161" name="Frame161"/>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3820" cy="175260"/>
                      <wp:effectExtent l="0" t="0" r="0" b="0"/>
                      <wp:wrapNone/>
                      <wp:docPr id="162" name="Frame162"/>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2560" cy="175260"/>
                      <wp:effectExtent l="0" t="0" r="0" b="0"/>
                      <wp:wrapNone/>
                      <wp:docPr id="163" name="Frame16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1335" cy="175260"/>
                      <wp:effectExtent l="0" t="0" r="0" b="0"/>
                      <wp:wrapNone/>
                      <wp:docPr id="164" name="Frame164"/>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0"/>
              <w:ind w:left="0" w:right="0" w:hanging="0"/>
              <w:jc w:val="center"/>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418"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109"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132"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2,962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the operating leases was as follows (in thousands):</w:t>
      </w:r>
    </w:p>
    <w:tbl>
      <w:tblPr>
        <w:tblW w:w="8313" w:type="dxa"/>
        <w:jc w:val="left"/>
        <w:tblInd w:w="0" w:type="dxa"/>
        <w:tblLayout w:type="fixed"/>
        <w:tblCellMar>
          <w:top w:w="0" w:type="dxa"/>
          <w:left w:w="0" w:type="dxa"/>
          <w:bottom w:w="0" w:type="dxa"/>
          <w:right w:w="0" w:type="dxa"/>
        </w:tblCellMar>
      </w:tblPr>
      <w:tblGrid>
        <w:gridCol w:w="6046"/>
        <w:gridCol w:w="109"/>
        <w:gridCol w:w="256"/>
        <w:gridCol w:w="693"/>
        <w:gridCol w:w="132"/>
        <w:gridCol w:w="256"/>
        <w:gridCol w:w="821"/>
      </w:tblGrid>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839210" cy="175260"/>
                      <wp:effectExtent l="0" t="0" r="0" b="0"/>
                      <wp:wrapNone/>
                      <wp:docPr id="165" name="Frame165"/>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2560" cy="175260"/>
                      <wp:effectExtent l="0" t="0" r="0" b="0"/>
                      <wp:wrapNone/>
                      <wp:docPr id="167" name="Frame16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0055" cy="175260"/>
                      <wp:effectExtent l="0" t="0" r="0" b="0"/>
                      <wp:wrapNone/>
                      <wp:docPr id="168" name="Frame168"/>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3820" cy="175260"/>
                      <wp:effectExtent l="0" t="0" r="0" b="0"/>
                      <wp:wrapNone/>
                      <wp:docPr id="169" name="Frame169"/>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62560" cy="175260"/>
                      <wp:effectExtent l="0" t="0" r="0" b="0"/>
                      <wp:wrapNone/>
                      <wp:docPr id="170" name="Frame17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21335" cy="175260"/>
                      <wp:effectExtent l="0" t="0" r="0" b="0"/>
                      <wp:wrapNone/>
                      <wp:docPr id="171" name="Frame171"/>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0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2" w:type="dxa"/>
            <w:tcBorders/>
            <w:vAlign w:val="center"/>
          </w:tcPr>
          <w:p>
            <w:pPr>
              <w:pStyle w:val="TableContents"/>
              <w:bidi w:val="0"/>
              <w:spacing w:before="0" w:after="0"/>
              <w:ind w:left="0" w:right="0" w:hanging="0"/>
              <w:jc w:val="center"/>
              <w:rPr/>
            </w:pPr>
            <w:r>
              <w:rPr/>
              <w:t>​</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included in the measurement of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132"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3,118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Weighted-average remaining lease term and incremental borrowing rate for the operating leases were as follows:</w:t>
      </w:r>
    </w:p>
    <w:p>
      <w:pPr>
        <w:pStyle w:val="TextBody"/>
        <w:bidi w:val="0"/>
        <w:spacing w:before="0" w:after="0"/>
        <w:ind w:left="0" w:right="0" w:hanging="0"/>
        <w:jc w:val="left"/>
        <w:rPr/>
      </w:pPr>
      <w:r>
        <w:rPr/>
        <w:t>​</w:t>
      </w:r>
    </w:p>
    <w:tbl>
      <w:tblPr>
        <w:tblW w:w="6831" w:type="dxa"/>
        <w:jc w:val="left"/>
        <w:tblInd w:w="0" w:type="dxa"/>
        <w:tblLayout w:type="fixed"/>
        <w:tblCellMar>
          <w:top w:w="0" w:type="dxa"/>
          <w:left w:w="0" w:type="dxa"/>
          <w:bottom w:w="0" w:type="dxa"/>
          <w:right w:w="0" w:type="dxa"/>
        </w:tblCellMar>
      </w:tblPr>
      <w:tblGrid>
        <w:gridCol w:w="3916"/>
        <w:gridCol w:w="346"/>
        <w:gridCol w:w="766"/>
        <w:gridCol w:w="346"/>
        <w:gridCol w:w="1141"/>
        <w:gridCol w:w="31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86660" cy="175260"/>
                      <wp:effectExtent l="0" t="0" r="0" b="0"/>
                      <wp:wrapNone/>
                      <wp:docPr id="172" name="Frame17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86410" cy="175260"/>
                      <wp:effectExtent l="0" t="0" r="0" b="0"/>
                      <wp:wrapNone/>
                      <wp:docPr id="174" name="Frame17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4535" cy="175260"/>
                      <wp:effectExtent l="0" t="0" r="0" b="0"/>
                      <wp:wrapNone/>
                      <wp:docPr id="176" name="Frame17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0660" cy="175260"/>
                      <wp:effectExtent l="0" t="0" r="0" b="0"/>
                      <wp:wrapNone/>
                      <wp:docPr id="177" name="Frame1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incremental borrowing rate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bookmarkStart w:id="1164" w:name="Tc_Vw6B0cr-4kWV200TDuH4Mg_9_2"/>
      <w:bookmarkStart w:id="1165" w:name="Tc_bqAU14UPZ0Gn3DTQlCRDdg_9_0"/>
      <w:bookmarkStart w:id="1166" w:name="Tc_zr8Ha77Km0qc5lDNG33Utw_8_0"/>
      <w:bookmarkStart w:id="1167" w:name="Tc_QrY-0TnWpkyxB1zGgmoQhg_7_0"/>
      <w:bookmarkStart w:id="1168" w:name="Tc_EoWxWGHClUK52jk73dfrUw_6_0"/>
      <w:bookmarkStart w:id="1169" w:name="Tc_sWDGfB44qU-dxHrw7K1T_A_5_0"/>
      <w:bookmarkStart w:id="1170" w:name="Tc_c657GQRDgEGPz7LBGlbAzA_4_0"/>
      <w:bookmarkStart w:id="1171" w:name="Tc___Co47KY3kGoNQ4_zxzTOg_3_0"/>
      <w:bookmarkStart w:id="1172" w:name="Tc_Z0R74qad_EqgIOrigitTjg_2_0"/>
      <w:bookmarkStart w:id="1173" w:name="Tc_-YkJ5Q1ttEGxH5gwJDiswg_1_2"/>
      <w:bookmarkStart w:id="1174" w:name="Tc_Xa6OinoV7EOXZkn51ccySQ_1_0"/>
      <w:bookmarkStart w:id="1175" w:name="_f9089926_1ddc_457e_afa4_fbfdd6970b2d"/>
      <w:bookmarkEnd w:id="1164"/>
      <w:bookmarkEnd w:id="1165"/>
      <w:bookmarkEnd w:id="1166"/>
      <w:bookmarkEnd w:id="1167"/>
      <w:bookmarkEnd w:id="1168"/>
      <w:bookmarkEnd w:id="1169"/>
      <w:bookmarkEnd w:id="1170"/>
      <w:bookmarkEnd w:id="1171"/>
      <w:bookmarkEnd w:id="1172"/>
      <w:bookmarkEnd w:id="1173"/>
      <w:bookmarkEnd w:id="1174"/>
      <w:bookmarkEnd w:id="1175"/>
      <w:r>
        <w:rPr>
          <w:rFonts w:ascii="Times New Roman;Times;serif" w:hAnsi="Times New Roman;Times;serif"/>
          <w:sz w:val="20"/>
        </w:rPr>
        <w:t>Future minimum lease payments under non-cancelable leases as of June 30, 2026, were as detailed below (in thousands):</w:t>
      </w:r>
    </w:p>
    <w:tbl>
      <w:tblPr>
        <w:tblW w:w="4147" w:type="dxa"/>
        <w:jc w:val="left"/>
        <w:tblInd w:w="0" w:type="dxa"/>
        <w:tblLayout w:type="fixed"/>
        <w:tblCellMar>
          <w:top w:w="0" w:type="dxa"/>
          <w:left w:w="0" w:type="dxa"/>
          <w:bottom w:w="0" w:type="dxa"/>
          <w:right w:w="0" w:type="dxa"/>
        </w:tblCellMar>
      </w:tblPr>
      <w:tblGrid>
        <w:gridCol w:w="2986"/>
        <w:gridCol w:w="109"/>
        <w:gridCol w:w="211"/>
        <w:gridCol w:w="84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96110" cy="175260"/>
                      <wp:effectExtent l="0" t="0" r="0" b="0"/>
                      <wp:wrapNone/>
                      <wp:docPr id="178" name="Frame17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34035" cy="175260"/>
                      <wp:effectExtent l="0" t="0" r="0" b="0"/>
                      <wp:wrapNone/>
                      <wp:docPr id="181" name="Frame18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(remainder of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4,255</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7,205</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5,848</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16,009</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(14,354)</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36,427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FronThera Contingent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2021, the Company entered into a stock purchase agreement to acquire FronThera U.S. Holdings, Inc. and its wholly owned subsidiary, FronThera U.S. Pharmaceuticals LLC. (the “FronThera Acquisition”), and the transaction was accounted for as an asset acquisition. Under the stock purchase agreement, the Company is obligated to pay contingent consideration of up to an aggregate of $120.0 million based on the achievement of specified clinical and approval milestones, including receipt of first commercialization approval in the United States or certain other jurisdictions, of up to an aggregate of $70.0 million payable for clinical milestones, and of up to an aggregate of $50.0 million payable for approval milestones, all related to technology acquired under the agreement. In the year ended December 31, 2022, the Company incurred and made a $37.0 million milestone payment for the first administration of envu to a patient enrolled in a Phase 2 clinical trial of envu. In July 2024, the Company met a milestone in connection with the first administration of envu to a patient enrolled in a Phase 3 clinical trial of envu and made a $23.0 million milestone payment in August 2024. No additional milestones were achieved or were probable of being achieved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and Commercialization Agreement with Pierre Fabre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ACELYRIN Merger, the Company became the successor to ACELYRIN’s rights and obligations under the March 25, 2021 license and commercialization agreement with Pierre Fabre Medicament SAS (“Pierre Fabre”), as amended (the “Pierre Fabre Agreement”), through which ACELYRIN received certain exclusive worldwide licenses with the right to sublicense certain patents, know-how and other intellectual property to develop, manufacture, use and commercialize lonigutamab for non-oncology therapeutic indications. The license from Pierre Fabre extends to any product containing lonigutamab (excluding any fragments or derivatives) as its sole active ingredient (each, a “PF Licensed Product”). The Pierre Fabre Agreement prohibits the Company from using the licensed intellectual property in any antibody drug conjugate, multi-specific antibodies or any other derivatives of lonigutamab.</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obligated to (i) make payments of up to $100.5 million upon the achievement of various development and regulatory milestones, (ii) make milestone payments of up to $390.0 million upon the achievement of certain commercial milestones, and (iii) pay tiered royalties in the high single-digit to low-teen percentages to Pierre Fabre on worldwide net sales in a given calendar year. Royalties will be payable for each PF Licensed Product in a given country during a period commencing upon the first commercial sale of such PF Licensed Product in such country and continuing until the latest of (a) 10 years after such first commercial sale, (b) expiration of last-to-expire valid claim in a licensed patent in such country and (c) expiration of regulatory exclusivity for such PF Licensed Product in such country. In the event the Company enters into a sublicense with a third party, the Company must also share with Pierre Fabre a percentage of any revenues from option fees, upfront payments, license maintenance fees, milestone payments or the like generated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the sublicense. Such percentage may be between the high single-digits to the low thirties based on which stage of development of a PF Licensed Product the sublicense relates 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earlier terminated, the Pierre Fabre Agreement will continue on a PF Licensed Product-by-PF Licensed Product and country-by-country basis until there are no more royalty payments owed to Pierre Fabre on any PF Licensed Product thereunder. Either party may terminate the Pierre Fabre Agreement upon an uncured material breach, or upon the bankruptcy or insolvency of the other party. Pierre Fabre may also terminate the agreement if the Company or any of its affiliates institutes a patent challenge against the licensed patents from Pierre Fabre. The Company may also terminate the Pierre Fabre Agreement with or without cause upon nine months’ prior written notice, so long as there is no ongoing clinical trial for any PF Licensed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milestones were achieved or were probable of being achieved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enters into various agreements in the ordinary course of business, such as those with suppliers, clinical research organizations </w:t>
      </w:r>
      <w:r>
        <w:rPr>
          <w:rFonts w:ascii="Times New Roman;Times;serif" w:hAnsi="Times New Roman;Times;serif"/>
          <w:color w:val="231F20"/>
          <w:sz w:val="20"/>
        </w:rPr>
        <w:t>(“CROs”)</w:t>
      </w:r>
      <w:r>
        <w:rPr>
          <w:rFonts w:ascii="Times New Roman;Times;serif" w:hAnsi="Times New Roman;Times;serif"/>
          <w:sz w:val="20"/>
        </w:rPr>
        <w:t>, contract manufacturing organizations (“CMOs”) and clinical trial sites. Upon the closing of the ACELYRIN Merger, the Company became the successor to contracts with non-cancellable commitments under ACELYRIN contracts. The total value of non-cancellable purchase commitments under contracts was $0.6 million as of June 30, 2026. This presentation of non-cancellable purchase commitments does not include any estimates of potential reduction of such liabilities related to mitigation obligations of the counterparties in the event of cancellation under the terms of its engagements.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has and may become involved in legal proceedings arising in the ordinary course of business, any or all of which could have a material adverse impact on the Company, including its financial position. The outcomes of legal proceedings are not within the Company’s complete control and may not be known for prolonged periods of time. The Company records a liability for such matters when it is probable that future losses will be incurred and that such losses can be reasonably estimated. Significant judgment by the Company is required to determine both probability and the estimated amount. Legal costs related to these matters, including attorney fees, are expensed as incurred and are recorded as general and administrative expenses in the consolidated statements of operations and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15, 2023, a purported federal securities class action lawsuit was commenced in the United States District Court for the Central District of California (the “Court”). On February 15, 2024, the Court appointed joint lead plaintiffs and lead counsel. An amended complaint was filed on March 26, 2024 (Boukadoum v. Acelyrin, Inc. et al., No. 2:23-cv-09672-FMO-MAA), naming ACELYRIN and then-current and former executive officers and directors as defendants. The complaint alleges that the defendants violated the Exchange Act and Securities Act by misleading investors about the Phase 2b trial of izokibep in hidradenitis suppurativa. The original complaint was filed following ACELYRIN’s announcement of the week 16 results from the Part B portion of such Phase 2b trial. The amended complaint seeks damages and an award of reasonable costs and expenses, including attorneys’ fees, expert fees and other costs,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It is possible that additional suits will be filed, or allegations made by stockholders, with respect to these same or other matters and also naming the Company and/or its officers and directors as defendants. This lawsuit and any other potential lawsuits are subject to inherent uncertainties, and the actual defense and disposition costs will depend upon many unknown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factors. The outcome of this lawsuit is necessarily uncertain. The Company could be forced to expend significant resources in the defense against this and any other related lawsuits and the Company may not prevail. The Company currently is not able to estimate the possible loss to the Company from this lawsuit, as this lawsuit is currently at an early stage, and such amounts could be material to the Company’s financial statements even if the Company prevails in the defense against this lawsuit. The Company cannot be certain how long it may take to resolve this lawsuit or the possible amount of any damages that the Company may be required to pay. As of June 30, 2026, the Company did not consider any payment to be probable or reasonably estimable and had not accrued for any potential liability relating to this lawsuit.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Guarantees and Indemnifications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in such capacity. To date, the Company has not paid any claims or been required to defend any action related to its indemnification obligations. As of June 30, 2026 and December 31, 2025, the Company did not have any material indemnification claims that were probable or reasonably possible and consequently has not recorded related liabilities.</w:t>
      </w:r>
    </w:p>
    <w:p>
      <w:pPr>
        <w:pStyle w:val="Normal"/>
        <w:bidi w:val="0"/>
        <w:spacing w:before="0" w:after="0"/>
        <w:jc w:val="left"/>
        <w:rPr>
          <w:sz w:val="4"/>
          <w:szCs w:val="4"/>
        </w:rPr>
      </w:pPr>
      <w:r>
        <w:rPr>
          <w:sz w:val="4"/>
          <w:szCs w:val="4"/>
        </w:rPr>
      </w:r>
      <w:bookmarkStart w:id="1176" w:name="Tc_WINkU8CCcEqnbYTWrl4rYQ_9_0"/>
      <w:bookmarkStart w:id="1177" w:name="Tc_Edb5QA6IUUGZ6FmfUEd3zw_8_0"/>
      <w:bookmarkStart w:id="1178" w:name="Tc_PcseczRXrEq9rFoxkTVyig_7_0"/>
      <w:bookmarkStart w:id="1179" w:name="Tc_0gaOPrunKkab4UKRLUmJFg_6_0"/>
      <w:bookmarkStart w:id="1180" w:name="Tc_yb3BXPc-c0O3b4n64kyq1w_5_0"/>
      <w:bookmarkStart w:id="1181" w:name="Tc_W-UrFYSBWUmx15FvoJKFQg_4_0"/>
      <w:bookmarkStart w:id="1182" w:name="Tc_FWTsVM8S_E6DL83oKm4y4g_3_0"/>
      <w:bookmarkStart w:id="1183" w:name="Tc_0nstYesx6kSRM0qJaxn0XA_2_4"/>
      <w:bookmarkStart w:id="1184" w:name="Tc_Dd1oFYfYYEmmtjJutr6ehA_2_2"/>
      <w:bookmarkStart w:id="1185" w:name="Tc_G-nGS1KYOkeRBf2pVAeDuQ_1_4"/>
      <w:bookmarkStart w:id="1186" w:name="Tc_D0Iu4A8yN0KNQHg9lyxDYQ_1_2"/>
      <w:bookmarkStart w:id="1187" w:name="Tc_WINkU8CCcEqnbYTWrl4rYQ_9_0"/>
      <w:bookmarkStart w:id="1188" w:name="Tc_Edb5QA6IUUGZ6FmfUEd3zw_8_0"/>
      <w:bookmarkStart w:id="1189" w:name="Tc_PcseczRXrEq9rFoxkTVyig_7_0"/>
      <w:bookmarkStart w:id="1190" w:name="Tc_0gaOPrunKkab4UKRLUmJFg_6_0"/>
      <w:bookmarkStart w:id="1191" w:name="Tc_yb3BXPc-c0O3b4n64kyq1w_5_0"/>
      <w:bookmarkStart w:id="1192" w:name="Tc_W-UrFYSBWUmx15FvoJKFQg_4_0"/>
      <w:bookmarkStart w:id="1193" w:name="Tc_FWTsVM8S_E6DL83oKm4y4g_3_0"/>
      <w:bookmarkStart w:id="1194" w:name="Tc_0nstYesx6kSRM0qJaxn0XA_2_4"/>
      <w:bookmarkStart w:id="1195" w:name="Tc_Dd1oFYfYYEmmtjJutr6ehA_2_2"/>
      <w:bookmarkStart w:id="1196" w:name="Tc_G-nGS1KYOkeRBf2pVAeDuQ_1_4"/>
      <w:bookmarkStart w:id="1197" w:name="Tc_D0Iu4A8yN0KNQHg9lyxDYQ_1_2"/>
      <w:bookmarkEnd w:id="1187"/>
      <w:bookmarkEnd w:id="1188"/>
      <w:bookmarkEnd w:id="1189"/>
      <w:bookmarkEnd w:id="1190"/>
      <w:bookmarkEnd w:id="1191"/>
      <w:bookmarkEnd w:id="1192"/>
      <w:bookmarkEnd w:id="1193"/>
      <w:bookmarkEnd w:id="1194"/>
      <w:bookmarkEnd w:id="1195"/>
      <w:bookmarkEnd w:id="1196"/>
      <w:bookmarkEnd w:id="1197"/>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Company was authorized to issue up to 50,000,000 shares of preferred stock, 492,815,092 shares of voting common stock and 7,184,908 shares of non-voting common stock, all with </w:t>
      </w:r>
      <w:r>
        <w:rPr>
          <w:rFonts w:ascii="Times New Roman;Times;serif" w:hAnsi="Times New Roman;Times;serif"/>
          <w:b w:val="false"/>
          <w:i w:val="false"/>
          <w:caps w:val="false"/>
          <w:smallCaps w:val="false"/>
          <w:sz w:val="20"/>
        </w:rPr>
        <w:t>par</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values</w:t>
      </w:r>
      <w:r>
        <w:rPr>
          <w:rFonts w:ascii="Times New Roman;Times;serif" w:hAnsi="Times New Roman;Times;serif"/>
          <w:sz w:val="20"/>
        </w:rPr>
        <w:t xml:space="preserve"> of $0.0001 per share. As of June 30, 2026, there were no shares of preferred stock issued or outstanding, 124,445,537 shares of voting common stock issued and outstanding and 4,059,908 shares of non-voting common stock issued and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voting and non-voting common stock have the same rights except that non-voting common stock does not have voting rights, except as may be required by law. Each holder of non-voting common stock has a right to convert each share of non-voting common stock to one share of voting common stock subject to the following limitations. At any time following the Company’s registration of any class of equity securities under the Exchange Act, the holders of shares of non-voting common stock may not convert a number of shares of non-voting common stock into shares of voting common stock in excess of that number of shares of non-voting common stock which would cause the holder thereof to beneficially own (for purposes of Section 13(d) of the Exchange Act), in excess of 4.99% of the total number of issued and outstanding shares of voting common stock. Such maximum percentage may be increased or decreased to such other percentage as any holder of outstanding shares of non-voting common stock may designate in writing (in the case of an increase upon 61 days’ prior written notice).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 reserved for issuance consisted of the following as of June 30, 2026 and December 31, 2025:</w:t>
      </w:r>
    </w:p>
    <w:p>
      <w:pPr>
        <w:pStyle w:val="TextBody"/>
        <w:bidi w:val="0"/>
        <w:spacing w:before="0" w:after="0"/>
        <w:ind w:left="0" w:right="0" w:hanging="0"/>
        <w:jc w:val="left"/>
        <w:rPr/>
      </w:pPr>
      <w:r>
        <w:rPr/>
        <w:t>​</w:t>
      </w:r>
    </w:p>
    <w:tbl>
      <w:tblPr>
        <w:tblW w:w="9590" w:type="dxa"/>
        <w:jc w:val="left"/>
        <w:tblInd w:w="0" w:type="dxa"/>
        <w:tblLayout w:type="fixed"/>
        <w:tblCellMar>
          <w:top w:w="0" w:type="dxa"/>
          <w:left w:w="0" w:type="dxa"/>
          <w:bottom w:w="0" w:type="dxa"/>
          <w:right w:w="0" w:type="dxa"/>
        </w:tblCellMar>
      </w:tblPr>
      <w:tblGrid>
        <w:gridCol w:w="6676"/>
        <w:gridCol w:w="346"/>
        <w:gridCol w:w="1036"/>
        <w:gridCol w:w="346"/>
        <w:gridCol w:w="1186"/>
      </w:tblGrid>
      <w:tr>
        <w:trPr/>
        <w:tc>
          <w:tcPr>
            <w:tcW w:w="6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39260" cy="175260"/>
                      <wp:effectExtent l="0" t="0" r="0" b="0"/>
                      <wp:wrapNone/>
                      <wp:docPr id="182" name="Frame182"/>
                      <a:graphic xmlns:a="http://schemas.openxmlformats.org/drawingml/2006/main">
                        <a:graphicData uri="http://schemas.microsoft.com/office/word/2010/wordprocessingShape">
                          <wps:wsp>
                            <wps:cNvSpPr txBox="1"/>
                            <wps:spPr>
                              <a:xfrm>
                                <a:off x="0" y="0"/>
                                <a:ext cx="423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57860" cy="175260"/>
                      <wp:effectExtent l="0" t="0" r="0" b="0"/>
                      <wp:wrapNone/>
                      <wp:docPr id="184" name="Frame1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53110" cy="175260"/>
                      <wp:effectExtent l="0" t="0" r="0" b="0"/>
                      <wp:wrapNone/>
                      <wp:docPr id="186" name="Frame1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21,486,374</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20,353,098</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issued and outstanding</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3,263,275</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2,527,377</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2024 Equity Incentive Plan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927,409</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597,112</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2024 Employee Stock Purchase Plan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1,599,251</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805,334</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ACELYRIN, Inc. 2023 Equity Incentive Plan</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6,372,372</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6,585,521</w:t>
            </w:r>
          </w:p>
        </w:tc>
      </w:tr>
      <w:tr>
        <w:trPr/>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2024 Performance Option Plan</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201,202</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200,208</w:t>
            </w:r>
          </w:p>
        </w:tc>
      </w:tr>
      <w:tr>
        <w:trPr/>
        <w:tc>
          <w:tcPr>
            <w:tcW w:w="6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33,849,883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31,068,650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Issued to Executives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2021, the Company issued 100,532 shares of restricted common stock to two executives at a purchase price of $0.94 per share. The shares vested over a four-year period with a one-year cliff vesting. While the shares were unvested, the holders had voting and dividends rights and the Company had the right to repurchase unvested shares of common stock at the price paid by the holder in the event of termination of the holder’s continuous status as a service provider. The Company estimated the fair value of the restricted stock awards based on the fair value of common stock at the grant dates. The expense was recognized ratably over the vesting terms. The restricted common stock fully vested as of March 31, 2025. The Company recognized less than $0.1 million of stock-based compensation expense for the three and six months ended June 30, 2025.</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Stock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2021, the Company adopted the 2021 Stock Plan (the “2021 Plan”), which provided for stock awards to eligible employees, directors and consultants of the Company. Awards issuable under the 2021 Plan included incentive stock options (“ISOs”), non-statutory stock options (“NSOs”), RSUs and stock grants. Subsequent to the adoption of the 2024 Equity Incentive Plan (the “2024 EIP”) in June 2024, described below, no additional shares were available for issuance under the 2021 Plan, and any stock options granted under the 2021 Plan that were subsequently forfeited would be made available for issuance under the 2024 EIP.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terms of the 2021 Plan permit option holders to exercise stock options before their stock options are vested. The shares of common stock granted upon early exercise that have not yet vested are subject to repurchase by the Company in the event of termination of the holder’s continuous status as a service provider, at the price paid by the holder.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2024 Performance Option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2024, the Company’s board of directors adopted, and its stockholders approved, the 2024 Performance Option Plan (the “2024 POP”). The Company reserved 1,880,680 shares of common stock issuable under the 2024 POP. The 2024 POP permits grants of ISOs, NSOs and restricted stock awards to the Company’s employees, directors and consultants.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2024, the Company granted NSOs to employees to purchase 1,880,680 shares of common stock at an exercise price of $10.19 under the 2024 POP. Stock options generally vest on the date when the Company meets certain common stock public market price specified targets after the end of the IPO lock-up period, subject to continuous service through each respective vest date. The price targets are calculated based on the volume weighted average price per share over 30 consecutive trading dates, in accordance with the grant terms. The unvested awards will expire if it is determined that the vesting conditions have not been met during the applicable six-year performance period. The service condition includes monthly vesting over 36 months from the vesting commencement date and the employee’s continuous service with the Company through each such monthly vesting date. The terms of the 2024 POP permit option holders to exercise stock options before their stock options are vested, if the market condition has been met.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June 2024, the Company’s board of directors adopted, and its stockholders approved, the 2024 EIP, which became effective on June 27, 2024, upon execution of the underwriting agreement related to the Company’s IPO. The Company reserved 7,800,000 new shares of common stock for issuance under the 2024 EIP. In addition, up to 6,829,339 shares subject to awards under the 2021 Plan that terminate, expire, or lapse for any reason without the delivery of shares, or are reacquired or withheld (or not issued) to satisfy a tax withholding obligation or the purchase or exercise price, were authorized to be added to the 2024 EIP. The 2024 EIP also provides that the number of shares initially reserved and available for issuance will automatically increase each January 1, beginning on January 1, 2025 through January 1, 2034,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by an amount equal to 5% of the outstanding number of shares of the Company’s common stock as of the last day of the immediately preceding fiscal year, or such lesser number of shares as determined by the board of directors prior to the applicable January 1. Pursuant to this evergreen provision, the Company increased the number of shares reserved under the 2024 EIP by 5,235,338 on January 1, 2026. No more than 43,888,017 shares of common stock may be issued under the 2024 EIP.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2024 EIP allows the Company to grant equity awards to its officers, employees, directors and consultants. The 2024 EIP provides for the grant of ISOs, NSOs, restricted stock awards, RSUs, stock appreciation rights, performance awards and other stock-based awards. Stock options under the 2024 EIP may be granted for periods of up to 10 years at exercise prices no less than the fair market value of common stock on the date of grant; provided, however, that the exercise price of an ISO granted to a 10% stockholder may not be less than 110% of the fair market value of the shares on the date of grant and such option may not be exercisable after the expiration of five years from the date of grant. Stock options and RSUs granted under the 2024 EIP generally vest over four years. The grant date fair market value of all awards made under the 2024 EIP and all cash compensation paid by the Company to any non-employee director for services as a director in any fiscal year may not exceed $750,000, increased to $1,000,000 in the fiscal year of their initial service as a non-employee director. The terms of the 2024 EIP do not permit option holders to exercise stock options before their stock options are vested.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ACELYRIN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Merger Agreement, the Company assumed certain stock options, RSUs and performance RSUs outstanding under the ACELYRIN, Inc. 2020 Stock Option and Grant Plan, as amended (the “ACELYRIN 2020 Plan”), the ValenzaBio, Inc. Stock Plan (the “ValenzaBio Plan”) and the ACELYRIN, Inc. 2023 Equity Incentive Plan (the “ACELYRIN 2023 Plan” and, together with the ACELYRIN 2020 Plan and the ValenzaBio Plan, the “ACELYRIN Plans”). In connection with the closing of the ACELYRIN Merger, the Company also assumed the ACELYRIN 2023 Plan, which, as modified in connection with such assumption, permits equity awards to be issued to the extent permissible under applicable law and Nasdaq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options that were outstanding under the ACELYRIN Plans immediately prior to the Closing Date were assumed by the Company and converted into stock options to purchase the Company’s common stock. RSUs that were outstanding and unvested immediately prior to the Closing Date were assumed by the Company and converted into the Company’s RSU awards. Performance RSUs outstanding and unvested immediately prior to the Closing Date were converted into the Company’s RSU awards subject only to a service vesting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i/>
          <w:sz w:val="20"/>
        </w:rPr>
      </w:pPr>
      <w:bookmarkStart w:id="1198" w:name="Tc_UI9zjYEtukmnTRzv3UQ-MA_6_0"/>
      <w:bookmarkStart w:id="1199" w:name="Tc_km-MXWT96UGY8oegZapJuA_5_4"/>
      <w:bookmarkStart w:id="1200" w:name="Tc_CAxEOZ3H2UKYiBujVKobeQ_5_2"/>
      <w:bookmarkStart w:id="1201" w:name="Tc_idvyhZTMp0OTajVvRF8HgA_5_0"/>
      <w:bookmarkStart w:id="1202" w:name="Tc_iO3g4_V9-UOLy236zUU8BQ_4_4"/>
      <w:bookmarkStart w:id="1203" w:name="Tc_CmYCUgQyjUyaUomRYy4toA_4_2"/>
      <w:bookmarkStart w:id="1204" w:name="Tc_DN-U8cAV1kOzF28DBqlkpA_4_0"/>
      <w:bookmarkStart w:id="1205" w:name="Tc_3GyoVF2Ukkulq9_wTASEbQ_3_4"/>
      <w:bookmarkStart w:id="1206" w:name="Tc_ljTpUa7HzEGksdk-qFl04g_3_2"/>
      <w:bookmarkStart w:id="1207" w:name="Tc_UKd9IRN-XEu0Cfq4LxUYrg_3_0"/>
      <w:bookmarkStart w:id="1208" w:name="Tc_D_20eVsIREWI5EUx6Ov78Q_2_4"/>
      <w:bookmarkStart w:id="1209" w:name="Tc_rJzdR4xla063X2okdTjHEA_2_2"/>
      <w:bookmarkStart w:id="1210" w:name="Tc_ACrhDxE0SE6Y7CfvwstfyQ_1_2"/>
      <w:bookmarkStart w:id="1211" w:name="Tc_vBLFiwsVjkmb1Gh_aSn3Xg_11_11"/>
      <w:bookmarkStart w:id="1212" w:name="Tc_Dsd023jc30-dLUyyKElpTw_11_10"/>
      <w:bookmarkStart w:id="1213" w:name="Tc_NePOs591Ok2reLmveW7ZyQ_11_8"/>
      <w:bookmarkStart w:id="1214" w:name="Tc_JexDvgsst0aFOecsnaptkw_11_5"/>
      <w:bookmarkStart w:id="1215" w:name="Tc_z7POMe6Aa06lCM3v6osMoQ_11_4"/>
      <w:bookmarkStart w:id="1216" w:name="Tc__b86l97qCUKHPaP_7BjbLA_11_2"/>
      <w:bookmarkStart w:id="1217" w:name="Tc_4YaXbgRLz0WqWeDgWlwFdQ_11_0"/>
      <w:bookmarkStart w:id="1218" w:name="Tc_3TpsxXniXkqzUuqHz282vQ_10_11"/>
      <w:bookmarkStart w:id="1219" w:name="Tc_-UK6oGEQGkW1Mme9QO8r1g_10_10"/>
      <w:bookmarkStart w:id="1220" w:name="Tc_jjI-8VFRO0KCsqm50Fyw8Q_10_4"/>
      <w:bookmarkStart w:id="1221" w:name="Tc_Ez6BTe1pWEib0jkptC7FFA_10_0"/>
      <w:bookmarkStart w:id="1222" w:name="Tc_fk753dUhkkSL_q0vQkvz-Q_9_4"/>
      <w:bookmarkStart w:id="1223" w:name="Tc_P1y9p9sVTEyl7fMw-5ty8w_9_0"/>
      <w:bookmarkStart w:id="1224" w:name="Tc_tfcIa936yEi8zHkMGHIxXQ_8_5"/>
      <w:bookmarkStart w:id="1225" w:name="Tc_bfJM9tf3VUyNvhD3tBl4Ug_8_4"/>
      <w:bookmarkStart w:id="1226" w:name="Tc_PLKYzRQciU6J-BdhoHtqlQ_8_2"/>
      <w:bookmarkStart w:id="1227" w:name="Tc_PKfjHkzTm0yY1ro8MzZQvQ_8_0"/>
      <w:bookmarkStart w:id="1228" w:name="Tc_diU2xDoqhUeOm6bOhBU4yw_7_11"/>
      <w:bookmarkStart w:id="1229" w:name="Tc_Zdc43XP_KkqwZaogFgF54A_7_10"/>
      <w:bookmarkStart w:id="1230" w:name="Tc_w3UhILKdIU2BoRxr-MmG9A_7_4"/>
      <w:bookmarkStart w:id="1231" w:name="Tc_D39H3tkECEmjGsaCVmDfvw_7_0"/>
      <w:bookmarkStart w:id="1232" w:name="Tc_Rf98fu9upEOyq7LNgYtAsA_6_10"/>
      <w:bookmarkStart w:id="1233" w:name="Tc_hnepWaQ_UkupDDb5I2tzaQ_6_7"/>
      <w:bookmarkStart w:id="1234" w:name="Tc_UPEKi2Zz4UqcMXRlx2NwBQ_6_4"/>
      <w:bookmarkStart w:id="1235" w:name="Tc_Kl_ou8kI-E6GlnL8NzFEvg_6_2"/>
      <w:bookmarkStart w:id="1236" w:name="Tc_CSPKZCaEgUelMa-Yyza1HQ_5_10"/>
      <w:bookmarkStart w:id="1237" w:name="Tc_QUfdiQGtQU2D9Nf9vS9xrA_5_7"/>
      <w:bookmarkStart w:id="1238" w:name="Tc_sBUxbTJ3nkijxpwJFJfF1A_5_4"/>
      <w:bookmarkStart w:id="1239" w:name="Tc_iqvdq9r7eUCX5Jl_pJ8HTg_5_2"/>
      <w:bookmarkStart w:id="1240" w:name="Tc_AvPilDYsCUeDuuPf_xeFSw_4_10"/>
      <w:bookmarkStart w:id="1241" w:name="Tc_KPDy8NWgekuU8xUC69nEww_4_7"/>
      <w:bookmarkStart w:id="1242" w:name="Tc__jm6om5CC0SVAGiL59llzQ_4_4"/>
      <w:bookmarkStart w:id="1243" w:name="Tc_0Z-fGrYVPkCIXsfSWYm_Yw_3_10"/>
      <w:bookmarkStart w:id="1244" w:name="Tc_bGZcYOJ0T06CuXndO4kYHA_3_7"/>
      <w:bookmarkStart w:id="1245" w:name="Tc_54D3RDycSUuBkronBphJCQ_3_4"/>
      <w:bookmarkStart w:id="1246" w:name="Tc_obgjhaD7fUisUnHdgQcFYA_2_7"/>
      <w:bookmarkStart w:id="1247" w:name="Tc_gMOFavVmxUOpJAJpok8VJA_2_4"/>
      <w:bookmarkStart w:id="1248" w:name="Tc_xGsdvvE83Em6Zi5iiibXMA_1_7"/>
      <w:bookmarkStart w:id="1249" w:name="Tc_rSWsed4lbEOzGkTnu5Z0Ag_12_9"/>
      <w:bookmarkStart w:id="1250" w:name="Tc_Aq_ekOwBukyzjV5NqU3_mg_12_4"/>
      <w:bookmarkStart w:id="1251" w:name="Tc_miVDzIdUqkamVR2GgvQKFQ_12_0"/>
      <w:bookmarkStart w:id="1252" w:name="Tc_VAt9iKvr906Fadfn7Okilw_11_9"/>
      <w:bookmarkStart w:id="1253" w:name="Tc_It3rNIuz4kSZSEzMtAl_Bw_11_4"/>
      <w:bookmarkStart w:id="1254" w:name="Tc__qaLKgwbt0OxENe-0uasOw_11_0"/>
      <w:bookmarkStart w:id="1255" w:name="Tc_HhRb3_WqYkiyprVEFRWeVQ_10_4"/>
      <w:bookmarkStart w:id="1256" w:name="Tc_ziKPHBoqqU63lUknNtYAig_10_0"/>
      <w:bookmarkStart w:id="1257" w:name="Tc_k9WBzH673UOAgJcTWZWevA_9_9"/>
      <w:bookmarkStart w:id="1258" w:name="Tc_FgiJxPKaO0SoAwxo2dnXqg_9_4"/>
      <w:bookmarkStart w:id="1259" w:name="Tc_p9oLWDewqUm58YqmR9XtnA_9_0"/>
      <w:bookmarkStart w:id="1260" w:name="Tc_Whzo_ZOtf0mSs00V644uVQ_8_4"/>
      <w:bookmarkStart w:id="1261" w:name="Tc_cabGHPJGl0-K4ZLws9EvPw_8_0"/>
      <w:bookmarkStart w:id="1262" w:name="Tc_dfwddco5LE2ymkwZENAEsw_7_9"/>
      <w:bookmarkStart w:id="1263" w:name="Tc_4DnQIRIdCUSM4OiNfBqQNQ_7_4"/>
      <w:bookmarkStart w:id="1264" w:name="Tc_GT1LCRlsAk-pSKvLs65tBw_7_0"/>
      <w:bookmarkStart w:id="1265" w:name="Tc_4l2NPZD8dUilqB5Ym3pixg_6_9"/>
      <w:bookmarkStart w:id="1266" w:name="Tc_cGm4OoDUNEi7xAWJ7ae5Xw_6_7"/>
      <w:bookmarkStart w:id="1267" w:name="Tc_Y47a7fFEzUqRR42kbeviBg_6_4"/>
      <w:bookmarkStart w:id="1268" w:name="Tc_tUVj27lMyUqj7wfvkUA6wg_6_2"/>
      <w:bookmarkStart w:id="1269" w:name="Tc_gOfTFbBtjEiF5zC9hDGgWg_5_9"/>
      <w:bookmarkStart w:id="1270" w:name="Tc_hCcl94tWrUi3FTyOfvCckQ_5_7"/>
      <w:bookmarkStart w:id="1271" w:name="Tc_3XO3WNv3t0iMQH-lBzfczA_5_4"/>
      <w:bookmarkStart w:id="1272" w:name="Tc_a1Y1SX4cMUew7v_F8lia_w_5_2"/>
      <w:bookmarkStart w:id="1273" w:name="Tc_78kxdpXmNEy4qtYE-EsW9g_4_9"/>
      <w:bookmarkStart w:id="1274" w:name="Tc_dvgbR_vkz0iEJp_LXotjRg_4_7"/>
      <w:bookmarkStart w:id="1275" w:name="Tc_gRG9p2rNDk29w-M62QCMYg_4_4"/>
      <w:bookmarkStart w:id="1276" w:name="Tc_wUaksbtRn06_o18MR2WhTg_3_9"/>
      <w:bookmarkStart w:id="1277" w:name="Tc_pwtbAyFvB0u1y7v7YiXLlQ_3_7"/>
      <w:bookmarkStart w:id="1278" w:name="Tc_qeyBqnnheUGvmkyW7XjwBA_3_4"/>
      <w:bookmarkStart w:id="1279" w:name="Tc_KDLsnzuXS0K7C3YP3e8hpQ_2_7"/>
      <w:bookmarkStart w:id="1280" w:name="Tc_l23jYJyK60iUh9lsXHxc3w_2_4"/>
      <w:bookmarkStart w:id="1281" w:name="Tc_Ib37uhbFl0WMRM7Q9LYQMQ_1_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i/>
          <w:sz w:val="20"/>
        </w:rPr>
        <w:t>Stock Option Activity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excluding under the 2024 POP, for the six months ended June 30, 2026 and includes early exercised shares as part of stock options exercised: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79"/>
        <w:gridCol w:w="346"/>
        <w:gridCol w:w="1049"/>
        <w:gridCol w:w="346"/>
        <w:gridCol w:w="228"/>
        <w:gridCol w:w="621"/>
        <w:gridCol w:w="346"/>
        <w:gridCol w:w="991"/>
        <w:gridCol w:w="346"/>
        <w:gridCol w:w="260"/>
        <w:gridCol w:w="893"/>
      </w:tblGrid>
      <w:tr>
        <w:trPr/>
        <w:tc>
          <w:tcPr>
            <w:tcW w:w="4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034665" cy="175260"/>
                      <wp:effectExtent l="0" t="0" r="0" b="0"/>
                      <wp:wrapNone/>
                      <wp:docPr id="187" name="Frame187"/>
                      <a:graphic xmlns:a="http://schemas.openxmlformats.org/drawingml/2006/main">
                        <a:graphicData uri="http://schemas.microsoft.com/office/word/2010/wordprocessingShape">
                          <wps:wsp>
                            <wps:cNvSpPr txBox="1"/>
                            <wps:spPr>
                              <a:xfrm>
                                <a:off x="0" y="0"/>
                                <a:ext cx="303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6115" cy="175260"/>
                      <wp:effectExtent l="0" t="0" r="0" b="0"/>
                      <wp:wrapNone/>
                      <wp:docPr id="189" name="Frame189"/>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4780" cy="175260"/>
                      <wp:effectExtent l="0" t="0" r="0" b="0"/>
                      <wp:wrapNone/>
                      <wp:docPr id="191" name="Frame19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94335" cy="175260"/>
                      <wp:effectExtent l="0" t="0" r="0" b="0"/>
                      <wp:wrapNone/>
                      <wp:docPr id="192" name="Frame19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29285" cy="175260"/>
                      <wp:effectExtent l="0" t="0" r="0" b="0"/>
                      <wp:wrapNone/>
                      <wp:docPr id="194" name="Frame19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5100" cy="175260"/>
                      <wp:effectExtent l="0" t="0" r="0" b="0"/>
                      <wp:wrapNone/>
                      <wp:docPr id="196" name="Frame19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67055" cy="175260"/>
                      <wp:effectExtent l="0" t="0" r="0" b="0"/>
                      <wp:wrapNone/>
                      <wp:docPr id="197" name="Frame19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6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center"/>
              <w:rPr/>
            </w:pPr>
            <w:r>
              <w:rPr/>
              <w:t>​</w: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center"/>
              <w:rPr/>
            </w:pPr>
            <w:r>
              <w:rPr/>
              <w:t>​</w: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Exercise </w:t>
            </w:r>
          </w:p>
        </w:tc>
        <w:tc>
          <w:tcPr>
            <w:tcW w:w="346" w:type="dxa"/>
            <w:tcBorders/>
            <w:vAlign w:val="center"/>
          </w:tcPr>
          <w:p>
            <w:pPr>
              <w:pStyle w:val="TableContents"/>
              <w:bidi w:val="0"/>
              <w:spacing w:before="0" w:after="1"/>
              <w:ind w:left="0" w:right="0" w:hanging="0"/>
              <w:jc w:val="left"/>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  ​ ​ ​</w:t>
            </w:r>
          </w:p>
        </w:tc>
        <w:tc>
          <w:tcPr>
            <w:tcW w:w="11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w:t>
            </w:r>
          </w:p>
        </w:tc>
        <w:tc>
          <w:tcPr>
            <w:tcW w:w="8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left"/>
              <w:rPr/>
            </w:pPr>
            <w:r>
              <w:rPr/>
              <w:t>​</w:t>
            </w:r>
          </w:p>
        </w:tc>
        <w:tc>
          <w:tcPr>
            <w:tcW w:w="11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8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7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18,672,626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44,015</w:t>
            </w:r>
          </w:p>
        </w:tc>
      </w:tr>
      <w:tr>
        <w:trPr/>
        <w:tc>
          <w:tcPr>
            <w:tcW w:w="47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4,710,493</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r>
      <w:tr>
        <w:trPr/>
        <w:tc>
          <w:tcPr>
            <w:tcW w:w="47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(3,179,357)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1,819</w:t>
            </w:r>
          </w:p>
        </w:tc>
      </w:tr>
      <w:tr>
        <w:trPr/>
        <w:tc>
          <w:tcPr>
            <w:tcW w:w="47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46" w:type="dxa"/>
            <w:tcBorders/>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(396,866)</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r>
      <w:tr>
        <w:trPr/>
        <w:tc>
          <w:tcPr>
            <w:tcW w:w="47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vested and expected to vest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19,806,896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11,468</w:t>
            </w:r>
          </w:p>
        </w:tc>
      </w:tr>
      <w:tr>
        <w:trPr/>
        <w:tc>
          <w:tcPr>
            <w:tcW w:w="47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vAlign w:val="center"/>
          </w:tcPr>
          <w:p>
            <w:pPr>
              <w:pStyle w:val="TableContents"/>
              <w:bidi w:val="0"/>
              <w:spacing w:before="0" w:after="1"/>
              <w:ind w:left="0" w:right="0" w:hanging="0"/>
              <w:jc w:val="left"/>
              <w:rPr/>
            </w:pPr>
            <w:r>
              <w:rPr/>
              <w:t>​</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9,104,174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2,966</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Total exercisable shares of 9,104,174 as of June 30, 2026 included 1,422,383 unvested shares that were early exercisable under the 2021 Plan. The total fair value of stock options vested during the six months ended June 30, 2026 and 2025 was $13.1 million and $15.6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under the 2024 POP for the six months ended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80"/>
        <w:gridCol w:w="346"/>
        <w:gridCol w:w="931"/>
        <w:gridCol w:w="346"/>
        <w:gridCol w:w="229"/>
        <w:gridCol w:w="622"/>
        <w:gridCol w:w="346"/>
        <w:gridCol w:w="284"/>
        <w:gridCol w:w="707"/>
        <w:gridCol w:w="346"/>
        <w:gridCol w:w="365"/>
        <w:gridCol w:w="803"/>
      </w:tblGrid>
      <w:tr>
        <w:trPr/>
        <w:tc>
          <w:tcPr>
            <w:tcW w:w="4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098800" cy="175260"/>
                      <wp:effectExtent l="0" t="0" r="0" b="0"/>
                      <wp:wrapNone/>
                      <wp:docPr id="198" name="Frame198"/>
                      <a:graphic xmlns:a="http://schemas.openxmlformats.org/drawingml/2006/main">
                        <a:graphicData uri="http://schemas.microsoft.com/office/word/2010/wordprocessingShape">
                          <wps:wsp>
                            <wps:cNvSpPr txBox="1"/>
                            <wps:spPr>
                              <a:xfrm>
                                <a:off x="0" y="0"/>
                                <a:ext cx="309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91185" cy="175260"/>
                      <wp:effectExtent l="0" t="0" r="0" b="0"/>
                      <wp:wrapNone/>
                      <wp:docPr id="200" name="Frame2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5415" cy="175260"/>
                      <wp:effectExtent l="0" t="0" r="0" b="0"/>
                      <wp:wrapNone/>
                      <wp:docPr id="202" name="Frame20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94970" cy="175260"/>
                      <wp:effectExtent l="0" t="0" r="0" b="0"/>
                      <wp:wrapNone/>
                      <wp:docPr id="203" name="Frame203"/>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0340" cy="175260"/>
                      <wp:effectExtent l="0" t="0" r="0" b="0"/>
                      <wp:wrapNone/>
                      <wp:docPr id="205" name="Frame20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48945" cy="175260"/>
                      <wp:effectExtent l="0" t="0" r="0" b="0"/>
                      <wp:wrapNone/>
                      <wp:docPr id="206" name="Frame206"/>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1775" cy="175260"/>
                      <wp:effectExtent l="0" t="0" r="0" b="0"/>
                      <wp:wrapNone/>
                      <wp:docPr id="208" name="Frame20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9905" cy="175260"/>
                      <wp:effectExtent l="0" t="0" r="0" b="0"/>
                      <wp:wrapNone/>
                      <wp:docPr id="209" name="Frame209"/>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9" w:type="dxa"/>
            <w:tcBorders/>
            <w:vAlign w:val="center"/>
          </w:tcPr>
          <w:p>
            <w:pPr>
              <w:pStyle w:val="TableContents"/>
              <w:bidi w:val="0"/>
              <w:spacing w:before="0" w:after="0"/>
              <w:ind w:left="0" w:right="0" w:hanging="0"/>
              <w:jc w:val="center"/>
              <w:rPr/>
            </w:pPr>
            <w:r>
              <w:rPr/>
              <w:t>​</w:t>
            </w:r>
          </w:p>
        </w:tc>
        <w:tc>
          <w:tcPr>
            <w:tcW w:w="6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365"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left"/>
              <w:rPr/>
            </w:pPr>
            <w:r>
              <w:rPr/>
              <w:t>​</w:t>
            </w:r>
          </w:p>
        </w:tc>
        <w:tc>
          <w:tcPr>
            <w:tcW w:w="11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1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Stock </w:t>
            </w:r>
          </w:p>
        </w:tc>
        <w:tc>
          <w:tcPr>
            <w:tcW w:w="34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0"/>
              <w:ind w:left="0" w:right="0" w:hanging="0"/>
              <w:jc w:val="left"/>
              <w:rPr/>
            </w:pPr>
            <w:r>
              <w:rPr/>
              <w:t>​</w:t>
            </w:r>
          </w:p>
        </w:tc>
        <w:tc>
          <w:tcPr>
            <w:tcW w:w="116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8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left"/>
              <w:rPr/>
            </w:pPr>
            <w:r>
              <w:rPr/>
              <w:t>​</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1,680,472</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0" w:hanging="0"/>
              <w:jc w:val="right"/>
              <w:rPr/>
            </w:pPr>
            <w:r>
              <w:rPr/>
              <w:t>—</w:t>
            </w:r>
          </w:p>
        </w:tc>
      </w:tr>
      <w:tr>
        <w:trPr/>
        <w:tc>
          <w:tcPr>
            <w:tcW w:w="4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r>
      <w:tr>
        <w:trPr/>
        <w:tc>
          <w:tcPr>
            <w:tcW w:w="4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vested and expected to vest as of June 30, 2026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1,679,478</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vAlign w:val="center"/>
          </w:tcPr>
          <w:p>
            <w:pPr>
              <w:pStyle w:val="TableContents"/>
              <w:bidi w:val="0"/>
              <w:spacing w:before="0" w:after="0"/>
              <w:ind w:left="0" w:right="0" w:hanging="0"/>
              <w:jc w:val="right"/>
              <w:rPr/>
            </w:pPr>
            <w:r>
              <w:rPr/>
              <w:t>—</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Valuation of Stock Options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weighted-average grant date fair value of stock options granted for the six months ended June 30, 2026 and 2025 was $20.60 and $4.02 per stock option,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stock options granted for the six months ended June 30, 2026 and 2025 was estimated using the Black-Scholes option pricing model with the following assumptions:</w:t>
      </w:r>
    </w:p>
    <w:p>
      <w:pPr>
        <w:pStyle w:val="TextBody"/>
        <w:bidi w:val="0"/>
        <w:spacing w:before="0" w:after="0"/>
        <w:ind w:left="0" w:right="0" w:hanging="0"/>
        <w:jc w:val="left"/>
        <w:rPr/>
      </w:pPr>
      <w:r>
        <w:rPr/>
        <w:t>​</w:t>
      </w:r>
    </w:p>
    <w:tbl>
      <w:tblPr>
        <w:tblW w:w="5960" w:type="dxa"/>
        <w:jc w:val="left"/>
        <w:tblInd w:w="0" w:type="dxa"/>
        <w:tblLayout w:type="fixed"/>
        <w:tblCellMar>
          <w:top w:w="0" w:type="dxa"/>
          <w:left w:w="0" w:type="dxa"/>
          <w:bottom w:w="0" w:type="dxa"/>
          <w:right w:w="0" w:type="dxa"/>
        </w:tblCellMar>
      </w:tblPr>
      <w:tblGrid>
        <w:gridCol w:w="2086"/>
        <w:gridCol w:w="346"/>
        <w:gridCol w:w="1516"/>
        <w:gridCol w:w="346"/>
        <w:gridCol w:w="166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24610" cy="175260"/>
                      <wp:effectExtent l="0" t="0" r="0" b="0"/>
                      <wp:wrapNone/>
                      <wp:docPr id="210" name="Frame21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62660" cy="175260"/>
                      <wp:effectExtent l="0" t="0" r="0" b="0"/>
                      <wp:wrapNone/>
                      <wp:docPr id="212" name="Frame21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057910" cy="175260"/>
                      <wp:effectExtent l="0" t="0" r="0" b="0"/>
                      <wp:wrapNone/>
                      <wp:docPr id="214" name="Frame21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5.27</w:t>
            </w:r>
            <w:r>
              <w:rPr>
                <w:rFonts w:ascii="Times New Roman;Times;serif" w:hAnsi="Times New Roman;Times;serif"/>
                <w:sz w:val="24"/>
              </w:rPr>
              <w:t xml:space="preserve"> </w:t>
            </w:r>
            <w:r>
              <w:rPr>
                <w:rFonts w:ascii="Times New Roman;Times;serif" w:hAnsi="Times New Roman;Times;serif"/>
                <w:sz w:val="20"/>
              </w:rPr>
              <w:t>- 6.06</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0"/>
              </w:rPr>
              <w:t>5.23</w:t>
            </w:r>
            <w:r>
              <w:rPr>
                <w:rFonts w:ascii="Times New Roman;Times;serif" w:hAnsi="Times New Roman;Times;serif"/>
                <w:sz w:val="24"/>
              </w:rPr>
              <w:t xml:space="preserve"> </w:t>
            </w:r>
            <w:r>
              <w:rPr>
                <w:rFonts w:ascii="Times New Roman;Times;serif" w:hAnsi="Times New Roman;Times;serif"/>
                <w:sz w:val="20"/>
              </w:rPr>
              <w:t>- 6.08</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78.55% - 96.71%</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 - 102.72%</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 - 4.28%</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 - 4.65%</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Expected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231F20"/>
          <w:sz w:val="20"/>
        </w:rPr>
        <w:t>The expected term represents the weighted-average period the stock options are expected to remain</w:t>
      </w:r>
      <w:r>
        <w:rPr>
          <w:rFonts w:ascii="Times New Roman;Times;serif" w:hAnsi="Times New Roman;Times;serif"/>
          <w:sz w:val="20"/>
        </w:rPr>
        <w:t xml:space="preserve"> outstanding and is based on the stock options’ vesting terms and contractual terms, as the Company did not have sufficient historical information to develop reasonable expectations about future exercise patterns and post-vesting employment termination behavior.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Expected Volatility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expected stock price volatility assumption was determined by examining the historical volatilities for industry peers, as the Company did not have sufficient trading history of its common stock. The Company will continue to use industry peers in determining historical stock price volatility until sufficient historical data of its common stock becomes available.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Risk-Free Interest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risk-free interest rate assumption is based on the U.S. Treasury instruments whose term was consistent with the expected term of the Company’s stock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Valuation of Stock Options Granted under the 2024 POP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options granted under the 2024 POP vest based on service, market and performance conditions (the occurrence of the IPO or a change of control) and are classified as equity financial instruments. At the grant date, the fair value of stock options granted under the 2024 POP was estimated using a Monte Carlo simulation model, which uses a distribution of potential outcomes on a monthly basis over the vesting period prioritizing the most reliable information available. The assumptions utilized in the calculation were based on the achievement of certain stock price thresholds, including the Company’s expected common stock price, expected volatility, risk-free rate and expected term. The Company used the following assumptions to estimate the fair value at the grant date in May 2024: common stock fair value of $12.06, vesting term of 6.0 years, volatility of 122.00%, and risk-free rate of 4.38%. The estimates of fair value are uncertain and changes in any of the estimated inputs could have resulted in significant adjustments to the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estimated fair value of stock options issued under the 2024 POP of $18.0 million is recognized using graded vesting from July 1, 2024, the closing of the IPO, when the performance condition was met, over the longer of (i) the explicit service period of the service condition of 36 months or (ii) the derived service period between 1.4 years to 2.1 years, as determined for each graded vesting tranche.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Early Exercise of Employee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Proceeds from the early exercise of stock options are recorded as share repurchase liability, and as shares vest are recognized to additional paid-in capital in the consolidated balance sheets. As of June 30, 2026 and December 31, 2025, share repurchase liability related to unvested shares was $0.1 million and $0.1 million, respectively, and was classified as share repurchase liability in the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bookmarkStart w:id="1282" w:name="Tc_mbxxcKArV0WRuMdo6Dlk3Q_6_0"/>
      <w:bookmarkStart w:id="1283" w:name="Tc_hG1phjRPB0CV0oreyRLOtg_5_2"/>
      <w:bookmarkStart w:id="1284" w:name="Tc_DKXHxqvhD0avjtQOfHGxGw_5_0"/>
      <w:bookmarkStart w:id="1285" w:name="Tc_rCjK_iikcE-Scbt9XKfN5A_4_2"/>
      <w:bookmarkStart w:id="1286" w:name="Tc_aRfsmrB2kEyyUQp8Xc6AKg_4_0"/>
      <w:bookmarkStart w:id="1287" w:name="Tc_A7667_y72EuSauXfbRUxuw_3_2"/>
      <w:bookmarkStart w:id="1288" w:name="Tc_6jO1GVaECkuguROMsv7xiQ_3_0"/>
      <w:bookmarkStart w:id="1289" w:name="Tc_q_XTHxG_DEiiehvPCb1Nrw_2_2"/>
      <w:bookmarkStart w:id="1290" w:name="Tc_osIhYrtge0u20SG90jsIIA_1_2"/>
      <w:bookmarkStart w:id="1291" w:name="Tc_enbCzAOCNkuXZJnjWSw_KA_7_4"/>
      <w:bookmarkStart w:id="1292" w:name="Tc_n4C0pf5uPU-JXvd0MJPGgQ_7_0"/>
      <w:bookmarkStart w:id="1293" w:name="Tc__ODi_UJZFUiSlywM7o4uQg_6_4"/>
      <w:bookmarkStart w:id="1294" w:name="Tc__cxK9jIwpkCEnP5irNb_Yg_6_0"/>
      <w:bookmarkStart w:id="1295" w:name="Tc_4EQaQD7aF0aMIr4O2m0ksw_5_4"/>
      <w:bookmarkStart w:id="1296" w:name="Tc_DYq2YQMMl0ud9WjAfnaxbw_5_0"/>
      <w:bookmarkStart w:id="1297" w:name="Tc_ef4L6XyYIUyzQhAYxnlxzw_4_4"/>
      <w:bookmarkStart w:id="1298" w:name="Tc_44z3AgKh7ES7QcHDCuB6Zg_4_2"/>
      <w:bookmarkStart w:id="1299" w:name="Tc_xQ25Ot-ShUeuP5oVQKnIOg_3_4"/>
      <w:bookmarkStart w:id="1300" w:name="Tc_rMYzATShP0-aPgsju2vA6w_3_2"/>
      <w:bookmarkStart w:id="1301" w:name="Tc_yP7GGSa0FkOdUb6Vi1nzxw_2_4"/>
      <w:bookmarkStart w:id="1302" w:name="Tc_dJSp1N2qjEOVMPQPb8j_PA_1_4"/>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r>
        <w:rPr>
          <w:rFonts w:ascii="Times New Roman;Times;serif" w:hAnsi="Times New Roman;Times;serif"/>
          <w:sz w:val="20"/>
        </w:rPr>
        <w:t>The following table summarizes the Company’s early exercised shares activity for the six months ended June 30, 2026:</w:t>
      </w:r>
    </w:p>
    <w:p>
      <w:pPr>
        <w:pStyle w:val="TextBody"/>
        <w:bidi w:val="0"/>
        <w:spacing w:before="0" w:after="0"/>
        <w:ind w:left="0" w:right="0" w:hanging="0"/>
        <w:jc w:val="left"/>
        <w:rPr/>
      </w:pPr>
      <w:r>
        <w:rPr/>
        <w:t>​</w:t>
      </w:r>
    </w:p>
    <w:tbl>
      <w:tblPr>
        <w:tblW w:w="5674" w:type="dxa"/>
        <w:jc w:val="left"/>
        <w:tblInd w:w="0" w:type="dxa"/>
        <w:tblLayout w:type="fixed"/>
        <w:tblCellMar>
          <w:top w:w="0" w:type="dxa"/>
          <w:left w:w="0" w:type="dxa"/>
          <w:bottom w:w="0" w:type="dxa"/>
          <w:right w:w="0" w:type="dxa"/>
        </w:tblCellMar>
      </w:tblPr>
      <w:tblGrid>
        <w:gridCol w:w="2926"/>
        <w:gridCol w:w="346"/>
        <w:gridCol w:w="886"/>
        <w:gridCol w:w="346"/>
        <w:gridCol w:w="314"/>
        <w:gridCol w:w="85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58010" cy="175260"/>
                      <wp:effectExtent l="0" t="0" r="0" b="0"/>
                      <wp:wrapNone/>
                      <wp:docPr id="215" name="Frame215"/>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62610" cy="175260"/>
                      <wp:effectExtent l="0" t="0" r="0" b="0"/>
                      <wp:wrapNone/>
                      <wp:docPr id="217" name="Frame21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9390" cy="175260"/>
                      <wp:effectExtent l="0" t="0" r="0" b="0"/>
                      <wp:wrapNone/>
                      <wp:docPr id="219" name="Frame21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43560" cy="175260"/>
                      <wp:effectExtent l="0" t="0" r="0" b="0"/>
                      <wp:wrapNone/>
                      <wp:docPr id="220" name="Frame22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13,681</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(5,690)</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7,991</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2024 Employee Stock Purchase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2024, the Company’s board of directors adopted, and its stockholders approved, the 2024 Employee Stock Purchase Plan (the “2024 ESPP”), which became effective on June 28, 2024, upon execution of the underwriting agreement related to the Company’s IPO. The Company initially reserved 650,000 shares of common stock for issuance under the 2024 ESPP. The number of shares of common stock reserved for issuance under the 2024 ESPP will be automatically increased each year for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calendar years beginning on January 1, 2025 through January 1, 2034, by the lesser of (i) 1% of the total number of shares of the Company’s common stock outstanding on the last day of the calendar month before the date of the automatic increase, and (ii) 1,950,000 shares; provided that before the date of any such increase, the board of directors may determine that such increase will be less than the amount in (i) and (ii) above. Pursuant to this evergreen provision, the Company increased the number of shares reserved under the 2024 ESPP by 1,047,067 on January 1, 2026. The 2024 ESPP allows an eligible employee to purchase shares of common stock at an amount equal to 85% of the lower of the fair market value of the Company’s common stock at the beginning of the offering period or at each applicable purchase date during an offering period as established by the board of directors. The first purchase period commenced on January 24, 2025 and ended on May 20, 2025. During the six months ended June 30, 2026 and 2025, 253,150 and 184,633 shares of common stock were purchased under the 2024 ESPP,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summarizes the Black-Scholes option pricing model used in estimating the fair value of the stock purchase rights under the 2024 ESPP for the six months ended June 30, 2026: </w:t>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2086"/>
        <w:gridCol w:w="346"/>
        <w:gridCol w:w="166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24610" cy="175260"/>
                      <wp:effectExtent l="0" t="0" r="0" b="0"/>
                      <wp:wrapNone/>
                      <wp:docPr id="221" name="Frame22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057910" cy="175260"/>
                      <wp:effectExtent l="0" t="0" r="0" b="0"/>
                      <wp:wrapNone/>
                      <wp:docPr id="223" name="Frame223"/>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4"/>
              </w:rPr>
            </w:pPr>
            <w:r>
              <w:rPr>
                <w:rFonts w:ascii="Times New Roman;Times;serif" w:hAnsi="Times New Roman;Times;serif"/>
                <w:sz w:val="20"/>
              </w:rPr>
              <w:t>0.49</w:t>
            </w:r>
            <w:r>
              <w:rPr>
                <w:rFonts w:ascii="Times New Roman;Times;serif" w:hAnsi="Times New Roman;Times;serif"/>
                <w:sz w:val="24"/>
              </w:rPr>
              <w:t xml:space="preserve"> </w:t>
            </w:r>
            <w:r>
              <w:rPr>
                <w:rFonts w:ascii="Times New Roman;Times;serif" w:hAnsi="Times New Roman;Times;serif"/>
                <w:sz w:val="20"/>
              </w:rPr>
              <w:t>- 0.50</w:t>
            </w:r>
            <w:r>
              <w:rPr>
                <w:rFonts w:ascii="Times New Roman;Times;serif" w:hAnsi="Times New Roman;Times;serif"/>
                <w:sz w:val="24"/>
              </w:rPr>
              <w:t xml:space="preserve"> </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 - 126.68%</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 - 3.78%</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i/>
          <w:sz w:val="20"/>
        </w:rPr>
      </w:pPr>
      <w:bookmarkStart w:id="1303" w:name="Tc_ITCjZlhPOUKTg8Vl6mqPQg_7_11"/>
      <w:bookmarkStart w:id="1304" w:name="Tc_9OqweLn9_E2HyS9dG0hKMw_7_8"/>
      <w:bookmarkStart w:id="1305" w:name="Tc_Y_u8R6qKx0SnetdFPNy8rw_7_5"/>
      <w:bookmarkStart w:id="1306" w:name="Tc_GIiIWe34IEyUjPbzxWx-aQ_7_2"/>
      <w:bookmarkStart w:id="1307" w:name="Tc_mmJbBa7UeEavgMOs-T4JPg_7_0"/>
      <w:bookmarkStart w:id="1308" w:name="Tc_zFpjcxcf7kWXSRfObFfVYg_6_9"/>
      <w:bookmarkStart w:id="1309" w:name="Tc_8221I0mHoUi0rUYEKZVeug_6_6"/>
      <w:bookmarkStart w:id="1310" w:name="Tc_mncInju7h0qadqk8O1MJxw_6_3"/>
      <w:bookmarkStart w:id="1311" w:name="Tc_b9X6YUJrE0uF0MD0SJG_6Q_6_0"/>
      <w:bookmarkStart w:id="1312" w:name="Tc_hqiEIgls50uiS61ZiFLmMw_5_0"/>
      <w:bookmarkStart w:id="1313" w:name="Tc_Fibf0yBM-U2HlP0Ebmgt6w_4_0"/>
      <w:bookmarkStart w:id="1314" w:name="Tc_B76ph2Kz8U-Y_q3-bz8Zrg_3_11"/>
      <w:bookmarkStart w:id="1315" w:name="Tc_u-CSuBoW6UuBrbqflaOUBw_3_8"/>
      <w:bookmarkStart w:id="1316" w:name="Tc_x005F_x666B_Ww4kOXdTeEKcGlWA_3_5"/>
      <w:bookmarkStart w:id="1317" w:name="Tc_PRyn21gMoUOq86A_3LPf-g_3_2"/>
      <w:bookmarkStart w:id="1318" w:name="Tc_WdLV8bhhjk2BKshwus8Xmw_3_0"/>
      <w:bookmarkStart w:id="1319" w:name="Tc_oWvYlOE-skqR7II3beiu4A_2_11"/>
      <w:bookmarkStart w:id="1320" w:name="Tc_7lZ_wkJQWkGNGti6r1Kjbw_2_8"/>
      <w:bookmarkStart w:id="1321" w:name="Tc_-GFe1V2wEkuQg8_t55DGmQ_2_5"/>
      <w:bookmarkStart w:id="1322" w:name="Tc_mmJykiPwA0GzEDiretUfCw_2_2"/>
      <w:bookmarkStart w:id="1323" w:name="Tc_rXUCWjbW5kOLoE7vaKHMLw_1_8"/>
      <w:bookmarkStart w:id="1324" w:name="Tc_vGygDtSSKEKkZiVcA9AUSg_1_2"/>
      <w:bookmarkStart w:id="1325" w:name="Tc_aNXbv-aIYUetZ3zjasju6Q_5_11"/>
      <w:bookmarkStart w:id="1326" w:name="Tc_pXTwhdNoF0yrXbZ0fjt6kA_5_8"/>
      <w:bookmarkStart w:id="1327" w:name="Tc_9ZQSkLU0GUSa07Z6DkXz4w_5_5"/>
      <w:bookmarkStart w:id="1328" w:name="Tc_fKSsn56a7Ea8EJrJTHUwyQ_5_2"/>
      <w:bookmarkStart w:id="1329" w:name="Tc_ZSHTaYooZkO-wdcyi0hNgw_5_0"/>
      <w:bookmarkStart w:id="1330" w:name="Tc__Em1ENaO2EOH5BQut1Xhaw_4_0"/>
      <w:bookmarkStart w:id="1331" w:name="Tc_Y7zXrR-n5EC3ifOCY8TB3g_3_11"/>
      <w:bookmarkStart w:id="1332" w:name="Tc_6QfIYUqHHEm8laQdhPb-Bg_3_8"/>
      <w:bookmarkStart w:id="1333" w:name="Tc_Ib4zTWa2nUy8l3dQewPs4Q_3_5"/>
      <w:bookmarkStart w:id="1334" w:name="Tc_1eQwl8owyUa0hJKi2i3L7g_3_2"/>
      <w:bookmarkStart w:id="1335" w:name="Tc_1lgy_gw0y0iiKZAfTZGJzQ_3_0"/>
      <w:bookmarkStart w:id="1336" w:name="Tc_GZy8muk-SkKtNse8pwBSIg_2_11"/>
      <w:bookmarkStart w:id="1337" w:name="Tc_J_aOnLfsdUW_iFoStCKRtA_2_8"/>
      <w:bookmarkStart w:id="1338" w:name="Tc_HXnt84xY7ECo_uxyKJ4pNQ_2_5"/>
      <w:bookmarkStart w:id="1339" w:name="Tc_eG9d4qg6lU61IrprVzP4LQ_2_2"/>
      <w:bookmarkStart w:id="1340" w:name="Tc_PhPWZXWXG0i9C_38x7iYaA_1_8"/>
      <w:bookmarkStart w:id="1341" w:name="Tc_xEB1HUzFq02eNSmqWdC-MQ_1_2"/>
      <w:bookmarkStart w:id="1342" w:name="Tc_tyDa7IWMjkSzvK4d0-ZlCA_10_4"/>
      <w:bookmarkStart w:id="1343" w:name="Tc_13-ev0F0xkK5XvZftmbITw_10_0"/>
      <w:bookmarkStart w:id="1344" w:name="Tc_OV4bOGAzmUqM0uCkTQ7tnw_9_4"/>
      <w:bookmarkStart w:id="1345" w:name="Tc_xOLac6uVeUyqjJTHbxGL8w_9_0"/>
      <w:bookmarkStart w:id="1346" w:name="Tc_urJE_ABZj0-EXfYJl_-Xbw_8_4"/>
      <w:bookmarkStart w:id="1347" w:name="Tc_AhzZkp8Se0-wWrPQVAuHQw_8_0"/>
      <w:bookmarkStart w:id="1348" w:name="Tc_UkwQ5yC0eUy6Ipugdh6SkQ_7_4"/>
      <w:bookmarkStart w:id="1349" w:name="Tc_c-Lcv-idwk-yJbauDOwO7Q_7_0"/>
      <w:bookmarkStart w:id="1350" w:name="Tc_hnV3CFVe1kef23FngSuvwQ_6_4"/>
      <w:bookmarkStart w:id="1351" w:name="Tc_FzLKWR3hr0-Ob_V5RFEToQ_6_0"/>
      <w:bookmarkStart w:id="1352" w:name="Tc_EtnT1bKEPES3xKj-ckQ3zg_5_4"/>
      <w:bookmarkStart w:id="1353" w:name="Tc_5IZCtxxnskKRHBhR6Mn3yg_5_2"/>
      <w:bookmarkStart w:id="1354" w:name="Tc_mhSN4ZVqsEKDE8paKbYK3g_4_4"/>
      <w:bookmarkStart w:id="1355" w:name="Tc_EpAtmLKSi0m-cKdIU3Af8A_4_2"/>
      <w:bookmarkStart w:id="1356" w:name="Tc_xbKBDiGSF0uinLx_OZ_lbA_3_4"/>
      <w:bookmarkStart w:id="1357" w:name="Tc_-jtLpRe2uUa0SM-obIwgwg_2_4"/>
      <w:bookmarkStart w:id="1358" w:name="Tc_q5jQPQbXf0mXyvUJIBSMDg_1_4"/>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Fonts w:ascii="Times New Roman;Times;serif" w:hAnsi="Times New Roman;Times;serif"/>
          <w:b/>
          <w:i/>
          <w:sz w:val="20"/>
        </w:rPr>
        <w:t>Restricted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unvested RSUs activity for the six months ended June 30, 2026:</w:t>
      </w:r>
    </w:p>
    <w:p>
      <w:pPr>
        <w:pStyle w:val="TextBody"/>
        <w:bidi w:val="0"/>
        <w:spacing w:before="0" w:after="0"/>
        <w:ind w:left="0" w:right="0" w:hanging="0"/>
        <w:jc w:val="left"/>
        <w:rPr/>
      </w:pPr>
      <w:r>
        <w:rPr/>
        <w:t>​</w:t>
      </w:r>
    </w:p>
    <w:tbl>
      <w:tblPr>
        <w:tblW w:w="5584" w:type="dxa"/>
        <w:jc w:val="left"/>
        <w:tblInd w:w="0" w:type="dxa"/>
        <w:tblLayout w:type="fixed"/>
        <w:tblCellMar>
          <w:top w:w="0" w:type="dxa"/>
          <w:left w:w="0" w:type="dxa"/>
          <w:bottom w:w="0" w:type="dxa"/>
          <w:right w:w="0" w:type="dxa"/>
        </w:tblCellMar>
      </w:tblPr>
      <w:tblGrid>
        <w:gridCol w:w="2926"/>
        <w:gridCol w:w="346"/>
        <w:gridCol w:w="931"/>
        <w:gridCol w:w="346"/>
        <w:gridCol w:w="263"/>
        <w:gridCol w:w="772"/>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58010" cy="175260"/>
                      <wp:effectExtent l="0" t="0" r="0" b="0"/>
                      <wp:wrapNone/>
                      <wp:docPr id="224" name="Frame22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1185" cy="175260"/>
                      <wp:effectExtent l="0" t="0" r="0" b="0"/>
                      <wp:wrapNone/>
                      <wp:docPr id="226"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7005" cy="175260"/>
                      <wp:effectExtent l="0" t="0" r="0" b="0"/>
                      <wp:wrapNone/>
                      <wp:docPr id="228" name="Frame22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0220" cy="175260"/>
                      <wp:effectExtent l="0" t="0" r="0" b="0"/>
                      <wp:wrapNone/>
                      <wp:docPr id="229" name="Frame229"/>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2,527,377</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895,096</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released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(90,533)</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3,263,275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stock-based compensation expense recognized in the Company’s unaudited condensed consolidated statements of operations and comprehensive income (loss) for the three and six months ended June 30, 2026 and 2025 (in thousands):</w:t>
      </w:r>
    </w:p>
    <w:p>
      <w:pPr>
        <w:pStyle w:val="TextBody"/>
        <w:bidi w:val="0"/>
        <w:spacing w:before="0" w:after="0"/>
        <w:ind w:left="0" w:right="0" w:hanging="0"/>
        <w:jc w:val="left"/>
        <w:rPr/>
      </w:pPr>
      <w:r>
        <w:rPr/>
        <w:t>​</w:t>
      </w:r>
    </w:p>
    <w:tbl>
      <w:tblPr>
        <w:tblW w:w="8374" w:type="dxa"/>
        <w:jc w:val="left"/>
        <w:tblInd w:w="0" w:type="dxa"/>
        <w:tblLayout w:type="fixed"/>
        <w:tblCellMar>
          <w:top w:w="0" w:type="dxa"/>
          <w:left w:w="0" w:type="dxa"/>
          <w:bottom w:w="0" w:type="dxa"/>
          <w:right w:w="0" w:type="dxa"/>
        </w:tblCellMar>
      </w:tblPr>
      <w:tblGrid>
        <w:gridCol w:w="3451"/>
        <w:gridCol w:w="346"/>
        <w:gridCol w:w="230"/>
        <w:gridCol w:w="736"/>
        <w:gridCol w:w="377"/>
        <w:gridCol w:w="230"/>
        <w:gridCol w:w="736"/>
        <w:gridCol w:w="109"/>
        <w:gridCol w:w="228"/>
        <w:gridCol w:w="731"/>
        <w:gridCol w:w="117"/>
        <w:gridCol w:w="228"/>
        <w:gridCol w:w="855"/>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1385" cy="175260"/>
                      <wp:effectExtent l="0" t="0" r="0" b="0"/>
                      <wp:wrapNone/>
                      <wp:docPr id="230" name="Frame23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6050" cy="175260"/>
                      <wp:effectExtent l="0" t="0" r="0" b="0"/>
                      <wp:wrapNone/>
                      <wp:docPr id="232" name="Frame23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67360" cy="175260"/>
                      <wp:effectExtent l="0" t="0" r="0" b="0"/>
                      <wp:wrapNone/>
                      <wp:docPr id="233" name="Frame2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9395" cy="175260"/>
                      <wp:effectExtent l="0" t="0" r="0" b="0"/>
                      <wp:wrapNone/>
                      <wp:docPr id="234" name="Frame23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6050" cy="175260"/>
                      <wp:effectExtent l="0" t="0" r="0" b="0"/>
                      <wp:wrapNone/>
                      <wp:docPr id="235" name="Frame2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67360" cy="175260"/>
                      <wp:effectExtent l="0" t="0" r="0" b="0"/>
                      <wp:wrapNone/>
                      <wp:docPr id="236" name="Frame2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4780" cy="175260"/>
                      <wp:effectExtent l="0" t="0" r="0" b="0"/>
                      <wp:wrapNone/>
                      <wp:docPr id="238" name="Frame23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64185" cy="175260"/>
                      <wp:effectExtent l="0" t="0" r="0" b="0"/>
                      <wp:wrapNone/>
                      <wp:docPr id="239" name="Frame239"/>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4295" cy="175260"/>
                      <wp:effectExtent l="0" t="0" r="0" b="0"/>
                      <wp:wrapNone/>
                      <wp:docPr id="240" name="Frame24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4780" cy="175260"/>
                      <wp:effectExtent l="0" t="0" r="0" b="0"/>
                      <wp:wrapNone/>
                      <wp:docPr id="241" name="Frame24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42925" cy="175260"/>
                      <wp:effectExtent l="0" t="0" r="0" b="0"/>
                      <wp:wrapNone/>
                      <wp:docPr id="242" name="Frame242"/>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1"/>
              <w:ind w:left="0" w:right="0" w:hanging="0"/>
              <w:jc w:val="center"/>
              <w:rPr/>
            </w:pPr>
            <w:r>
              <w:rPr/>
              <w:t>​</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8,643</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7,225</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15,995</w:t>
            </w:r>
          </w:p>
        </w:tc>
        <w:tc>
          <w:tcPr>
            <w:tcW w:w="117"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5,630</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11,410</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10,617</w:t>
            </w:r>
          </w:p>
        </w:tc>
        <w:tc>
          <w:tcPr>
            <w:tcW w:w="117"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14,273</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18,635</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26,612</w:t>
            </w:r>
          </w:p>
        </w:tc>
        <w:tc>
          <w:tcPr>
            <w:tcW w:w="117"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25,630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stock-based compensation expense recognized in the Company’s unaudited condensed consolidated statements of operations and comprehensive income (loss) by award type for the three and six months ended June 30, 2026 and 2025 (in thousands):</w:t>
      </w:r>
    </w:p>
    <w:p>
      <w:pPr>
        <w:pStyle w:val="TextBody"/>
        <w:bidi w:val="0"/>
        <w:spacing w:before="0" w:after="240"/>
        <w:ind w:left="0" w:right="0" w:hanging="0"/>
        <w:jc w:val="both"/>
        <w:rPr/>
      </w:pPr>
      <w:r>
        <w:rPr/>
        <w:t>​</w:t>
      </w:r>
    </w:p>
    <w:tbl>
      <w:tblPr>
        <w:tblW w:w="8373" w:type="dxa"/>
        <w:jc w:val="left"/>
        <w:tblInd w:w="0" w:type="dxa"/>
        <w:tblLayout w:type="fixed"/>
        <w:tblCellMar>
          <w:top w:w="0" w:type="dxa"/>
          <w:left w:w="0" w:type="dxa"/>
          <w:bottom w:w="0" w:type="dxa"/>
          <w:right w:w="0" w:type="dxa"/>
        </w:tblCellMar>
      </w:tblPr>
      <w:tblGrid>
        <w:gridCol w:w="3451"/>
        <w:gridCol w:w="346"/>
        <w:gridCol w:w="230"/>
        <w:gridCol w:w="736"/>
        <w:gridCol w:w="377"/>
        <w:gridCol w:w="230"/>
        <w:gridCol w:w="736"/>
        <w:gridCol w:w="109"/>
        <w:gridCol w:w="229"/>
        <w:gridCol w:w="734"/>
        <w:gridCol w:w="118"/>
        <w:gridCol w:w="229"/>
        <w:gridCol w:w="848"/>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1385" cy="175260"/>
                      <wp:effectExtent l="0" t="0" r="0" b="0"/>
                      <wp:wrapNone/>
                      <wp:docPr id="243" name="Frame24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6050" cy="175260"/>
                      <wp:effectExtent l="0" t="0" r="0" b="0"/>
                      <wp:wrapNone/>
                      <wp:docPr id="245" name="Frame24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67360" cy="175260"/>
                      <wp:effectExtent l="0" t="0" r="0" b="0"/>
                      <wp:wrapNone/>
                      <wp:docPr id="246" name="Frame24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39395" cy="175260"/>
                      <wp:effectExtent l="0" t="0" r="0" b="0"/>
                      <wp:wrapNone/>
                      <wp:docPr id="247" name="Frame24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6050" cy="175260"/>
                      <wp:effectExtent l="0" t="0" r="0" b="0"/>
                      <wp:wrapNone/>
                      <wp:docPr id="248" name="Frame24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67360" cy="175260"/>
                      <wp:effectExtent l="0" t="0" r="0" b="0"/>
                      <wp:wrapNone/>
                      <wp:docPr id="249" name="Frame24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5415" cy="175260"/>
                      <wp:effectExtent l="0" t="0" r="0" b="0"/>
                      <wp:wrapNone/>
                      <wp:docPr id="251" name="Frame25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66090" cy="175260"/>
                      <wp:effectExtent l="0" t="0" r="0" b="0"/>
                      <wp:wrapNone/>
                      <wp:docPr id="252" name="Frame252"/>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4930" cy="175260"/>
                      <wp:effectExtent l="0" t="0" r="0" b="0"/>
                      <wp:wrapNone/>
                      <wp:docPr id="253" name="Frame253"/>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5415" cy="175260"/>
                      <wp:effectExtent l="0" t="0" r="0" b="0"/>
                      <wp:wrapNone/>
                      <wp:docPr id="254" name="Frame25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38480" cy="175260"/>
                      <wp:effectExtent l="0" t="0" r="0" b="0"/>
                      <wp:wrapNone/>
                      <wp:docPr id="255" name="Frame255"/>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1"/>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8" w:type="dxa"/>
            <w:tcBorders/>
            <w:vAlign w:val="center"/>
          </w:tcPr>
          <w:p>
            <w:pPr>
              <w:pStyle w:val="TableContents"/>
              <w:bidi w:val="0"/>
              <w:spacing w:before="0" w:after="1"/>
              <w:ind w:left="0" w:right="0" w:hanging="0"/>
              <w:jc w:val="center"/>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13,989</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22,144</w:t>
            </w:r>
          </w:p>
        </w:tc>
        <w:tc>
          <w:tcPr>
            <w:tcW w:w="118"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20,792</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377"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18"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ESPP</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118"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8"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14,273</w:t>
            </w:r>
          </w:p>
        </w:tc>
        <w:tc>
          <w:tcPr>
            <w:tcW w:w="377"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18,635</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26,612</w:t>
            </w:r>
          </w:p>
        </w:tc>
        <w:tc>
          <w:tcPr>
            <w:tcW w:w="118"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25,630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related to non-employee awards was $0.4 million and $0.1 million for the three months ended June 30, 2026 and 2025, respectively, and was $0.7 million and $0.3 million for the six months ended June 30, 2026 and 2025, respectively. Stock-based compensation expense related to the 2024 POP was $0.9 million and $2.1 million for the three months ended June 30, 2026 and 2025, respectively, and $2.2 million and $4.3 million for the six months ended June 30, 2026 and 2025, respectively. Stock-based compensation expense for the three and six months ended June 30, 2025 included $10.8 million in severance costs related to the ACELYRIN Merger. See Note 3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unrecognized stock-based compensation expense for all stock awards was $152.3 million, which the Company expects to recognize over a weighted-average period of 2.9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Employee Benefit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sponsors a qualified 401(k) defined contribution plan covering eligible employees. Participants may contribute a portion of their annual compensation limited to a maximum annual amount set by the Internal Revenue Service. In November 2025, the Company’s board of directors approved a Company match of 100% of participating employee’s deferral contribution up to 3% of eligible compensation and a 50% match of participating employees’ deferral contribution from 3% to 5% of eligible compensation, effective from January 1, 2026. The Company contributed $0.4 million and $1.4 million to the 401(k) plan during the three and six months ended June 30, 2026, respectively.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59" w:name="Tc__QZ222CDTE-NVyXGgXe-cA_7_0"/>
      <w:bookmarkStart w:id="1360" w:name="Tc_Yz0z4-ID_0mJpJFL9ueHvg_6_0"/>
      <w:bookmarkStart w:id="1361" w:name="Tc_rB-eM_ixnkS0NRLMb0_5Hw_5_0"/>
      <w:bookmarkStart w:id="1362" w:name="Tc_EXZQX0qa30qoI2w1qq_j5Q_4_0"/>
      <w:bookmarkStart w:id="1363" w:name="Tc_iT6_2gL5nkSfORi3Y680dw_3_0"/>
      <w:bookmarkStart w:id="1364" w:name="Tc_F9g5UspM2UWq-rDMBHAHjg_2_8"/>
      <w:bookmarkStart w:id="1365" w:name="Tc_Z9sC3u3xH0WtfNOBT-aLLw_2_6"/>
      <w:bookmarkStart w:id="1366" w:name="Tc_mfL0uay1cU69xjWvxWNhnw_2_4"/>
      <w:bookmarkStart w:id="1367" w:name="Tc_6vAM5zMLDEKafaQg3y41xg_2_2"/>
      <w:bookmarkStart w:id="1368" w:name="Tc_OYGw8qcrdUSxFkVJ2RQJow_1_6"/>
      <w:bookmarkStart w:id="1369" w:name="Tc_2EybfwSj0U63lCAHBbXP1A_1_2"/>
      <w:bookmarkStart w:id="1370" w:name="Tc_UA_hxe72Ck6wqWbfHCR2SA_14_0"/>
      <w:bookmarkStart w:id="1371" w:name="Tc_Ujs49Jx6OU2_he6nwFJ9nA_13_11"/>
      <w:bookmarkStart w:id="1372" w:name="Tc_J9TIVVpWbEeDgic0BB44Cg_13_8"/>
      <w:bookmarkStart w:id="1373" w:name="Tc_nQWtBovN60mTf1h-Njfl_Q_13_5"/>
      <w:bookmarkStart w:id="1374" w:name="Tc_bL4X8vBZREyl838RUMs9QQ_13_2"/>
      <w:bookmarkStart w:id="1375" w:name="Tc_018UYTIKGU6RHS-ymT-8Hw_13_0"/>
      <w:bookmarkStart w:id="1376" w:name="Tc_FJ0FV5_6YUKL7QQC0xWm6g_12_0"/>
      <w:bookmarkStart w:id="1377" w:name="Tc_EHnM9EsykESTs2-xOYsizQ_10_0"/>
      <w:bookmarkStart w:id="1378" w:name="Tc_XHH8IrUdJkWhtCKqlo678A_9_12"/>
      <w:bookmarkStart w:id="1379" w:name="Tc_Dgel3ftJ7UaUHSeZpq4tEQ_9_9"/>
      <w:bookmarkStart w:id="1380" w:name="Tc_Bu0yvbfyPUShTezSNL2ETg_9_3"/>
      <w:bookmarkStart w:id="1381" w:name="Tc_YuYI7-a9kkC5jLiW_xp7lQ_9_0"/>
      <w:bookmarkStart w:id="1382" w:name="Tc_sCNcKweaqUy76Q_S3UwlKg_8_0"/>
      <w:bookmarkStart w:id="1383" w:name="Tc_dQhN0s--k0avbde67A1u_A_7_0"/>
      <w:bookmarkStart w:id="1384" w:name="Tc_9BH3BA9k2kekKo-8Lm1Ysw_6_0"/>
      <w:bookmarkStart w:id="1385" w:name="Tc_2JOCxqO13UeC9wva3hp1bw_5_0"/>
      <w:bookmarkStart w:id="1386" w:name="Tc_H5Ruw_4hQ0eqFS_On3fb2A_4_11"/>
      <w:bookmarkStart w:id="1387" w:name="Tc_ayzpTAVfJEiOc0uN9M1zNw_4_8"/>
      <w:bookmarkStart w:id="1388" w:name="Tc_y4MUq5QBbkSMqZd4M7LbXA_4_5"/>
      <w:bookmarkStart w:id="1389" w:name="Tc_xTehVi8Rm0qFrNWw4jmuXw_4_2"/>
      <w:bookmarkStart w:id="1390" w:name="Tc_wk_ES2jqU0mooetfTZX8Gg_4_0"/>
      <w:bookmarkStart w:id="1391" w:name="Tc_uj3i7wrDq02mf3uNUQv9YQ_3_0"/>
      <w:bookmarkStart w:id="1392" w:name="Tc_fOgflbqKsUmbFMTOHl8KVA_2_11"/>
      <w:bookmarkStart w:id="1393" w:name="Tc_I5diixPgFEWVCEycStjWvw_2_8"/>
      <w:bookmarkStart w:id="1394" w:name="Tc_30e8mLWwqkKXkOU8CS-pxw_2_5"/>
      <w:bookmarkStart w:id="1395" w:name="Tc_nhaft3sQjkeMPrrPFTZP1Q_2_2"/>
      <w:bookmarkStart w:id="1396" w:name="Tc_Mba0ZHBd5k-yKGF-JhcpSQ_1_8"/>
      <w:bookmarkStart w:id="1397" w:name="Tc_RylRSIonIkWLteA9TqA2Gg_1_2"/>
      <w:bookmarkStart w:id="1398" w:name="_a241ea46_dc80_42af_96e0_e04edc41706b"/>
      <w:bookmarkStart w:id="1399" w:name="_fc1e24bc_3325_4e8a_b4e8_c8ee7370fa5b"/>
      <w:bookmarkStart w:id="1400" w:name="Tc__QZ222CDTE-NVyXGgXe-cA_7_0"/>
      <w:bookmarkStart w:id="1401" w:name="Tc_Yz0z4-ID_0mJpJFL9ueHvg_6_0"/>
      <w:bookmarkStart w:id="1402" w:name="Tc_rB-eM_ixnkS0NRLMb0_5Hw_5_0"/>
      <w:bookmarkStart w:id="1403" w:name="Tc_EXZQX0qa30qoI2w1qq_j5Q_4_0"/>
      <w:bookmarkStart w:id="1404" w:name="Tc_iT6_2gL5nkSfORi3Y680dw_3_0"/>
      <w:bookmarkStart w:id="1405" w:name="Tc_F9g5UspM2UWq-rDMBHAHjg_2_8"/>
      <w:bookmarkStart w:id="1406" w:name="Tc_Z9sC3u3xH0WtfNOBT-aLLw_2_6"/>
      <w:bookmarkStart w:id="1407" w:name="Tc_mfL0uay1cU69xjWvxWNhnw_2_4"/>
      <w:bookmarkStart w:id="1408" w:name="Tc_6vAM5zMLDEKafaQg3y41xg_2_2"/>
      <w:bookmarkStart w:id="1409" w:name="Tc_OYGw8qcrdUSxFkVJ2RQJow_1_6"/>
      <w:bookmarkStart w:id="1410" w:name="Tc_2EybfwSj0U63lCAHBbXP1A_1_2"/>
      <w:bookmarkStart w:id="1411" w:name="Tc_UA_hxe72Ck6wqWbfHCR2SA_14_0"/>
      <w:bookmarkStart w:id="1412" w:name="Tc_Ujs49Jx6OU2_he6nwFJ9nA_13_11"/>
      <w:bookmarkStart w:id="1413" w:name="Tc_J9TIVVpWbEeDgic0BB44Cg_13_8"/>
      <w:bookmarkStart w:id="1414" w:name="Tc_nQWtBovN60mTf1h-Njfl_Q_13_5"/>
      <w:bookmarkStart w:id="1415" w:name="Tc_bL4X8vBZREyl838RUMs9QQ_13_2"/>
      <w:bookmarkStart w:id="1416" w:name="Tc_018UYTIKGU6RHS-ymT-8Hw_13_0"/>
      <w:bookmarkStart w:id="1417" w:name="Tc_FJ0FV5_6YUKL7QQC0xWm6g_12_0"/>
      <w:bookmarkStart w:id="1418" w:name="Tc_EHnM9EsykESTs2-xOYsizQ_10_0"/>
      <w:bookmarkStart w:id="1419" w:name="Tc_XHH8IrUdJkWhtCKqlo678A_9_12"/>
      <w:bookmarkStart w:id="1420" w:name="Tc_Dgel3ftJ7UaUHSeZpq4tEQ_9_9"/>
      <w:bookmarkStart w:id="1421" w:name="Tc_Bu0yvbfyPUShTezSNL2ETg_9_3"/>
      <w:bookmarkStart w:id="1422" w:name="Tc_YuYI7-a9kkC5jLiW_xp7lQ_9_0"/>
      <w:bookmarkStart w:id="1423" w:name="Tc_sCNcKweaqUy76Q_S3UwlKg_8_0"/>
      <w:bookmarkStart w:id="1424" w:name="Tc_dQhN0s--k0avbde67A1u_A_7_0"/>
      <w:bookmarkStart w:id="1425" w:name="Tc_9BH3BA9k2kekKo-8Lm1Ysw_6_0"/>
      <w:bookmarkStart w:id="1426" w:name="Tc_2JOCxqO13UeC9wva3hp1bw_5_0"/>
      <w:bookmarkStart w:id="1427" w:name="Tc_H5Ruw_4hQ0eqFS_On3fb2A_4_11"/>
      <w:bookmarkStart w:id="1428" w:name="Tc_ayzpTAVfJEiOc0uN9M1zNw_4_8"/>
      <w:bookmarkStart w:id="1429" w:name="Tc_y4MUq5QBbkSMqZd4M7LbXA_4_5"/>
      <w:bookmarkStart w:id="1430" w:name="Tc_xTehVi8Rm0qFrNWw4jmuXw_4_2"/>
      <w:bookmarkStart w:id="1431" w:name="Tc_wk_ES2jqU0mooetfTZX8Gg_4_0"/>
      <w:bookmarkStart w:id="1432" w:name="Tc_uj3i7wrDq02mf3uNUQv9YQ_3_0"/>
      <w:bookmarkStart w:id="1433" w:name="Tc_fOgflbqKsUmbFMTOHl8KVA_2_11"/>
      <w:bookmarkStart w:id="1434" w:name="Tc_I5diixPgFEWVCEycStjWvw_2_8"/>
      <w:bookmarkStart w:id="1435" w:name="Tc_30e8mLWwqkKXkOU8CS-pxw_2_5"/>
      <w:bookmarkStart w:id="1436" w:name="Tc_nhaft3sQjkeMPrrPFTZP1Q_2_2"/>
      <w:bookmarkStart w:id="1437" w:name="Tc_Mba0ZHBd5k-yKGF-JhcpSQ_1_8"/>
      <w:bookmarkStart w:id="1438" w:name="Tc_RylRSIonIkWLteA9TqA2Gg_1_2"/>
      <w:bookmarkStart w:id="1439" w:name="_a241ea46_dc80_42af_96e0_e04edc41706b"/>
      <w:bookmarkStart w:id="1440" w:name="_fc1e24bc_3325_4e8a_b4e8_c8ee7370fa5b"/>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p>
    <w:tbl>
      <w:tblPr>
        <w:tblW w:w="6182" w:type="dxa"/>
        <w:jc w:val="left"/>
        <w:tblInd w:w="0" w:type="dxa"/>
        <w:tblLayout w:type="fixed"/>
        <w:tblCellMar>
          <w:top w:w="0" w:type="dxa"/>
          <w:left w:w="0" w:type="dxa"/>
          <w:bottom w:w="0" w:type="dxa"/>
          <w:right w:w="0" w:type="dxa"/>
        </w:tblCellMar>
      </w:tblPr>
      <w:tblGrid>
        <w:gridCol w:w="376"/>
        <w:gridCol w:w="580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58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Income (Loss) Per Share Attributable to Common Stockholders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computation of the basic and diluted net income (loss) per share attributable to common stockholders for the three and six months ended June 30, 2026 and 2025 (in thousands, except share and per share amounts):</w:t>
      </w:r>
    </w:p>
    <w:tbl>
      <w:tblPr>
        <w:tblW w:w="10205" w:type="dxa"/>
        <w:jc w:val="left"/>
        <w:tblInd w:w="0" w:type="dxa"/>
        <w:tblLayout w:type="fixed"/>
        <w:tblCellMar>
          <w:top w:w="0" w:type="dxa"/>
          <w:left w:w="0" w:type="dxa"/>
          <w:bottom w:w="0" w:type="dxa"/>
          <w:right w:w="0" w:type="dxa"/>
        </w:tblCellMar>
      </w:tblPr>
      <w:tblGrid>
        <w:gridCol w:w="4148"/>
        <w:gridCol w:w="346"/>
        <w:gridCol w:w="196"/>
        <w:gridCol w:w="1006"/>
        <w:gridCol w:w="346"/>
        <w:gridCol w:w="196"/>
        <w:gridCol w:w="916"/>
        <w:gridCol w:w="346"/>
        <w:gridCol w:w="196"/>
        <w:gridCol w:w="1006"/>
        <w:gridCol w:w="346"/>
        <w:gridCol w:w="196"/>
        <w:gridCol w:w="961"/>
      </w:tblGrid>
      <w:tr>
        <w:trPr/>
        <w:tc>
          <w:tcPr>
            <w:tcW w:w="4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33980" cy="175260"/>
                      <wp:effectExtent l="0" t="0" r="0" b="0"/>
                      <wp:wrapNone/>
                      <wp:docPr id="256" name="Frame256"/>
                      <a:graphic xmlns:a="http://schemas.openxmlformats.org/drawingml/2006/main">
                        <a:graphicData uri="http://schemas.microsoft.com/office/word/2010/wordprocessingShape">
                          <wps:wsp>
                            <wps:cNvSpPr txBox="1"/>
                            <wps:spPr>
                              <a:xfrm>
                                <a:off x="0" y="0"/>
                                <a:ext cx="263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4460" cy="175260"/>
                      <wp:effectExtent l="0" t="0" r="0" b="0"/>
                      <wp:wrapNone/>
                      <wp:docPr id="258"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38810" cy="175260"/>
                      <wp:effectExtent l="0" t="0" r="0" b="0"/>
                      <wp:wrapNone/>
                      <wp:docPr id="259" name="Frame25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81660" cy="175260"/>
                      <wp:effectExtent l="0" t="0" r="0" b="0"/>
                      <wp:wrapNone/>
                      <wp:docPr id="262" name="Frame26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38810" cy="175260"/>
                      <wp:effectExtent l="0" t="0" r="0" b="0"/>
                      <wp:wrapNone/>
                      <wp:docPr id="265" name="Frame26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10235" cy="175260"/>
                      <wp:effectExtent l="0" t="0" r="0" b="0"/>
                      <wp:wrapNone/>
                      <wp:docPr id="268" name="Frame26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7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1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pPr>
            <w:r>
              <w:rPr/>
              <w:t>​</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(235,274)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(39,642)</w:t>
            </w:r>
          </w:p>
        </w:tc>
      </w:tr>
      <w:tr>
        <w:trPr/>
        <w:tc>
          <w:tcPr>
            <w:tcW w:w="4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127,699,028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76,559,569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126,387,979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65,544,642</w:t>
            </w:r>
          </w:p>
        </w:tc>
      </w:tr>
      <w:tr>
        <w:trPr/>
        <w:tc>
          <w:tcPr>
            <w:tcW w:w="4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Weighted-average shares of common stock subject to repurchase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(104,621)</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 outstanding, 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127,690,254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76,477,144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126,377,692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65,440,021</w:t>
            </w:r>
          </w:p>
        </w:tc>
      </w:tr>
      <w:tr>
        <w:trPr/>
        <w:tc>
          <w:tcPr>
            <w:tcW w:w="4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issuable shares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158,751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 outstanding, diluted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127,690,254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76,635,895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126,377,692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65,440,021</w:t>
            </w:r>
          </w:p>
        </w:tc>
      </w:tr>
      <w:tr>
        <w:trPr/>
        <w:tc>
          <w:tcPr>
            <w:tcW w:w="41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4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(0.61)</w:t>
            </w:r>
          </w:p>
        </w:tc>
      </w:tr>
      <w:tr>
        <w:trPr/>
        <w:tc>
          <w:tcPr>
            <w:tcW w:w="41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outstanding potentially dilutive securities were excluded from the computation of diluted net income (loss) per share attributable to common stockholders for the periods presented, because including them would have been antidilutive: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1"/>
        <w:gridCol w:w="346"/>
        <w:gridCol w:w="970"/>
        <w:gridCol w:w="366"/>
        <w:gridCol w:w="970"/>
        <w:gridCol w:w="346"/>
        <w:gridCol w:w="916"/>
        <w:gridCol w:w="346"/>
        <w:gridCol w:w="1024"/>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124835" cy="175260"/>
                      <wp:effectExtent l="0" t="0" r="0" b="0"/>
                      <wp:wrapNone/>
                      <wp:docPr id="269" name="Frame269"/>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15950" cy="175260"/>
                      <wp:effectExtent l="0" t="0" r="0" b="0"/>
                      <wp:wrapNone/>
                      <wp:docPr id="271" name="Frame27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32410" cy="175260"/>
                      <wp:effectExtent l="0" t="0" r="0" b="0"/>
                      <wp:wrapNone/>
                      <wp:docPr id="272" name="Frame27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5950" cy="175260"/>
                      <wp:effectExtent l="0" t="0" r="0" b="0"/>
                      <wp:wrapNone/>
                      <wp:docPr id="273" name="Frame27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81660" cy="175260"/>
                      <wp:effectExtent l="0" t="0" r="0" b="0"/>
                      <wp:wrapNone/>
                      <wp:docPr id="275" name="Frame27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50240" cy="175260"/>
                      <wp:effectExtent l="0" t="0" r="0" b="0"/>
                      <wp:wrapNone/>
                      <wp:docPr id="277" name="Frame277"/>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8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1"/>
              <w:ind w:left="0" w:right="0" w:hanging="0"/>
              <w:jc w:val="left"/>
              <w:rPr/>
            </w:pPr>
            <w:r>
              <w:rPr/>
              <w:t>  ​ ​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options issued and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21,486,374</w:t>
            </w:r>
          </w:p>
        </w:tc>
        <w:tc>
          <w:tcPr>
            <w:tcW w:w="366"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17,746,130</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21,486,374</w:t>
            </w:r>
          </w:p>
        </w:tc>
        <w:tc>
          <w:tcPr>
            <w:tcW w:w="346" w:type="dxa"/>
            <w:tcBorders/>
            <w:shd w:fill="CCEEFF" w:val="clear"/>
            <w:vAlign w:val="center"/>
          </w:tcPr>
          <w:p>
            <w:pPr>
              <w:pStyle w:val="TableContents"/>
              <w:bidi w:val="0"/>
              <w:spacing w:before="0" w:after="1"/>
              <w:ind w:left="0" w:right="0" w:hanging="0"/>
              <w:jc w:val="left"/>
              <w:rPr/>
            </w:pPr>
            <w:r>
              <w:rPr/>
              <w:t> </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18,190,124</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RSUs issued and outstanding</w:t>
            </w:r>
          </w:p>
        </w:tc>
        <w:tc>
          <w:tcPr>
            <w:tcW w:w="34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3,263,275</w:t>
            </w:r>
          </w:p>
        </w:tc>
        <w:tc>
          <w:tcPr>
            <w:tcW w:w="366"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212,118</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3,263,275</w:t>
            </w:r>
          </w:p>
        </w:tc>
        <w:tc>
          <w:tcPr>
            <w:tcW w:w="346"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672,117</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Common stock issuable under the 2024 ESPP </w:t>
            </w:r>
          </w:p>
        </w:tc>
        <w:tc>
          <w:tcPr>
            <w:tcW w:w="34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74,777</w:t>
            </w:r>
          </w:p>
        </w:tc>
        <w:tc>
          <w:tcPr>
            <w:tcW w:w="366"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135,993</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74,777</w:t>
            </w:r>
          </w:p>
        </w:tc>
        <w:tc>
          <w:tcPr>
            <w:tcW w:w="346"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264,207</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Early exercised stock options and unvested restricted common stock</w:t>
            </w:r>
          </w:p>
        </w:tc>
        <w:tc>
          <w:tcPr>
            <w:tcW w:w="346" w:type="dxa"/>
            <w:tcBorders/>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7,991</w:t>
            </w:r>
          </w:p>
        </w:tc>
        <w:tc>
          <w:tcPr>
            <w:tcW w:w="366" w:type="dxa"/>
            <w:tcBorders/>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61,643</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7,991</w:t>
            </w:r>
          </w:p>
        </w:tc>
        <w:tc>
          <w:tcPr>
            <w:tcW w:w="346" w:type="dxa"/>
            <w:tcBorders/>
            <w:vAlign w:val="center"/>
          </w:tcPr>
          <w:p>
            <w:pPr>
              <w:pStyle w:val="TableContents"/>
              <w:bidi w:val="0"/>
              <w:spacing w:before="0" w:after="1"/>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61,643</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24,832,417</w:t>
            </w:r>
          </w:p>
        </w:tc>
        <w:tc>
          <w:tcPr>
            <w:tcW w:w="366" w:type="dxa"/>
            <w:tcBorders/>
            <w:shd w:fill="CCEEFF" w:val="clear"/>
            <w:vAlign w:val="center"/>
          </w:tcPr>
          <w:p>
            <w:pPr>
              <w:pStyle w:val="TableContents"/>
              <w:bidi w:val="0"/>
              <w:spacing w:before="0" w:after="1"/>
              <w:ind w:left="0" w:right="0" w:hanging="0"/>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18,155,884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24,832,417</w:t>
            </w:r>
          </w:p>
        </w:tc>
        <w:tc>
          <w:tcPr>
            <w:tcW w:w="346" w:type="dxa"/>
            <w:tcBorders/>
            <w:shd w:fill="CCEEFF" w:val="clear"/>
            <w:vAlign w:val="center"/>
          </w:tcPr>
          <w:p>
            <w:pPr>
              <w:pStyle w:val="TableContents"/>
              <w:bidi w:val="0"/>
              <w:spacing w:before="0" w:after="1"/>
              <w:ind w:left="0" w:right="0" w:hanging="0"/>
              <w:jc w:val="left"/>
              <w:rPr/>
            </w:pPr>
            <w:r>
              <w:rPr/>
              <w:t> </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19,188,091</w:t>
            </w:r>
          </w:p>
        </w:tc>
      </w:tr>
    </w:tbl>
    <w:p>
      <w:pPr>
        <w:pStyle w:val="TextBody"/>
        <w:bidi w:val="0"/>
        <w:spacing w:before="0" w:after="240"/>
        <w:ind w:left="0" w:right="0" w:hanging="0"/>
        <w:jc w:val="both"/>
        <w:rPr/>
      </w:pPr>
      <w:r>
        <w:rPr/>
        <w:t>​</w:t>
      </w:r>
    </w:p>
    <w:tbl>
      <w:tblPr>
        <w:tblW w:w="2147" w:type="dxa"/>
        <w:jc w:val="left"/>
        <w:tblInd w:w="0" w:type="dxa"/>
        <w:tblLayout w:type="fixed"/>
        <w:tblCellMar>
          <w:top w:w="0" w:type="dxa"/>
          <w:left w:w="0" w:type="dxa"/>
          <w:bottom w:w="0" w:type="dxa"/>
          <w:right w:w="0" w:type="dxa"/>
        </w:tblCellMar>
      </w:tblPr>
      <w:tblGrid>
        <w:gridCol w:w="376"/>
        <w:gridCol w:w="1771"/>
      </w:tblGrid>
      <w:tr>
        <w:trPr/>
        <w:tc>
          <w:tcPr>
            <w:tcW w:w="376" w:type="dxa"/>
            <w:tcBorders/>
            <w:vAlign w:val="center"/>
          </w:tcPr>
          <w:p>
            <w:pPr>
              <w:pStyle w:val="TableContents"/>
              <w:bidi w:val="0"/>
              <w:spacing w:before="240" w:after="240"/>
              <w:jc w:val="left"/>
              <w:rPr>
                <w:rFonts w:ascii="Times New Roman;Times;serif" w:hAnsi="Times New Roman;Times;serif"/>
                <w:b/>
                <w:sz w:val="20"/>
              </w:rPr>
            </w:pPr>
            <w:r>
              <w:rPr>
                <w:rFonts w:ascii="Times New Roman;Times;serif" w:hAnsi="Times New Roman;Times;serif"/>
                <w:b/>
                <w:sz w:val="20"/>
              </w:rPr>
              <w:t>15.</w:t>
            </w:r>
          </w:p>
        </w:tc>
        <w:tc>
          <w:tcPr>
            <w:tcW w:w="1771" w:type="dxa"/>
            <w:tcBorders/>
            <w:vAlign w:val="center"/>
          </w:tcPr>
          <w:p>
            <w:pPr>
              <w:pStyle w:val="TableContents"/>
              <w:bidi w:val="0"/>
              <w:spacing w:before="240" w:after="240"/>
              <w:jc w:val="left"/>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evaluating performance and allocating resources, the Company’s CODM, its Chief Executive Officer, regularly reviews consolidated net income (loss) as reported in the Company’s consolidated statements of operations and comprehensive income (loss) as compared to budget. The measure of segment assets is reported in the consolidated balance sheets as total consolidated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ALUMIS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NOTES TO THE CONDENSED CONSOLIDATED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rFonts w:ascii="Times New Roman;Times;serif" w:hAnsi="Times New Roman;Times;serif"/>
          <w:sz w:val="20"/>
        </w:rPr>
      </w:pPr>
      <w:bookmarkStart w:id="1441" w:name="Tc_zrz5ZdI3z06FHvshV3mA-w_24_11"/>
      <w:bookmarkStart w:id="1442" w:name="Tc_59TGd4TvykGjM27mGNh83w_24_8"/>
      <w:bookmarkStart w:id="1443" w:name="Tc_62qldmAf4EWN28j4GFeBng_24_5"/>
      <w:bookmarkStart w:id="1444" w:name="Tc_0xcNwHF5pkiOhRXPSGa5JQ_24_2"/>
      <w:bookmarkStart w:id="1445" w:name="Tc_AXaxjvbOPk6foideDHljwA_24_0"/>
      <w:bookmarkStart w:id="1446" w:name="Tc_LremuUyYJk6Lvcj0tyrSRA_23_0"/>
      <w:bookmarkStart w:id="1447" w:name="Tc_TI_pJP08vUKWWquNYMdhNw_22_0"/>
      <w:bookmarkStart w:id="1448" w:name="Tc_xWSpOCxt60CKXy72X3qpXw_21_0"/>
      <w:bookmarkStart w:id="1449" w:name="Tc_sYL0GaQ0ZUuGusUmbvarcQ_20_0"/>
      <w:bookmarkStart w:id="1450" w:name="Tc_NxleUcCl7EqI-iYwocnlPA_19_0"/>
      <w:bookmarkStart w:id="1451" w:name="Tc_-KGC0C7CB0uGXa-kPH-TjQ_18_12"/>
      <w:bookmarkStart w:id="1452" w:name="Tc_Oq-SC_q2C0mET1Kpm_KDjA_18_6"/>
      <w:bookmarkStart w:id="1453" w:name="Tc_Ke97Dnjf7UiEvXToCg_XGw_18_0"/>
      <w:bookmarkStart w:id="1454" w:name="Tc_3xiBYBx5BEmATA09R0cbcQ_17_0"/>
      <w:bookmarkStart w:id="1455" w:name="Tc_dFt7fgcpsUK_-sPCTvIW3g_16_0"/>
      <w:bookmarkStart w:id="1456" w:name="Tc_2IqZWmxFU0G9unoFwgtVEg_15_0"/>
      <w:bookmarkStart w:id="1457" w:name="Tc_e0VykmZi9k2N857uCJkv0A_14_0"/>
      <w:bookmarkStart w:id="1458" w:name="Tc_Hh-B9wUxPUeiMBFRTncO_g_13_0"/>
      <w:bookmarkStart w:id="1459" w:name="Tc_jksn2DQaW0e_h95JAc8Q2g_12_0"/>
      <w:bookmarkStart w:id="1460" w:name="Tc_o27qlkcXWEWpkI_7jthY9A_11_0"/>
      <w:bookmarkStart w:id="1461" w:name="Tc_em2UVZ15ZUuR6jaSQdudPA_10_0"/>
      <w:bookmarkStart w:id="1462" w:name="Tc_qtdXUD2uxEOh2ndgM3OZig_9_0"/>
      <w:bookmarkStart w:id="1463" w:name="Tc_e1GFJy74gk29HjK-dw4QRA_8_0"/>
      <w:bookmarkStart w:id="1464" w:name="Tc_80_Paizuk0usQb-iMVqQjw_7_0"/>
      <w:bookmarkStart w:id="1465" w:name="Tc_BgWC_adOEEO1k4wXJaye3w_6_0"/>
      <w:bookmarkStart w:id="1466" w:name="Tc_FTqz6wEcQEOe0hprkcowvA_5_0"/>
      <w:bookmarkStart w:id="1467" w:name="Tc_aBj9V8BMnkW7F8fj1DWVqQ_4_11"/>
      <w:bookmarkStart w:id="1468" w:name="Tc_x5KfA8q7z0e43wx-wcvwAQ_4_9"/>
      <w:bookmarkStart w:id="1469" w:name="Tc_xGyG3RMNtEKssFyXU6RmzQ_4_8"/>
      <w:bookmarkStart w:id="1470" w:name="Tc_ok4ZIdVwYEyPPGgAG4j7cw_4_6"/>
      <w:bookmarkStart w:id="1471" w:name="Tc_MGjMR7MKg0SymEo5srDcLQ_4_5"/>
      <w:bookmarkStart w:id="1472" w:name="Tc_8dLCx9if5EKa2qfDKTdMjA_4_3"/>
      <w:bookmarkStart w:id="1473" w:name="Tc_MBKeud6LXkabW1O2W4QHyw_4_2"/>
      <w:bookmarkStart w:id="1474" w:name="Tc_N_B_5lUJr0WWk3EN1MmHqA_4_0"/>
      <w:bookmarkStart w:id="1475" w:name="Tc_fnn1YPXzfk6x4oDgZKd6Gg_3_0"/>
      <w:bookmarkStart w:id="1476" w:name="Tc_SU73IP-69kW2UPTw-G2_3Q_2_11"/>
      <w:bookmarkStart w:id="1477" w:name="Tc_zWWV1hs1ykGurDEV_zIeIA_2_8"/>
      <w:bookmarkStart w:id="1478" w:name="Tc_khBZatEXkkuvYrZymY3uAQ_2_5"/>
      <w:bookmarkStart w:id="1479" w:name="Tc_pfUPbABcZkyFaGI6bkRj8g_2_2"/>
      <w:bookmarkStart w:id="1480" w:name="Tc_NoBEwXMoDkaw65-Oo5oKLQ_1_8"/>
      <w:bookmarkStart w:id="1481" w:name="Tc_z46G6BgqWEy1P8qEmaqPGA_1_2"/>
      <w:bookmarkStart w:id="1482" w:name="_e7164321_1bfd_4c6b_9263_8e34f29c375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sz w:val="20"/>
        </w:rPr>
        <w:t>In addition to the significant expense categories included within consolidated net income (loss) presented in the Company’s condensed consolidated statements of operations and comprehensive income (loss), see below for disaggregated amounts that comprise research and development expenses for the three and six months ended June 30, 2026 and 2025 (in thousands):</w:t>
      </w:r>
    </w:p>
    <w:tbl>
      <w:tblPr>
        <w:tblW w:w="9444" w:type="dxa"/>
        <w:jc w:val="left"/>
        <w:tblInd w:w="0" w:type="dxa"/>
        <w:tblLayout w:type="fixed"/>
        <w:tblCellMar>
          <w:top w:w="0" w:type="dxa"/>
          <w:left w:w="0" w:type="dxa"/>
          <w:bottom w:w="0" w:type="dxa"/>
          <w:right w:w="0" w:type="dxa"/>
        </w:tblCellMar>
      </w:tblPr>
      <w:tblGrid>
        <w:gridCol w:w="3421"/>
        <w:gridCol w:w="346"/>
        <w:gridCol w:w="211"/>
        <w:gridCol w:w="901"/>
        <w:gridCol w:w="346"/>
        <w:gridCol w:w="211"/>
        <w:gridCol w:w="901"/>
        <w:gridCol w:w="346"/>
        <w:gridCol w:w="211"/>
        <w:gridCol w:w="901"/>
        <w:gridCol w:w="346"/>
        <w:gridCol w:w="211"/>
        <w:gridCol w:w="901"/>
        <w:gridCol w:w="19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72335" cy="175260"/>
                      <wp:effectExtent l="0" t="0" r="0" b="0"/>
                      <wp:wrapNone/>
                      <wp:docPr id="278" name="Frame27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72135" cy="175260"/>
                      <wp:effectExtent l="0" t="0" r="0" b="0"/>
                      <wp:wrapNone/>
                      <wp:docPr id="281" name="Frame2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72135" cy="175260"/>
                      <wp:effectExtent l="0" t="0" r="0" b="0"/>
                      <wp:wrapNone/>
                      <wp:docPr id="284" name="Frame28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72135" cy="175260"/>
                      <wp:effectExtent l="0" t="0" r="0" b="0"/>
                      <wp:wrapNone/>
                      <wp:docPr id="287" name="Frame2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72135" cy="175260"/>
                      <wp:effectExtent l="0" t="0" r="0" b="0"/>
                      <wp:wrapNone/>
                      <wp:docPr id="290" name="Frame2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1285" cy="175260"/>
                      <wp:effectExtent l="0" t="0" r="0" b="0"/>
                      <wp:wrapNone/>
                      <wp:docPr id="291" name="Frame29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1"/>
              <w:ind w:left="0" w:right="0" w:hanging="0"/>
              <w:jc w:val="center"/>
              <w:rPr/>
            </w:pPr>
            <w:r>
              <w:rPr/>
              <w:t>​</w:t>
            </w:r>
          </w:p>
        </w:tc>
      </w:tr>
      <w:tr>
        <w:trPr/>
        <w:tc>
          <w:tcPr>
            <w:tcW w:w="34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left"/>
              <w:rPr/>
            </w:pPr>
            <w:r>
              <w:rPr/>
              <w:t> </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17,389</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20,055</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CROs, CMOs and clinical trials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131,162</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consulting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5,291</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44,479</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and overhead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10,624</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205,377</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56,745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impairment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262,122</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(242,067)</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191,299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193,864</w:t>
            </w:r>
          </w:p>
        </w:tc>
        <w:tc>
          <w:tcPr>
            <w:tcW w:w="1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(48,203)</w:t>
            </w:r>
          </w:p>
        </w:tc>
        <w:tc>
          <w:tcPr>
            <w:tcW w:w="19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8,561</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(39,642)</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83" w:name="Item2ManagementsDiscussionandAnalysisofF"/>
      <w:bookmarkStart w:id="1484" w:name="_6560e494_c974_4629_a841_afdb43167d94"/>
      <w:bookmarkEnd w:id="1483"/>
      <w:bookmarkEnd w:id="148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and the unaudited condensed consolidated financial statements and related notes included in this Quarterly Report on Form 10-Q in conjunction with the financial statements and related notes thereto as of and for the year ended December 31, 2025 and the related Management’s Discussion and Analysis of Financial Condition and Results of Operations, both of which are contained in the Annual Report on Form 10-K filed with the SEC on March 19, 2026.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Part II, Item 1A “Risk Factors” in this Quarterly Report on Form 10-Q. See also the section titled “Special Note Regarding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 stage biopharmaceutical company with an initial focus on developing our two Tyrosine Kinase 2 (“TYK2”) inhibitors: envu, a second-generation inhibitor that we are developing to maximize target inhibition and optimize tolerability, and A-005, a central nervous system (“CNS”) penetrant molecule. Envu is currently being evaluated in an ongoing Phase 2 open-label extension (“OLE”) clinical trial, as well as a Phase 3 long-term extension (“LTE”), or ONWARD3, clinical trial in patients with PsO and we plan to submit an NDA for envu in PsO to the U.S. Food and Drug Administration (“FDA”) in the fourth quarter of 2026. Envu completed enrollment in the pivotal Phase 3 ONWARD1 and ONWARD2 clinical trials in patients with PsO, and we reported positive topline results in the first quarter of 2026. In August 2026, we reported topline results from our ongoing ONWARD3 LTE trial. In addition, envu is currently being evaluated in a Phase 2 clinical trial in patients with systemic lupus erythematosus (“SLE”), for which we expect to report topline results in the third quarter of 2026. We are evaluating additional indications for envu beyond PsO and SLE, with Sjögren’s disease and cutaneous lupus erythematosus currently prioritized. In April 2024, we initiated our Phase 1 program of A-005 in healthy volunteers and reported Phase 1 results in December 2024. We plan to initiate an A-005 Phase 2 biomarker trial in Parkinson’s disease in the first half of 2027. In addition, in connection with the ACELYRIN Merger, we acquired lonigutamab, a subcutaneously delivered, monoclonal antibody targeting IGF-1R for the potential treatment of TED. In May 2026, we completed our strategic review of the lonigutamab program, and decided to pursue strategic alternatives for the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devoted substantially all of our efforts to organizing our company, hiring personnel, business planning, acquiring and developing our product candidates, performing research and development, conducting preclinical studies and clinical trials, establishing and protecting our intellectual property portfolio, raising capital, integrating the acquired ACELYRIN business and personnel, and providing general and administrative support for these activities. We do not have any products approved for sale and have not generated any revenue from product sales. We expect to continue to incur significant and increasing expenses and increasing substantial losses for the foreseeable future as we continue our development of and seek regulatory approvals for our product candidates and commercialize any approved products, seek to expand our product pipeline and invest in our expanded organization following the ACELYRIN Merger. Our ability to achieve and sustain profitability will depend on our ability to successfully develop, obtain regulatory approval for and commercialize our product candidates. There can be no assurance that we will ever achieve profitability, or if achieved, that the revenue or profitability will be sustained on a continuing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incurred significant operating losses and negative cash flows since our inception. Our net income (loss) for the three and six months ended June 30, 2026 and 2025 was $(142.2) million, $59.3 million, $(235.3) million and $(39.6) million, respectively. As of June 30, 2026, we had an accumulated deficit of $1,137.2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Substantially all of our net losses have resulted from costs incurred in connection with our research and development efforts, including acquisitions of in-process research and development assets, and, to a lesser extent, from general and administrative costs associated with our operations. Our net losses and operating losses may fluctuate from quarter to quarter and year to year depending primarily on the timing of acquisition of any new product candidates, the timing of our preclinical studies and clinical trials, our other research and development expenses, and the timing and amount of any milestone or royalty payments due under our existing or future license agreements. We have incurred and will continue to incur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our expenses will increase significantly in connection with our ongoing activities, particularly if and as we:</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continue to progress the development of our product candidates in multiple clinical trials in parallel;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prepare to submit an NDA for envu in PsO in the fourth quarter of 2026, including as we conduct activities, including CMC activities, that are required to complete our planned NDA submission;</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explore additional indications for our existing product candidates;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hire additional clinical and scientific personnel;</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obtain, maintain, expand and protect our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make royalty, milestone or other payments under the FronThera Acquisition, the Pierre Fabre Agreement, the Kaken Collaboration Agreement and any future license or collaboration agreements;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seek to identify, acquire or in-license new technologies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seek regulatory and marketing approvals for any of our product candidates that successfully complete clinical trials,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procure manufacturing and supply chain capacity for our product candidates, including commercial manufacturing readiness and scale-up;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experience any delays, challenges or other issues associated with the clinical development and regulatory approvals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operational, legal, financial and management information systems and personnel to support our product development, clinical execution and planned future commercialization efforts, as well as to support our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establish a sales, marketing and distribution infrastructure to commercialize any product candidates for which we obtain marketing approval; and</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operate as a public company.</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currently own or operate any manufacturing facility. We rely on CMOs to produce our product candidates in accordance with the FDA’s current Good Manufacturing Practices (“cGMP”) regulations for use in our clinical studies. We have entered into development and manufacturing agreements with various CMOs relating to process development, manufacturing of drug substance and drug product, and quality testing of our product candidates. We expect to rely on our CMOs in the future for the manufacturing of our product candidates in order to expedite readiness for future clinical trials. Most of these CMOs have demonstrated capability in preparation of materials for commercialization. Additionally, we may decide to build our own manufacturing facility in the future to provide us with greater flexibility and control over our clinical or commercial manufacturing needs.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Given our stage of development, we do not yet have a fully established marketing or sales organization or commercial infrastructure; however, we have begun building foundational capabilities and intend to continue expanding the necessary sales, marketing and commercialization capabilities and infrastructure over time as our product candidates advance through clinical development and regulatory approval. We expect to spend a significant amount in commercial development and marketing costs prior to obtaining regulatory and marketing approval of one or more of our product candidates.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i/>
          <w:sz w:val="20"/>
        </w:rPr>
        <w:t>Controlled Equity Offering</w:t>
      </w:r>
      <w:r>
        <w:rPr>
          <w:rFonts w:ascii="Times New Roman;Times;serif" w:hAnsi="Times New Roman;Times;serif"/>
          <w:b/>
          <w:i/>
          <w:sz w:val="15"/>
        </w:rPr>
        <w:t>SM</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March 18, 2026, we entered into the Sales Agreement with Cantor as sales agent, pursuant to which we may offer and sell, from time to time through Cantor, at our option, the ATM Shares. The ATM Shares include shares of our common stock having an aggregate offering price of up to $300.0 million. The sales of the ATM Shares will be made by any method permitted that is deemed to be an “at-the-market” equity offering as defined in Rule 415(a)(4) promulgated under the Securities Act, including sales made directly on or through the Nasdaq Global Select Market. We agreed to pay Cantor a commission of up to 3.0% of the aggregate gross proceeds from any ATM Shares sold by Cantor. As of June 30, 2026, no ATM Shares have been sold under the Sales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Public Offering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7, 2026, we entered into the Underwriting Agreement with the Underwriters, relating to the issuance and sale in a public offering of 17,650,000 shares of our common stock at a price of $17.00 per share. In addition, we granted the Underwriters an option, exercisable for 30 days, to purchase up to 2,647,500 additional shares of common stock at the public offering price, less the underwriting discounts and commissions, which was exercised in full on January 8, 2026. On January 9, 2026, the offering closed and we received net proceeds of $324.4 million, after deducting underwriting discounts and commissions.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ACELYRIN Merger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6, 2025, we entered into a Merger Agreement with ACELYRIN and Merger Sub, a Delaware corporation and a direct wholly owned subsidiary. The Merger Agreement was approved by the disinterested directors on our board of directors and the board of directors of ACELYRIN and was approved by the stockholders of each company on May 13, 2025. On May 21, 2025, we completed the ACELYRIN Merger for a purchase consideration of $238.1 million that included the issuance of 48,653,549 shares of our common stock and the fair value of replacement awards attributable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pre-combination services, to acquire net assets with a fair value of $426.0 million. See Note 3 to our unaudited condensed consolidated financial statements included in Part I, Item 1 of this Quarterly Report on Form 10-Q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results of operations include the accounts of our wholly owned subsidiaries ACELYRIN and WH2, LLC after the closing of the ACELYRIN Merger, and the accounts of Merger Sub from its incorporation in January 2025 until the ACELYRIN Merger. Accordingly, the results discussed below were impacted by the timing of the ACELYRIN Merger. WH2, LLC has not had any operations or any balances since the closing of the ACELYRIN Merger. See Note 2 to our unaudited condensed consolidated financial statements included in Part I, Item 1 of this Quarterly Report on Form 10-Q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Macroeconomic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and results of operations may be affected by worldwide economic conditions, which may continue to be impacted by global macroeconomic challenges and uncertainty in the markets,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evolving U.S. and ex-U.S. tariff landscape). Further, the United States and other countries have imposed and may continue to impose new trade restrictions and export regulations, have levied tariffs and taxes on certain goods, and could continue to significantly increase tariffs on a broad array of goods. For example, in April 2025, the U.S. government imposed a 10% baseline global tariff and in August 2025, the United States imposed higher “reciprocal” tariffs on numerous other territories, including European Union (“EU”) member states and South Korea. While the U.S. Supreme Court recently issued a ruling invalidating tariffs imposed by the Trump administration (the “Administration”) under the International Emergency Economic Powers Act, other tariffs imposed by the U.S. government remain in place, including a temporary 10% global tariff imposed by the Administration under Section 122 of the Trade Act of 1974 following the U.S. Supreme Court decision. Moreover, in 2025, the Bureau of Industry and Security, U.S. Department of Commerce, initiated an investigation under Section 232 of the Trade Expansion Act of 1962 to determine whether pharmaceutical ingredients, including finished drug product, manufactured outside the United States pose a national security risk and should be subject to additional tariffs. Based on this investigation, on April 2, 2026, the President issued a proclamation imposing up to a 100% tariff on certain patented pharmaceuticals and associated pharmaceutical ingredients, including a 15% tariff on imports from South Korea and EU member states. These tariffs will become effective September 29, 2026, unless they are “expressly reduced, modified or terminated.” With the expiration of tariffs under Section 122 of the Trade Act of 1974, on July 23, 2026, the Administration announced new tariffs ranging from 10% to 12.5% on 60 trading partners, including South Korea and the EU as part of an investigation under Section 301 of the Trade Act of 1974 that began on June 2, 2026. Given the volatility and uncertainty regarding the scope and duration of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 negatively impact our supply chain and increase our costs. The effect of macroeconomic conditions may not be fully reflected in our results of operations until future periods. Moreover, negative macroeconomic conditions could adversely impact our ability to obtain financing in the future on terms acceptable to us, or at all.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Components of Results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25, 2025, we entered into the Kaken Collaboration Agreement. Under the terms of the Kaken Collaboration Agreement, we granted to Kaken an exclusive right to develop, manufacture and commercialize envu for dermatology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indications in Japan, with options to expand the license, subject to opt-in payments and certain cost-sharing obligations on the part of Kaken, to include rheumatological and gastrointestinal diseases.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Kaken Collaboration Agreement, we are responsible for the global development of envu in the dermatology field, and Kaken is responsible for the clinical development, regulatory approvals and commercialization of envu in Japan in dermatology and other indications for which Kaken has exercised its option. Kaken is required to use commercially reasonable efforts to conduct all subsequent development, manufacture, and commercialization activities. The Kaken Collaboration Agreement further provides that we will retain rights to envu in all other indications and geographies.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2025, Kaken made an upfront, non-refundable payment of $20.0 million to us. In addition, Kaken will pay us an aggregate of $20.0 million towards global development costs of envu in the dermatology field through the end of 2026 and thereafter will pay a specified share of development costs applicable to the dermatology field, and for any field for which Kaken exercises its option, subject to Kaken's right to opt out of cost-sharing in certain indications in specified circumstances. In addition, Kaken would pay us up to an aggregate of $36.0 million upon the achievement of regulatory milestones and upon Kaken’s exercise of its field expansion options for the rheumatology and gastrointestinal fields. In addition, we are entitled to receive aggregate payments of up to ¥15.5 billion upon the achievement of commercial milestones, plus tiered royalties at percentages ranging from the low double digits into the twenties on aggregate net sales of envu in Japan.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expenses consist of (i) research and development expenses and (ii) general and administrative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external and internal costs primarily related to acquiring and developing our research pipeline and technologies and clinical development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External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associated with acquiring technology and intellectual property licenses that have no alternative future uses and costs incurred under in-license or assignment agreements, including milestone payments;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expenses incurred in connection with the discovery and preclinical development of our pipeline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incurred in connection with the clinical development of our product candidates, including under agreements with CROs, CMOs and other third parties that conduct clinical trials and manufacture clinical supplies, product candidates and components on our behalf; and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costs for third-party professional research and development consulting 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Internal costs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research and development personnel-related costs, including salaries, annual bonuses, benefits, travel </w:t>
            </w:r>
            <w:r>
              <w:rPr>
                <w:rFonts w:ascii="Times New Roman;Times;serif" w:hAnsi="Times New Roman;Times;serif"/>
                <w:b w:val="false"/>
                <w:i w:val="false"/>
                <w:caps w:val="false"/>
                <w:smallCaps w:val="false"/>
                <w:sz w:val="20"/>
              </w:rPr>
              <w:t>and meals expenses and stock-based compensation expense;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allocated facilities and other overhead costs, including software licenses, computer supplies and accessories and other miscellaneous expenses.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acquired and may continue to acquire the rights to develop and commercialize new product candidates. Upfront payments related to acquired IPR&amp;D assets are recognized as expenses when we determine that the assets acquired do not have alternative future uses. Milestone payments are accrued and expensed when the achievement of the milestone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probable up to the point of regulatory approval and, absent obtaining such approval, have no alternative future use. Milestone payments made after a product’s regulatory approval will be capitalized and amortized over the remaining useful life of the related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expense research and development costs as incurred. Acquired IPR&amp;D intangible assets recognized in a business combination are recorded as indefinite-lived intangible assets and are subject to impairment testing.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research and development prepaid expenses in our consolidated balance sheets. The capitalized amounts are recognized as expense as the goods are delivered or services are performed. Since our inception and through June 30, 2026, our external research and development expenses were primarily related to the discovery and advancement of programs under our TYK2 platform, including our two most advanced product candidates, envu and A-005. We use internal resources primarily for managing our research, process development, manufacturing and clinical development activities. In particular, with respect to internal costs, we deploy our personnel across all of our research and development activities as our employees work across multiple programs, and therefore the costs cannot be allocated to a particular product candidate or research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research and development expenses to increase substantially for the foreseeable future as we advance our product candidates into and through clinical trials, pursue regulatory approval of our product candidates, build our operational and commercial capabilities for marketing our products, if approved, and expand our pipeline of product candidates. The process of conducting the necessary clinical research to obtain regulatory approval is time-consuming, expensive and uncertain. The actual probability of success for our product candidates may be affected by a variety of factors, including the safety and efficacy of our product candidates, clinical data, investment in our clinical programs, competition, manufacturability and commercial viability. It is possible that we may never receive regulatory approval for any of our product candidates. As a result of the uncertainties discussed above, we are unable to determine the duration and completion of costs of our research and development projects or if, when and to what extent we will generate revenue from the commercialization and sale of our product candidates, if approved by the FDA and other comparable foreign regulatory authorities.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research and development costs may vary significantly based on factors such as:</w:t>
      </w:r>
    </w:p>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and progress of our preclinical and clinical development activities;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and scope of preclinical and clinical programs we decide to pursue;</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costs and timing of manufacturing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amount and timing of any milestone payment due under our FronThera Acquisition, Pierre Fabre Agreement, the Kaken Collaboration Agreement and any future license or collaboration agreements;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of patients that participate in our clinical trials, and per participant clinical trial costs;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and duration of clinical trials required for approval of our product candidates;</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of sites included in our clinical trials, and the locations of those sites;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delays or difficulties in adding trial sites and enrolling participants;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patient drop-out or discontinuation rates;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additional safety monitoring if requested by regulatory authorities;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phase of development of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receipt and terms of any approvals from applicable regulatory authorities including the FDA and comparable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maintaining a continued acceptable safety profile of our product candidates following approval, if any, of our product candidates;</w:t>
            </w:r>
          </w:p>
        </w:tc>
      </w:tr>
    </w:tbl>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the competitive outlook;</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extent to which we establish additional strategic collaborations or other arrangements; and</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impact of any business interruptions to our operations or to those of the third parties with whom we work.</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general and administrative expenses consist primarily of personnel-related costs, legal and consulting services, including those relating to intellectual property and corporate matters, marketing expenses and allocated facilities and other overhead costs, including software licenses, computer supplies, insurance and other miscellaneous expenses. Personnel-related costs include salaries, annual bonuses, benefits, travel and meal expenses and stock-based compensation expense for our general and administrative personnel.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our general and administrative expenses will increase substantially in the future as a result of expanding our operations, including hiring personnel, preparing for potential commercialization of our product candidates and facility occupancy costs. We also expect to continue incurring costs associated with being a public company, including costs related to accounting, audit, legal, consulting fees, regulatory and tax-related services associated with maintaining compliance with applicable Nasdaq and SEC requirements, additional director and officer insurance costs, and investor and public relations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 (expense) consists primarily of interest income, including amortization of premiums and accretion of discounts on marketable securities and the gain on bargain purchase.</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closing of the ACELYRIN Merger in May 2025, we recognized a gain on bargain purchase which represents the excess of fair value of net assets acquired in the ACELYRIN Merger over the purchase consideration on the Closing Date. The gain on bargain purchase was recognized as other income in the condensed consolidated statements of operations and comprehensive income (loss) as of the Closing Date of the ACELYRIN Merger. See Note 3 to our unaudited condensed consolidated financial statements in Part I, Item 1 of this Quarterly Report on Form 10-Q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and Comprehensive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our results of operations for the three and six months ended June 30, 2026 and 2025 (dollars in thousands):</w:t>
      </w:r>
    </w:p>
    <w:tbl>
      <w:tblPr>
        <w:tblW w:w="8336" w:type="dxa"/>
        <w:jc w:val="left"/>
        <w:tblInd w:w="0" w:type="dxa"/>
        <w:tblLayout w:type="fixed"/>
        <w:tblCellMar>
          <w:top w:w="0" w:type="dxa"/>
          <w:left w:w="0" w:type="dxa"/>
          <w:bottom w:w="0" w:type="dxa"/>
          <w:right w:w="0" w:type="dxa"/>
        </w:tblCellMar>
      </w:tblPr>
      <w:tblGrid>
        <w:gridCol w:w="3196"/>
        <w:gridCol w:w="346"/>
        <w:gridCol w:w="211"/>
        <w:gridCol w:w="901"/>
        <w:gridCol w:w="146"/>
        <w:gridCol w:w="211"/>
        <w:gridCol w:w="901"/>
        <w:gridCol w:w="346"/>
        <w:gridCol w:w="211"/>
        <w:gridCol w:w="901"/>
        <w:gridCol w:w="109"/>
        <w:gridCol w:w="541"/>
        <w:gridCol w:w="31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29460" cy="175260"/>
                      <wp:effectExtent l="0" t="0" r="0" b="0"/>
                      <wp:wrapNone/>
                      <wp:docPr id="292" name="Frame292"/>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2135" cy="175260"/>
                      <wp:effectExtent l="0" t="0" r="0" b="0"/>
                      <wp:wrapNone/>
                      <wp:docPr id="295" name="Frame2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2710" cy="175260"/>
                      <wp:effectExtent l="0" t="0" r="0" b="0"/>
                      <wp:wrapNone/>
                      <wp:docPr id="296" name="Frame2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72135" cy="175260"/>
                      <wp:effectExtent l="0" t="0" r="0" b="0"/>
                      <wp:wrapNone/>
                      <wp:docPr id="298" name="Frame2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72135" cy="175260"/>
                      <wp:effectExtent l="0" t="0" r="0" b="0"/>
                      <wp:wrapNone/>
                      <wp:docPr id="301" name="Frame3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3535" cy="175260"/>
                      <wp:effectExtent l="0" t="0" r="0" b="0"/>
                      <wp:wrapNone/>
                      <wp:docPr id="303" name="Frame30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0660" cy="175260"/>
                      <wp:effectExtent l="0" t="0" r="0" b="0"/>
                      <wp:wrapNone/>
                      <wp:docPr id="304" name="Frame3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  ​ ​ ​</w:t>
            </w:r>
          </w:p>
        </w:tc>
        <w:tc>
          <w:tcPr>
            <w:tcW w:w="176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1"/>
              <w:ind w:left="0" w:right="0" w:hanging="0"/>
              <w:jc w:val="center"/>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85,337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(23,418)</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(11,094)</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impairment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150,517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7,312</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(148,855)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(8,316)</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bargain purchase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(187,907)</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(186,422)</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(143,978)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(194,738)</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(6,804)</w:t>
            </w:r>
          </w:p>
        </w:tc>
        <w:tc>
          <w:tcPr>
            <w:tcW w:w="109"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(142,221)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(201,542)</w:t>
            </w:r>
          </w:p>
        </w:tc>
        <w:tc>
          <w:tcPr>
            <w:tcW w:w="109"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622" w:type="dxa"/>
        <w:jc w:val="left"/>
        <w:tblInd w:w="0" w:type="dxa"/>
        <w:tblLayout w:type="fixed"/>
        <w:tblCellMar>
          <w:top w:w="0" w:type="dxa"/>
          <w:left w:w="0" w:type="dxa"/>
          <w:bottom w:w="0" w:type="dxa"/>
          <w:right w:w="0" w:type="dxa"/>
        </w:tblCellMar>
      </w:tblPr>
      <w:tblGrid>
        <w:gridCol w:w="226"/>
        <w:gridCol w:w="139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meaningful</w:t>
            </w:r>
          </w:p>
        </w:tc>
      </w:tr>
    </w:tbl>
    <w:tbl>
      <w:tblPr>
        <w:tblW w:w="8231" w:type="dxa"/>
        <w:jc w:val="left"/>
        <w:tblInd w:w="0" w:type="dxa"/>
        <w:tblLayout w:type="fixed"/>
        <w:tblCellMar>
          <w:top w:w="0" w:type="dxa"/>
          <w:left w:w="0" w:type="dxa"/>
          <w:bottom w:w="0" w:type="dxa"/>
          <w:right w:w="0" w:type="dxa"/>
        </w:tblCellMar>
      </w:tblPr>
      <w:tblGrid>
        <w:gridCol w:w="3196"/>
        <w:gridCol w:w="346"/>
        <w:gridCol w:w="211"/>
        <w:gridCol w:w="901"/>
        <w:gridCol w:w="146"/>
        <w:gridCol w:w="211"/>
        <w:gridCol w:w="901"/>
        <w:gridCol w:w="346"/>
        <w:gridCol w:w="211"/>
        <w:gridCol w:w="901"/>
        <w:gridCol w:w="109"/>
        <w:gridCol w:w="436"/>
        <w:gridCol w:w="31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29460" cy="175260"/>
                      <wp:effectExtent l="0" t="0" r="0" b="0"/>
                      <wp:wrapNone/>
                      <wp:docPr id="305" name="Frame305"/>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72135" cy="175260"/>
                      <wp:effectExtent l="0" t="0" r="0" b="0"/>
                      <wp:wrapNone/>
                      <wp:docPr id="308" name="Frame30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92710" cy="175260"/>
                      <wp:effectExtent l="0" t="0" r="0" b="0"/>
                      <wp:wrapNone/>
                      <wp:docPr id="309" name="Frame3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72135" cy="175260"/>
                      <wp:effectExtent l="0" t="0" r="0" b="0"/>
                      <wp:wrapNone/>
                      <wp:docPr id="311" name="Frame31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72135" cy="175260"/>
                      <wp:effectExtent l="0" t="0" r="0" b="0"/>
                      <wp:wrapNone/>
                      <wp:docPr id="314" name="Frame3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76860" cy="175260"/>
                      <wp:effectExtent l="0" t="0" r="0" b="0"/>
                      <wp:wrapNone/>
                      <wp:docPr id="316" name="Frame31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0660" cy="175260"/>
                      <wp:effectExtent l="0" t="0" r="0" b="0"/>
                      <wp:wrapNone/>
                      <wp:docPr id="317" name="Frame31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  ​ ​ ​</w:t>
            </w:r>
          </w:p>
        </w:tc>
        <w:tc>
          <w:tcPr>
            <w:tcW w:w="16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1"/>
              <w:ind w:left="0" w:right="0" w:hanging="0"/>
              <w:jc w:val="center"/>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(17,389)</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(16,652)</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166,877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(38,500)</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41,966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(14,779)</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impairment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41,824</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250,667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262,122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(11,455)</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(247,264)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bargain purchase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(187,907)</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(183,631)</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(237,031)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(188,828)</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(6,804)</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(235,274)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(195,632)</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622" w:type="dxa"/>
        <w:jc w:val="left"/>
        <w:tblInd w:w="0" w:type="dxa"/>
        <w:tblLayout w:type="fixed"/>
        <w:tblCellMar>
          <w:top w:w="0" w:type="dxa"/>
          <w:left w:w="0" w:type="dxa"/>
          <w:bottom w:w="0" w:type="dxa"/>
          <w:right w:w="0" w:type="dxa"/>
        </w:tblCellMar>
      </w:tblPr>
      <w:tblGrid>
        <w:gridCol w:w="226"/>
        <w:gridCol w:w="139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meaningful</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recognized license revenue of zero for both the three months ended June 30, 2026 and 2025, and collaboration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$1.7 million and $2.7 million for the three months ended June 30, 2026 and 2025, respectively, related to the Kaken Collaboration Agreement. We recognized license revenue of zero and $17.4 million for the six months ended June 30, 2026 and 2025, respectively, and collaboration revenue of $3.4 million and $2.7 million for the six months ended June 30, 2026 and 2025, respectively, related to the Kaken Collaboration Agreement. At inception of the contract, we allocated the transaction price to the License Obligation and Development Services Obligation by allocating the transaction price based on the relative standalone selling price of each obligation. The license revenue was recognized upon the transfer of the license to Kaken in March 2025. We expect to recognize revenue under the Development Services Obligation and Manufacturing Services Obligation through the term of the Kaken Collaboration Agreement as the services are performed. See Note 8 to our unaudited condensed consolidated financial statements included in Part I, Item 1 of this Quarterly Report on Form 10-Q for additional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our external and internal research and development expenses for the three and six months ended June 30, 2026 and 2025 (dollars in thousands):</w:t>
      </w:r>
    </w:p>
    <w:tbl>
      <w:tblPr>
        <w:tblW w:w="8603" w:type="dxa"/>
        <w:jc w:val="left"/>
        <w:tblInd w:w="0" w:type="dxa"/>
        <w:tblLayout w:type="fixed"/>
        <w:tblCellMar>
          <w:top w:w="0" w:type="dxa"/>
          <w:left w:w="0" w:type="dxa"/>
          <w:bottom w:w="0" w:type="dxa"/>
          <w:right w:w="0" w:type="dxa"/>
        </w:tblCellMar>
      </w:tblPr>
      <w:tblGrid>
        <w:gridCol w:w="3421"/>
        <w:gridCol w:w="346"/>
        <w:gridCol w:w="219"/>
        <w:gridCol w:w="702"/>
        <w:gridCol w:w="359"/>
        <w:gridCol w:w="219"/>
        <w:gridCol w:w="811"/>
        <w:gridCol w:w="346"/>
        <w:gridCol w:w="211"/>
        <w:gridCol w:w="796"/>
        <w:gridCol w:w="346"/>
        <w:gridCol w:w="436"/>
        <w:gridCol w:w="391"/>
      </w:tblGrid>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9065" cy="175260"/>
                      <wp:effectExtent l="0" t="0" r="0" b="0"/>
                      <wp:wrapNone/>
                      <wp:docPr id="319" name="Frame31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45770" cy="175260"/>
                      <wp:effectExtent l="0" t="0" r="0" b="0"/>
                      <wp:wrapNone/>
                      <wp:docPr id="320" name="Frame32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7965" cy="175260"/>
                      <wp:effectExtent l="0" t="0" r="0" b="0"/>
                      <wp:wrapNone/>
                      <wp:docPr id="321" name="Frame321"/>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9065" cy="175260"/>
                      <wp:effectExtent l="0" t="0" r="0" b="0"/>
                      <wp:wrapNone/>
                      <wp:docPr id="322" name="Frame32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14985" cy="175260"/>
                      <wp:effectExtent l="0" t="0" r="0" b="0"/>
                      <wp:wrapNone/>
                      <wp:docPr id="323" name="Frame3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05460" cy="175260"/>
                      <wp:effectExtent l="0" t="0" r="0" b="0"/>
                      <wp:wrapNone/>
                      <wp:docPr id="326" name="Frame3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76860" cy="175260"/>
                      <wp:effectExtent l="0" t="0" r="0" b="0"/>
                      <wp:wrapNone/>
                      <wp:docPr id="328" name="Frame3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48285" cy="175260"/>
                      <wp:effectExtent l="0" t="0" r="0" b="0"/>
                      <wp:wrapNone/>
                      <wp:docPr id="329" name="Frame32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17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before="0" w:after="1"/>
              <w:ind w:left="0" w:right="0" w:hanging="0"/>
              <w:jc w:val="left"/>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9" w:type="dxa"/>
            <w:tcBorders/>
            <w:vAlign w:val="center"/>
          </w:tcPr>
          <w:p>
            <w:pPr>
              <w:pStyle w:val="TableContents"/>
              <w:bidi w:val="0"/>
              <w:spacing w:before="0" w:after="1"/>
              <w:ind w:left="0" w:right="0" w:hanging="0"/>
              <w:jc w:val="left"/>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1" w:type="dxa"/>
            <w:tcBorders/>
            <w:vAlign w:val="center"/>
          </w:tcPr>
          <w:p>
            <w:pPr>
              <w:pStyle w:val="TableContents"/>
              <w:bidi w:val="0"/>
              <w:spacing w:before="0" w:after="1"/>
              <w:ind w:left="0" w:right="0" w:hanging="0"/>
              <w:jc w:val="left"/>
              <w:rPr/>
            </w:pPr>
            <w:r>
              <w:rPr/>
              <w:t>  ​ ​ ​</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costs:</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  ​</w:t>
            </w:r>
          </w:p>
        </w:tc>
        <w:tc>
          <w:tcPr>
            <w:tcW w:w="359"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CROs, CMOs and clinical trials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40,437</w:t>
            </w:r>
          </w:p>
        </w:tc>
        <w:tc>
          <w:tcPr>
            <w:tcW w:w="35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(25,652)</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consulting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8,621</w:t>
            </w:r>
          </w:p>
        </w:tc>
        <w:tc>
          <w:tcPr>
            <w:tcW w:w="35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costs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3,386</w:t>
            </w:r>
          </w:p>
        </w:tc>
        <w:tc>
          <w:tcPr>
            <w:tcW w:w="35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costs: </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pPr>
            <w:r>
              <w:rPr/>
              <w:t>​</w:t>
            </w:r>
          </w:p>
        </w:tc>
        <w:tc>
          <w:tcPr>
            <w:tcW w:w="35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27,212</w:t>
            </w:r>
          </w:p>
        </w:tc>
        <w:tc>
          <w:tcPr>
            <w:tcW w:w="35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and overhead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5,681</w:t>
            </w:r>
          </w:p>
        </w:tc>
        <w:tc>
          <w:tcPr>
            <w:tcW w:w="35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85,337</w:t>
            </w:r>
          </w:p>
        </w:tc>
        <w:tc>
          <w:tcPr>
            <w:tcW w:w="359"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(23,418)</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8548" w:type="dxa"/>
        <w:jc w:val="left"/>
        <w:tblInd w:w="0" w:type="dxa"/>
        <w:tblLayout w:type="fixed"/>
        <w:tblCellMar>
          <w:top w:w="0" w:type="dxa"/>
          <w:left w:w="0" w:type="dxa"/>
          <w:bottom w:w="0" w:type="dxa"/>
          <w:right w:w="0" w:type="dxa"/>
        </w:tblCellMar>
      </w:tblPr>
      <w:tblGrid>
        <w:gridCol w:w="3421"/>
        <w:gridCol w:w="346"/>
        <w:gridCol w:w="211"/>
        <w:gridCol w:w="781"/>
        <w:gridCol w:w="346"/>
        <w:gridCol w:w="211"/>
        <w:gridCol w:w="781"/>
        <w:gridCol w:w="346"/>
        <w:gridCol w:w="211"/>
        <w:gridCol w:w="796"/>
        <w:gridCol w:w="346"/>
        <w:gridCol w:w="436"/>
        <w:gridCol w:w="316"/>
      </w:tblGrid>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2"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35" name="Frame3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05460" cy="175260"/>
                      <wp:effectExtent l="0" t="0" r="0" b="0"/>
                      <wp:wrapNone/>
                      <wp:docPr id="338" name="Frame3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76860" cy="175260"/>
                      <wp:effectExtent l="0" t="0" r="0" b="0"/>
                      <wp:wrapNone/>
                      <wp:docPr id="340" name="Frame34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0660" cy="175260"/>
                      <wp:effectExtent l="0" t="0" r="0" b="0"/>
                      <wp:wrapNone/>
                      <wp:docPr id="341" name="Frame3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7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left"/>
              <w:rPr/>
            </w:pPr>
            <w:r>
              <w:rPr/>
              <w:t> </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costs: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CROs, CMOs and clinical trials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(49,797)</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consulting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costs: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and overhead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(38,500)</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Comparison of the Three Months Ended June 30, 2026 and 2025</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expenses decreased by $23.4 million, to $85.3 million for the three months ended June 30, 2026, from $108.8 million for the three months ended June 30,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CRO, CMO and clinical trials expenses decreased by $25.7 million, to $40.4 million for the three months ended June 30, 2026, from $66.1 million for the three months ended June 30, 2025. The decrease was primarily due to lower clinical trial and CRO expenses reflecting the progression of our envu clinical program following the completion of enrollment and reporting of positive topline results for the pivotal Phase 3 ONWARD1 and ONWARD2 clinical trials in patients with PsO, partially offset by an increase in clinical trial and CRO expenses for the Phase 3 ONWARD3 clinical trial.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Professional consulting services expenses increased by $1.2 million, to $8.6 million for the three months ended June 30, 2026, from $7.4 million for the three months ended June 30, 2025. The increase was primarily due to higher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services costs incurred to support the envu clinical program, including dissemination efforts related to reporting of topline results for the pivotal Phase 3 ONWARD1 and ONWARD2 clinical trials in patients with PsO and our plan to submit an NDA in the fourth quarter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research and development costs increased by $0.4 million, to $3.4 million for the three months ended June 30, 2026, from $3.0 million for the three months ended June 30, 2025, primarily due to the timing of preclinical studies related to our development programs and research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Personnel-related costs increased by $0.4 million, to $27.2 million for the three months ended June 30, 2026, from $26.8 million for the three months ended June 30, 2025, primarily due to an increase in research and development headcount, and included an increase of $4.4 million in stock-based compensation expense driven by additional equity awards granted, partially offset by severance costs related to the ACELYRIN Merger incurred in the prior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Facilities and overhead costs increased by $0.2 million, to $5.7 million for the three months ended June 30, 2026, from $5.4 million for the three months ended June 30, 2025, primarily due to an increase in information technology costs, and facilities expenses allocated to research and development activities.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Comparison of the Six Months Ended June 30, 2026 and 2025</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expenses decreased by $38.5 million, to $166.9 million for the six months ended June 30, 2026, from $205.4 million for the six months ended June 30,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CRO, CMO and clinical trials expenses decreased by $49.8 million, to $81.4 million for the six months ended June 30, 2026, from $131.2 million for the six months ended June 30, 2025. The decrease was primarily due to lower clinical trial and CRO expenses reflecting the progression of our envu clinical program following the completion of enrollment and reporting of positive topline results for the pivotal Phase 3 ONWARD1 and ONWARD2 clinical trials in patients with PsO, partially offset by an increase in clinical trial and CRO expenses for the Phase 3 ONWARD3 clinical trial.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consulting services expenses increased by $1.6 million, to $15.4 million for the six months ended June 30, 2026, from $13.8 million for the six months ended June 30, 2025. The increase was primarily due to higher professional services costs incurred to support the envu clinical program including dissemination efforts related to reporting of topline results for the pivotal Phase 3 ONWARD1 and ONWARD2 clinical trials in patients with PsO and our plan to submit an NDA in the fourth quarter of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research and development costs increased by $0.5 million, to $5.8 million for the six months ended June 30, 2026, from $5.3 million for the six months ended June 30, 2025, primarily due to the timing of preclinical studies related to our development programs and research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Personnel-related costs increased by $8.8 million, to $53.3 million for the six months ended June 30, 2026, from $44.5 million for the six months ended June 30, 2025, primarily due to an increase in research and development headcount, and included an increase of $8.0 million in stock-based compensation expense driven by additional equity awards granted, as well as employer contributions to our 401(k) plan reflecting a matching program effective January 1, 2026, partially offset by severance costs related to the ACELYRIN Merger incurred in the prior year.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Facilities and overhead costs increased by $0.4 million, to $11.1 million for the six months ended June 30, 2026, from $10.6 million for the six months ended June 30, 2025, primarily due to an increase in facilities and information technology expenses allocated to research and development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External Costs by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external costs by program for the three and six months ended June 30, 2026 and 2025 (dollars in thousands):</w:t>
      </w:r>
    </w:p>
    <w:p>
      <w:pPr>
        <w:pStyle w:val="TextBody"/>
        <w:bidi w:val="0"/>
        <w:spacing w:before="0" w:after="240"/>
        <w:ind w:left="0" w:right="0" w:hanging="0"/>
        <w:jc w:val="both"/>
        <w:rPr/>
      </w:pPr>
      <w:r>
        <w:rPr/>
        <w:t>​</w:t>
      </w:r>
    </w:p>
    <w:tbl>
      <w:tblPr>
        <w:tblW w:w="9900" w:type="dxa"/>
        <w:jc w:val="left"/>
        <w:tblInd w:w="0" w:type="dxa"/>
        <w:tblLayout w:type="fixed"/>
        <w:tblCellMar>
          <w:top w:w="0" w:type="dxa"/>
          <w:left w:w="0" w:type="dxa"/>
          <w:bottom w:w="0" w:type="dxa"/>
          <w:right w:w="0" w:type="dxa"/>
        </w:tblCellMar>
      </w:tblPr>
      <w:tblGrid>
        <w:gridCol w:w="4666"/>
        <w:gridCol w:w="346"/>
        <w:gridCol w:w="253"/>
        <w:gridCol w:w="813"/>
        <w:gridCol w:w="175"/>
        <w:gridCol w:w="253"/>
        <w:gridCol w:w="813"/>
        <w:gridCol w:w="346"/>
        <w:gridCol w:w="211"/>
        <w:gridCol w:w="781"/>
        <w:gridCol w:w="146"/>
        <w:gridCol w:w="211"/>
        <w:gridCol w:w="88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962910" cy="175260"/>
                      <wp:effectExtent l="0" t="0" r="0" b="0"/>
                      <wp:wrapNone/>
                      <wp:docPr id="342" name="Frame342"/>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60655" cy="175260"/>
                      <wp:effectExtent l="0" t="0" r="0" b="0"/>
                      <wp:wrapNone/>
                      <wp:docPr id="344" name="Frame34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16255" cy="175260"/>
                      <wp:effectExtent l="0" t="0" r="0" b="0"/>
                      <wp:wrapNone/>
                      <wp:docPr id="345" name="Frame345"/>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11125" cy="175260"/>
                      <wp:effectExtent l="0" t="0" r="0" b="0"/>
                      <wp:wrapNone/>
                      <wp:docPr id="346" name="Frame346"/>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60655" cy="175260"/>
                      <wp:effectExtent l="0" t="0" r="0" b="0"/>
                      <wp:wrapNone/>
                      <wp:docPr id="347" name="Frame34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16255" cy="175260"/>
                      <wp:effectExtent l="0" t="0" r="0" b="0"/>
                      <wp:wrapNone/>
                      <wp:docPr id="348" name="Frame34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5935" cy="175260"/>
                      <wp:effectExtent l="0" t="0" r="0" b="0"/>
                      <wp:wrapNone/>
                      <wp:docPr id="351" name="Frame3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92710" cy="175260"/>
                      <wp:effectExtent l="0" t="0" r="0" b="0"/>
                      <wp:wrapNone/>
                      <wp:docPr id="352" name="Frame3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4" name="Frame3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5"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Envu</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44,372</w:t>
            </w:r>
          </w:p>
        </w:tc>
        <w:tc>
          <w:tcPr>
            <w:tcW w:w="175"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87,529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131,120</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A-005</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175"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6,350</w:t>
            </w:r>
          </w:p>
        </w:tc>
      </w:tr>
      <w:tr>
        <w:trPr/>
        <w:tc>
          <w:tcPr>
            <w:tcW w:w="4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and research and development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7,387</w:t>
            </w:r>
          </w:p>
        </w:tc>
        <w:tc>
          <w:tcPr>
            <w:tcW w:w="175"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13,486</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12,804</w:t>
            </w:r>
          </w:p>
        </w:tc>
      </w:tr>
      <w:tr>
        <w:trPr/>
        <w:tc>
          <w:tcPr>
            <w:tcW w:w="4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external research and development expense</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52,444</w:t>
            </w:r>
          </w:p>
        </w:tc>
        <w:tc>
          <w:tcPr>
            <w:tcW w:w="175"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102,546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150,274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our external research and development expenses were primarily related to the clinical development of the envu program and, to a lesser extent, the A-005 and other development programs, including lonigutamab, and our research pipeline.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Comparison of the Three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$11.1 million, to $23.4 million for the three months ended June 30, 2026, from $34.5 million for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Personnel-related expenses decreased by $10.6 million, to $11.0 million for the three months ended June 30, 2026, from $21.6 million for the three months ended June 30, 2025, primarily due to severance costs related to the ACELYRIN Merger incurred in the prior year, partially offset by an increase of $2.0 million in stock-based compensation expense driven by additional equity awards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consulting services expenses decreased by $1.1 million, to $11.7 million for the three months ended June 30, 2026, from $12.8 million for the three months ended June 30, 2025, primarily due to ACELYRIN Merger transaction costs incurred in the prior year and a decrease in accounting and consulting costs, partially offset by legal expenses and other costs, and an increase in market research services to support our launch preparation efforts and business development activities.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Comparison of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$14.8 million, to $42.0 million for the six months ended June 30, 2026, from $56.7 million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Personnel-related expenses decreased by $7.2 million, to $21.7 million for the six months ended June 30, 2026, from $28.9 million for the six months ended June 30, 2025, primarily due to severance costs related to the ACELYRIN Merger incurred in the prior year, partially offset by an increase in general and administrative headcount, and included an increase of $3.8 million in stock-based compensation expense driven by additional equity awards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consulting services expenses decreased by $8.2 million, to $19.0 million for the six months ended June 30, 2026, from $27.2 million for the six months ended June 30, 2025, primarily due to ACELYRIN Merger transaction costs incurred in the prior year and a decrease in accounting and consulting costs, partially offset by legal expenses and other costs, and an increase in market research services to support our launch preparation efforts and business development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Impairment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Intangible assets impairment loss was $41.8 million for the three and six months ended June 30, 2026 and related to the acquired IPR&amp;D intangible asset recognized in the ACELYRIN Merger. In May 2026, we completed its strategic review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lonigutamab program and decided to pursue strategic alternatives for the program, which resulted in an impairment assessment of the related acquired IPR&amp;D intangible asset and the recognition of an impairment loss. See Note 6 to our unaudited condensed consolidated financial statements included in Part I, Item 1 of this Quarterly Report on Form 10-Q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other income (expense), net decreased by $186.4 million, to $4.9 million for the three months ended June 30, 2026, from $191.3 million for the three months ended June 30, 2025. Total other income (expense), net decreased by $183.6 million, to $10.2 million for the six months ended June 30, 2026, from $193.9 million for the six months ended June 30,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Gain on bargain purchase was zero for the three and six months ended June 30, 2026 as compared to $187.9 million for the three and six months ended June 30, 2025, and represents the excess of fair value of net assets acquired in the ACELYRIN Merger over the purchase consideration on the Closing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increased by $1.5 million, to $4.9 million for the three months ended June 30, 2026, from $3.4 million for the three months ended June 30, 2025, primarily due to higher balances of cash equivalents and marketable securities held. Interest income increased by $4.3 million, to $10.3 million for the six months ended June 30, 2026, from $6.0 million for the six months ended June 30, 2025, primarily due to higher balances of cash equivalents and marketable securities held.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Benefit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tax benefit was $1.8 million for the three and six months ended June 30, 2026, as compared $8.6 million for the three and six months ended June 30, 2025. The income tax benefit for the three and six months ended June 30, 2026 was primarily related to the reduction of deferred tax liabilities, partially offset by an increase in valuation allowance resulting from the measurement of our acquired IPR&amp;D intangible asset at fair value in connection with an impairment assessment. The income tax benefit for the three and six months ended June 30, 2025 was related to the realization of deferred tax assets and valuation allowance release resulting from the ACELYRIN Merger.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Liquidity, Capital Resources and Capital Requirements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primarily funded our operations through the issuance of common stock, including in connection with the ACELYRIN Merger and our IPO and a concurrent private placement transaction, the issuance of redeemable convertible preferred stock and convertible promissory notes in private placements, and, most recently, the public offering of common stock which closed on January 9, 2026, as well as cash payments received under the Kaken Collaboration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our current operating plan, our existing cash, cash equivalents and marketable securities of $502.3 million as of June 30, 2026, will be sufficient to meet our operating and capital requirements for at least 12 months from the date of issuance of the unaudited condensed consolidated financial statements included in Part I Item 1 of this Quarterly Report on Form 10-Q.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 We will need to raise significant additional capital to fund ongoing research and development activities and maintain future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continuously monitor and, where necessary, may reduce our operating expenses in response to our clinical development progress and our ability and need to raise additional capital through a combination of public and private equity, debt financings, strategic alliances, and licensing arrangements. For example, should any of our ongoing trials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meet our clinical development objectives, we may scale back or discontinue related activities and reallocate our working capital to extend our ability to meet our operating and capital requirements. Our ability to access capital when needed is not assured and, if capital is not available to us when, and in the amounts, needed, on the terms which are favorable, we could be required to delay, scale back, or abandon some or all of our planned development programs and other operations, which could materially harm our business, financial condition and results of operations.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and our ability to raise additional capital may be adversely impacted by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extreme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 Accordingly, we could experience an inability to access additional capital or our liquidity could otherwise be impacted.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our products, we are unable to estimate the exact amount of our operating capital requirements. Our future funding requirements will depend on many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scope, progress and results of our preclinical studies and clinical trials for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number, scope and duration of clinical trials required for regulatory approval of our current and any future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outcome, timing and cost of seeking and obtaining regulatory approvals from the FDA and comparable foreign regulatory authorities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of manufacturing clinical and commercial supplies as well as scale up of our current and any future product candidates;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increase in the number of our employees and expansion of our physical facilities to support growth initiatives;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establish new, strategic collaborations, licensing or other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of filing and prosecuting our patent applications, and maintaining and enforcing our patents and other intellectual property rights;</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 of defending intellectual property disputes, including patent infringement actions brought by third parties against our product candidates;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of when we pay our operating expenses;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competing technological and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costs and timing of future commercialization activities, including product manufacturing, marketing, sales and distribution, for any of our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amount of revenue, if any, received from commercial sales of our product candidates, should any of our product candidates receive marketing approval;</w:t>
            </w:r>
          </w:p>
        </w:tc>
      </w:tr>
    </w:tbl>
    <w:tbl>
      <w:tblPr>
        <w:tblW w:w="9516" w:type="dxa"/>
        <w:jc w:val="left"/>
        <w:tblInd w:w="0" w:type="dxa"/>
        <w:tblLayout w:type="fixed"/>
        <w:tblCellMar>
          <w:top w:w="28" w:type="dxa"/>
          <w:left w:w="28" w:type="dxa"/>
          <w:bottom w:w="28" w:type="dxa"/>
          <w:right w:w="28"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implementation of various computerized informational systems and efforts to enhance operational systems;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costs associated with being a public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factors, including economic uncertainty and geopolitical tensions, which may exacerbate the magnitude of the factors discussed above.</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six months ended June 30, 2026 and 2025 (in thousands):</w:t>
      </w:r>
    </w:p>
    <w:p>
      <w:pPr>
        <w:pStyle w:val="TextBody"/>
        <w:bidi w:val="0"/>
        <w:spacing w:before="0" w:after="240"/>
        <w:ind w:left="0" w:right="0" w:hanging="0"/>
        <w:jc w:val="both"/>
        <w:rPr/>
      </w:pPr>
      <w:r>
        <w:rPr/>
        <w:t>​</w:t>
      </w:r>
    </w:p>
    <w:tbl>
      <w:tblPr>
        <w:tblW w:w="7502" w:type="dxa"/>
        <w:jc w:val="left"/>
        <w:tblInd w:w="0" w:type="dxa"/>
        <w:tblLayout w:type="fixed"/>
        <w:tblCellMar>
          <w:top w:w="0" w:type="dxa"/>
          <w:left w:w="0" w:type="dxa"/>
          <w:bottom w:w="0" w:type="dxa"/>
          <w:right w:w="0" w:type="dxa"/>
        </w:tblCellMar>
      </w:tblPr>
      <w:tblGrid>
        <w:gridCol w:w="4741"/>
        <w:gridCol w:w="146"/>
        <w:gridCol w:w="211"/>
        <w:gridCol w:w="901"/>
        <w:gridCol w:w="346"/>
        <w:gridCol w:w="211"/>
        <w:gridCol w:w="94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010535" cy="175260"/>
                      <wp:effectExtent l="0" t="0" r="0" b="0"/>
                      <wp:wrapNone/>
                      <wp:docPr id="355" name="Frame35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92710" cy="175260"/>
                      <wp:effectExtent l="0" t="0" r="0" b="0"/>
                      <wp:wrapNone/>
                      <wp:docPr id="356" name="Frame3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72135" cy="175260"/>
                      <wp:effectExtent l="0" t="0" r="0" b="0"/>
                      <wp:wrapNone/>
                      <wp:docPr id="358" name="Frame35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00710" cy="175260"/>
                      <wp:effectExtent l="0" t="0" r="0" b="0"/>
                      <wp:wrapNone/>
                      <wp:docPr id="361" name="Frame3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7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(186,707)</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(used in) provided by investing activities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168,828</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provided by financing activities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359,616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(17,130)</w:t>
            </w:r>
          </w:p>
        </w:tc>
      </w:tr>
    </w:tbl>
    <w:p>
      <w:pPr>
        <w:pStyle w:val="TextBody"/>
        <w:bidi w:val="0"/>
        <w:spacing w:before="200" w:after="20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was $168.6 million and $186.7 million for the six months ended June 30, 2026 and 2025, respectively.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included net income (loss) of $(235.3) million and changes in operating assets and liabilities of $1.0 million, partially offset by non-cash items totaling $67.7 million. Non-cash items included $41.8 million related to intangible assets impairment loss, $26.6 million related to stock-based compensation expense, $1.7 million related to depreciation and amortization, $1.1 million related to non-cash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expense and $0.4 million related to impairment of long-lived assets, partially offset by $4.0 million related to net accretion of discounts on marketable securities. The changes in operating assets and liabilities included a decrease of $5.9 million in other accrued expenses and current liabilities, a decrease of $2.3 million in operating lease liabilities, a decrease of $1.8 million in deferred tax liability and an increase of $1.5 million in research and development prepaid expenses, partially offset by a decrease of $4.4 million in other assets, non-current, an increase of $2.7 million in accounts payable, an increase of $2.6 million in deferred revenue and an increase of $0.8 million in research and development accrued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was due to our net income (loss) for the period of $(39.6) million and non-cash items totaling $162.1 million partially offset by changes in operating assets and liabilities of $15.0 million. Non-cash items included $187.9 million related to gain on bargain purchase in connection with the ACELYRIN Merger and net accretion of discounts on marketable securities of $2.2 million, partially offset by $25.6 million related to stock-based compensation expense, $1.7 million related to depreciation and amortization and $0.6 million related to non-cash lease expense. The changes in operating assets and liabilities included an increase of $11.0 million in research and development accrued expenses, a decrease of $7.4 million in research and development prepaid expenses, an increase of $6.5 million in other accrued expenses and current liabilities, an increase of $2.6 million in deferred revenue, an increase of $0.2 million in other liabilities, non-current, and a decrease of $0.1 million in other prepaid expenses and other assets, partially offset by a decrease of $8.6 million in deferred income tax liability, an increase of $1.7 million in other assets, non-current, a decrease of $1.3 million in operating lease liabilities and a decrease of $1.2 million in accounts payable.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of $217.0 million was related to purchases of marketable securities of $468.1 million and purchases of property and equipment of $0.4 million, partially offset by proceeds from maturities of marketable securities of $251.5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for the six months ended June 30, 2025 of $168.8 million was related to proceeds from maturities of marketable securities of $144.3 million and cash, cash equivalents and restricted cash acquired in connection with the ACELYRIN Merger of $49.7 million, partially offset by purchases of marketable securities of $24.5 million and purchases of property and equipment of $0.7 million.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2026 of $359.6 million was related to proceeds from public offering of common stock, net of underwriting discounts, commissions and offering costs of $323.8 million, proceeds of common stock upon exercise of stock options of $34.2 million and proceeds of common stock under the 2024 ESPP of $1.6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2025 of $0.8 million was primarily related to proceeds from the issuance of common stock under the 2024 ESPP.</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operating lease arrangements for office and laboratory space in South San Francisco, California and office space in Southern California. As of June 30, 2026, we had total undiscounted lease payment obligations under non-cancelable leases of $50.8 million, including $4.3 million payable through December 31, 2026. See Note 10 to our unaudited condensed consolidated financial statements included in Part I, Item 1 of this Quarterly Report on Form 10-Q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FronThera Contingent Consideration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5, 2021, we entered into the FronThera Acquisition, and the transaction was accounted for as an asset acquisition. Under the stock purchase agreement, we are obligated to pay contingent consideration of up to an aggregate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of $120.0 million based on the achievement of specified clinical and approval milestones, including receipt of first commercialization approval in the United States or certain other jurisdictions, of up to an aggregate of $70.0 million payable for clinical milestones, and of up to an aggregate of $50.0 million payable for approval milestones, all related to technology acquired under the agreement. In the year ended December 31, 2022, we incurred and made a $37.0 million milestone payment for the first administration of envu to a patient enrolled in a Phase 2 clinical trial of envu. In July 2024, we met a milestone in connection with the first administration of envu to a patient enrolled in a Phase 3 clinical trial of envu and made a $23.0 million milestone payment in August 2024. No additional milestones were achieved or were probable of being achieved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License and Commercialization Agreement with Pierre Fabre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ACELYRIN Merger, we became the successor to ACELYRIN’s rights and obligations under the Pierre Fabre Agreement. We received certain exclusive worldwide licenses with the right to sublicense certain patents, know-how and other intellectual property to develop, manufacture, use and commercialize lonigutamab for non-oncology therapeutic indications. The license from Pierre Fabre extends to any product containing lonigutamab (excluding any fragments or derivatives) as its sole active ingredient (each, a “PF Licensed Product”). The Pierre Fabre Agreement prohibits us from using the licensed intellectual property in any antibody drug conjugate, multi-specific antibodies or any other derivatives of lonigutamab.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obligated to (i) make payments of up to $100.5 million upon the achievement of various development and regulatory milestones, (ii) make milestone payments of up to $390.0 million upon the achievement of certain commercial milestones, and (iii) pay tiered royalties in the high single-digit to low-teen percentages to Pierre Fabre on worldwide net sales in a given calendar year. Royalties will be payable for each PF Licensed Product in a given country during a period commencing upon the first commercial sale of such PF Licensed Product in such country and continuing until the latest of (a) 10 years after such first commercial sale, (b) expiration of last-to-expire valid claim in a licensed patent in such country and (c) expiration of regulatory exclusivity for such PF Licensed Product in such country. In the event we enter into a sublicense with a third party, we must also share with Pierre Fabre a percentage of any revenues from option fees, upfront payments, license maintenance fees, milestone payments or the like generated from the sublicense. Such percentage may be between the high single-digits to the low thirties based on which stage of development of a PF Licensed Product the sublicense relates 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earlier terminated, the Pierre Fabre Agreement will continue on a PF Licensed Product-by-PF Licensed Product and country-by-country basis until there are no more royalty payments owed to Pierre Fabre on any PF Licensed Product thereunder. Either party may terminate the Pierre Fabre Agreement upon an uncured material breach, or upon the bankruptcy or insolvency of the other party. Pierre Fabre may also terminate the agreement if we or any of our affiliates institutes a patent challenge against the licensed patents from Pierre Fabre. We may also terminate the Pierre Fabre Agreement with or without cause upon nine months’ prior written notice, so long as there is no ongoing clinical trial for any PF Licensed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milestones were achieved or were probable of being achieved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enter into contracts in the normal course of business with suppliers, CROs, CMOs and clinical trial sites. Upon the closing of the ACELYRIN Merger, we became the successor to contracts with non-cancellable obligations under ACELYRIN contracts. The total value of non-cancellable obligations under contracts was $0.6 million as of June 30, 2026. This presentation of non-cancellable purchase obligations does not include any estimates of potential reduction of such liabilities related to mitigation obligations of the counterparties in the event of cancellation under the terms of our engagements.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results of operations or cash flows is disclosed in Note 2 to our unaudited condensed consolidated financial statements included in Part I, Item 1 of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Our management’s discussion and analysis of our financial condition and results of operations is based on our financial statements, which have been prepared in accordance with U.S. GAAP. The preparation of these unaudited condensed consolidated financial statements requires us to make estimates and assumptions that affect the reported amounts of assets and liabilities, the disclosure of contingent assets and liabilities at the date of the financial statements, and the reported expenses during the reporting period. Our critical accounting policies are described under the heading “Management’s Discussion and Analysis of Financial Condition and Results of Operations—Critical Accounting Policies and Significant Judgments and Estimates” in the Annual Report on Form 10-K filed with the SEC on March 19, 2026. If actual results or events differ materially from the estimates and assumptions used by us in applying these policies, our reported financial condition and results of operations could be materially affected. There have been no material changes to our critical accounting policies from those described in the Annual Report on Form 10-K for the year ended December 31, 2025. </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an emerging growth company can take advantage of the extended transition period for complying with new or revised accounting standards and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Subject to certain conditions, as an emerging growth company, we may rely on certain of these exemptions, including without limitation exemptions to the requirements for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(A) following the fifth anniversary of the completion of our IPO, (B) in which we have total annual gross revenues of at least $1.235 billion or (C) in which we are deemed to be a “large accelerated filer” under the rules of the SEC, which means the market value of our common stock and non-voting common stock that is held by non-affiliates exceeds $700.0 million as of the prior June 30th, or </w:t>
      </w:r>
      <w:r>
        <w:rPr>
          <w:rFonts w:ascii="Times New Roman;Times;serif" w:hAnsi="Times New Roman;Times;serif"/>
          <w:color w:val="231F20"/>
          <w:sz w:val="20"/>
        </w:rPr>
        <w:t>(b) the date on which we have issued more than $1.0 billion in non-convertible debt during the prior three-year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a “smaller reporting company,” as defined in Rule 12b-2 of the Exchange Act, meaning that the market value of our common stock and non-voting common stock held by non-affiliates was less than $250.0 million as of June 30, 2025. We may continue to be a smaller reporting company if either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pStyle w:val="TextBody"/>
        <w:bidi w:val="0"/>
        <w:spacing w:before="0" w:after="240"/>
        <w:ind w:left="0" w:right="0" w:hanging="0"/>
        <w:jc w:val="both"/>
        <w:rPr/>
      </w:pPr>
      <w:r>
        <w:rPr/>
        <w:t>​</w:t>
      </w:r>
    </w:p>
    <w:p>
      <w:pPr>
        <w:pStyle w:val="TextBody"/>
        <w:pBdr/>
        <w:bidi w:val="0"/>
        <w:spacing w:before="0" w:after="240"/>
        <w:ind w:left="0" w:right="0" w:hanging="0"/>
        <w:jc w:val="left"/>
        <w:rPr>
          <w:rFonts w:ascii="Times New Roman;Times;serif" w:hAnsi="Times New Roman;Times;serif"/>
          <w:b/>
          <w:sz w:val="20"/>
        </w:rPr>
      </w:pPr>
      <w:bookmarkStart w:id="1485" w:name="Item3QuantitativeandQualitativeDisclosur"/>
      <w:bookmarkStart w:id="1486" w:name="_03343194_d61e_497e_adf9_6df6991f3953"/>
      <w:bookmarkEnd w:id="1485"/>
      <w:bookmarkEnd w:id="1486"/>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primary objectives of our investment activities are to ensure liquidity and to preserve capital. We are exposed to market risks related to changes in interest rates of our cash equivalents and marketable securities. However, due to the nature of these cash equivalents and marketable securities, we do not believe that a hypothetical 10% increase or decrease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interest rates during any of the periods presented would have had a material effect on our unaudited condensed consolidated financial statements included in Part I, Item 1 of this Quarterly Report on Form 10-Q.</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of our employees and our operations are currently located in the United States, and our expenses are generally denominated in U.S. dollars. However, we do utilize certain CRO and CMO vendors outside of the United States for our clinical trials and product development and manufacturing.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unaudited condensed consolidated financial statements included in Part I, Item 1 of this Quarterly Report on Form 10-Q.</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Effects of Inflation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 generally affects us by increasing our cost of labor and research and development costs. We do not believe that inflation had a material effect on our business, results of operations, or financial condition, or on our unaudited condensed consolidated financial statements included in Part I, Item 1 of this Quarterly Report on Form 10-Q.</w:t>
      </w:r>
    </w:p>
    <w:p>
      <w:pPr>
        <w:pStyle w:val="TextBody"/>
        <w:pBdr/>
        <w:bidi w:val="0"/>
        <w:spacing w:before="0" w:after="240"/>
        <w:ind w:left="0" w:right="0" w:hanging="0"/>
        <w:jc w:val="left"/>
        <w:rPr>
          <w:rFonts w:ascii="Times New Roman;Times;serif" w:hAnsi="Times New Roman;Times;serif"/>
          <w:b/>
          <w:sz w:val="20"/>
        </w:rPr>
      </w:pPr>
      <w:bookmarkStart w:id="1487" w:name="Item4ControlsandProcedures_994190"/>
      <w:bookmarkStart w:id="1488" w:name="_5880d6ef_36f1_4d22_8589_51dbf568a611"/>
      <w:bookmarkEnd w:id="1487"/>
      <w:bookmarkEnd w:id="1488"/>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management, with the participation and supervision of our Chief Executive Officer and our Chief Financial Officer, have evaluated our disclosure controls and procedures as defined in Rules 13a-15(e) and 15d-15(e) under the Exchange Act. Based on that evaluation, our Chief Executive Officer and our Chief Financial Officer have concluded that, as of June 30,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Limitations on the Effectiveness of Controls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center"/>
        <w:rPr>
          <w:rFonts w:ascii="Times New Roman;Times;serif" w:hAnsi="Times New Roman;Times;serif"/>
          <w:b/>
          <w:sz w:val="20"/>
        </w:rPr>
      </w:pPr>
      <w:bookmarkStart w:id="1489" w:name="PARTIIOTHERINFORMATION_833435"/>
      <w:bookmarkStart w:id="1490" w:name="_9d38031e_633b_4ddf_844f_50dfa077ab0e"/>
      <w:bookmarkEnd w:id="1489"/>
      <w:bookmarkEnd w:id="149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491" w:name="Item1LegalProceedings_706415"/>
      <w:bookmarkEnd w:id="1491"/>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15, 2023, a purported federal securities class action lawsuit was commenced in the United States District Court for the Central District of California. On February 15, 2024, the Court appointed joint lead plaintiffs and lead counsel. An amended complaint was filed on March 26, 2024 (Boukadoum v. Acelyrin, Inc. et al., No. 2:23-cv-09672-FMO-MAA), naming ACELYRIN and then-current and former executive officers and directors as defendants. The complaint alleges that the defendants violated the Exchange Act and Securities Act by misleading investors about the Phase 2b trial of izokibep in hidradenitis suppurativa. The original complaint was filed following ACELYRIN’s announcement of the week 16 results from the Part B portion of such Phase 2b trial. The amended complaint seeks damages and an award of reasonable costs and expenses, including attorneys’ fees, expert fees and other costs,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 It is possible that additional suits will be filed, or allegations made by stockholders, with respect to these same or other matters and also naming us and/or our officers and directors as defendants. This lawsuit and any other potential lawsuits are subject to inherent uncertainties, and the actual defense and disposition costs will depend upon many unknown factors. We could be forced to expend significant resources in the defense against this and any other related lawsuits and we may not prevail.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additional legal proceedings arising in the ordinary course of business. Regardless of outcome, such proceedings or claims can have an adverse impact on us because of defense and settlement costs, diversion of resources, negative publicity, reputational harm and other factors, and there can be no assurances that favorable outcomes will be obtained.</w:t>
      </w:r>
    </w:p>
    <w:p>
      <w:pPr>
        <w:pStyle w:val="TextBody"/>
        <w:bidi w:val="0"/>
        <w:spacing w:before="0" w:after="240"/>
        <w:ind w:left="0" w:right="0" w:hanging="0"/>
        <w:jc w:val="left"/>
        <w:rPr>
          <w:rFonts w:ascii="Times New Roman;Times;serif" w:hAnsi="Times New Roman;Times;serif"/>
          <w:b/>
          <w:sz w:val="20"/>
        </w:rPr>
      </w:pPr>
      <w:bookmarkStart w:id="1492" w:name="Item1ARiskFactors_693312"/>
      <w:bookmarkStart w:id="1493" w:name="_ccd7a62a_1cf0_4289_814d_57f3c359e193"/>
      <w:bookmarkEnd w:id="1492"/>
      <w:bookmarkEnd w:id="1493"/>
      <w:r>
        <w:rPr>
          <w:rFonts w:ascii="Times New Roman;Times;serif" w:hAnsi="Times New Roman;Times;serif"/>
          <w:b/>
          <w:sz w:val="20"/>
        </w:rPr>
        <w:t>Item 1A. Risk Factors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Risk Factors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in our common stock involves a high degree of risk. Before deciding to invest in shares of our common stock, you should carefully consider the risks described below, together with the other information contained in this Quarterly Report on Form 10-Q, including our unaudited condensed consolidated financial statements and the related notes and the section titled “Management’s Discussion and Analysis of Financial Condition and Results of Operations” included elsewhere in this Quarterly Report on Form 10-Q. We cannot assure you that any of the events discussed below will not occur. These events could adversely impact our business, financial condition, results of operations and prospects. If that were to happen, the trading price of our common stock could decline, and you could lose all or part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Enrollment and retention of participants in clinical trials is an expensive and time-consuming process and could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 made more difficult or rendered impossible by multiple factors outside our control, including difficulties in identifying patients, the availability of competitive products and significant competition for recruiting participants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will require substantial additional financing to achieve our goals, and failure to obtain additional capital when needed, or on acceptable terms to us, could cause us to delay, limit, reduce or terminate our product development or future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clinical trials may reveal serious adverse events (“SAEs”) and significant adverse events (“AEs”) and may result in a safety or tolerability profile that could delay or prevent regulatory approval or market acceptance of envu, A-005 or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and/or candidates under development in our current indications.</w:t>
            </w:r>
          </w:p>
        </w:tc>
      </w:tr>
    </w:tbl>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40"/>
              <w:ind w:left="0" w:right="0" w:hanging="0"/>
              <w:jc w:val="left"/>
              <w:rPr>
                <w:color w:val="231F20"/>
              </w:rPr>
            </w:pPr>
            <w:r>
              <w:rPr>
                <w:color w:val="231F20"/>
              </w:rPr>
              <w:t>​</w:t>
            </w:r>
          </w:p>
          <w:p>
            <w:pPr>
              <w:pStyle w:val="TableContents"/>
              <w:bidi w:val="0"/>
              <w:spacing w:before="0" w:after="240"/>
              <w:ind w:left="0" w:right="0" w:hanging="0"/>
              <w:jc w:val="left"/>
              <w:rPr>
                <w:color w:val="231F20"/>
              </w:rPr>
            </w:pPr>
            <w:r>
              <w:rPr>
                <w:color w:val="231F20"/>
              </w:rPr>
              <w:t>​</w:t>
            </w:r>
          </w:p>
          <w:p>
            <w:pPr>
              <w:pStyle w:val="TableContents"/>
              <w:bidi w:val="0"/>
              <w:spacing w:before="0" w:after="240"/>
              <w:ind w:left="0" w:right="0" w:hanging="0"/>
              <w:jc w:val="left"/>
              <w:rPr>
                <w:color w:val="231F20"/>
              </w:rPr>
            </w:pPr>
            <w:r>
              <w:rPr>
                <w:color w:val="231F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business is highly dependent on the success of our most advanced product candidate, envu, and we cannot guarantee that envu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are dependent on the services of our management team and other clinical and scientific personnel, and if we are not able to retain these individuals or recruit additional management or clinical and scientific personnel, our business will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cannot ensure that patent rights relating to inventions described and claimed in our or any current or future licensors’ and licensees’ pending patent applications will issue or that patents based on our or any current or future licensors’ and licensees’ patent applications will not be challenged and rendered invalid and/or unenforceable.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and may continue to form or seek collaborations or strategic alliances or enter into licensing arrangements in the future, and we may neither enter into, nor realize the benefits of, such alliances or licensing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Even if we receive regulatory approval for our product candidates, we will be subject to ongoing regulatory obligations and continued regulatory review, which may result in significant additional expense. Additionally,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product candidates, if approved, could be subject to labeling and other restrictions and market withdrawal. We may also be subject to penalties if we fail to comply with regulatory requirements or experience unanticipated problems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We and the third parties with whom we work are subject to stringent and evolving U.S. and foreign laws, regulations, rules, contractual obligations, policies and other obligations related to data privacy and security. Our (including the third parties with whom we work)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have conflicts with any current or future licensors, licensees, collaborators or strategic partners that could delay or prevent the development or commercialization of our product candidates.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pacing w:val="-4"/>
          <w:sz w:val="20"/>
        </w:rPr>
        <w:t>Risks Related to Our Financial Position and Need for Capital</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clinical stage biopharmaceutical company with a limited operating history on which to base your investment decision. We have no product candidates approved for commercial sale and have not generated any revenue. Biopharmaceutical product development is a highly speculative undertaking. It entails substantial upfront capital expenditures and significant risk that any product candidate will fail to demonstrate adequate efficacy or an acceptable safety profile, gain regulatory approval or become commercially viable.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most advanced candidate is envu, an oral, small molecule allosteric inhibitor of TYK2. We are currently conducting a Phase 2 open-label extension trial, as well as a Phase 3 LTE trial of envu in PsO and a Phase 2b clinical trial of envu in SLE. In addition, we are advancing A-005, an investigational CNS penetrant allosteric inhibitor of TYK2 that has a potential application in multiple sclerosis and other neuroinflammatory and neurodegenerative diseases, currently in Phase 1 clinical development. Our ability to achieve profitability in the future is dependent upon obtaining regulatory approval for and successfully commercializing our most advanced candidate, envu, either alone or with third parties. However, our operations may not be profitable even if envu is successfully developed, approved and thereafter commercialized.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and will continue to incur significant development and other expenses related to our research and clinical development programs and ongoing operations. For the three and six months ended June 30, 2026 and 2025, we incurred net income (loss) of $(142.2) million, $59.3 million, $(235.3) million and $(39.6) million, respectively. As of June 30, 2026, we had an accumulated deficit of $1,137.2 million. Substantially all of our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continue our development of our product candidates. </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We anticipate that our expenses will increase substantially if, and as, we: </w:t>
      </w:r>
    </w:p>
    <w:tbl>
      <w:tblPr>
        <w:tblW w:w="8314" w:type="dxa"/>
        <w:jc w:val="left"/>
        <w:tblInd w:w="0" w:type="dxa"/>
        <w:tblLayout w:type="fixed"/>
        <w:tblCellMar>
          <w:top w:w="28" w:type="dxa"/>
          <w:left w:w="28" w:type="dxa"/>
          <w:bottom w:w="28" w:type="dxa"/>
          <w:right w:w="28" w:type="dxa"/>
        </w:tblCellMar>
      </w:tblPr>
      <w:tblGrid>
        <w:gridCol w:w="124"/>
        <w:gridCol w:w="256"/>
        <w:gridCol w:w="793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conduct preclinical studies and clinical trials for envu, A-005 and potential future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identify additional product candidates and acquire rights from third parties to those product candidates through licenses or other acquisitions, and conduct development activities, including preclinical studies and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procure the manufacturing of preclinical, clinical and commercial supply of our current and future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18" w:type="dxa"/>
        <w:jc w:val="left"/>
        <w:tblInd w:w="0" w:type="dxa"/>
        <w:tblLayout w:type="fixed"/>
        <w:tblCellMar>
          <w:top w:w="28" w:type="dxa"/>
          <w:left w:w="28" w:type="dxa"/>
          <w:bottom w:w="28" w:type="dxa"/>
          <w:right w:w="28" w:type="dxa"/>
        </w:tblCellMar>
      </w:tblPr>
      <w:tblGrid>
        <w:gridCol w:w="124"/>
        <w:gridCol w:w="256"/>
        <w:gridCol w:w="743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seek regulatory approvals for our product candidates or any future product candidates; </w:t>
            </w:r>
          </w:p>
        </w:tc>
      </w:tr>
    </w:tbl>
    <w:tbl>
      <w:tblPr>
        <w:tblW w:w="8303" w:type="dxa"/>
        <w:jc w:val="left"/>
        <w:tblInd w:w="0" w:type="dxa"/>
        <w:tblLayout w:type="fixed"/>
        <w:tblCellMar>
          <w:top w:w="28" w:type="dxa"/>
          <w:left w:w="28" w:type="dxa"/>
          <w:bottom w:w="28" w:type="dxa"/>
          <w:right w:w="28" w:type="dxa"/>
        </w:tblCellMar>
      </w:tblPr>
      <w:tblGrid>
        <w:gridCol w:w="124"/>
        <w:gridCol w:w="256"/>
        <w:gridCol w:w="792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commercialize our current product candidates or any future product candidates, if approved;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take steps toward our goal of being an integrated biopharma company capable of supporting commercial activities, including establishing sales, marketing and distribution infrastructure; </w:t>
            </w:r>
          </w:p>
        </w:tc>
      </w:tr>
    </w:tbl>
    <w:tbl>
      <w:tblPr>
        <w:tblW w:w="8184" w:type="dxa"/>
        <w:jc w:val="left"/>
        <w:tblInd w:w="0" w:type="dxa"/>
        <w:tblLayout w:type="fixed"/>
        <w:tblCellMar>
          <w:top w:w="28" w:type="dxa"/>
          <w:left w:w="28" w:type="dxa"/>
          <w:bottom w:w="28" w:type="dxa"/>
          <w:right w:w="28" w:type="dxa"/>
        </w:tblCellMar>
      </w:tblPr>
      <w:tblGrid>
        <w:gridCol w:w="124"/>
        <w:gridCol w:w="256"/>
        <w:gridCol w:w="78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4"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attract, hire and retain qualified clinical, scientific, operations and management personnel; </w:t>
            </w:r>
          </w:p>
        </w:tc>
      </w:tr>
    </w:tbl>
    <w:tbl>
      <w:tblPr>
        <w:tblW w:w="7168" w:type="dxa"/>
        <w:jc w:val="left"/>
        <w:tblInd w:w="0" w:type="dxa"/>
        <w:tblLayout w:type="fixed"/>
        <w:tblCellMar>
          <w:top w:w="28" w:type="dxa"/>
          <w:left w:w="28" w:type="dxa"/>
          <w:bottom w:w="28" w:type="dxa"/>
          <w:right w:w="28" w:type="dxa"/>
        </w:tblCellMar>
      </w:tblPr>
      <w:tblGrid>
        <w:gridCol w:w="124"/>
        <w:gridCol w:w="256"/>
        <w:gridCol w:w="678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add and maintain operational, financial and information management systems; </w:t>
            </w:r>
          </w:p>
        </w:tc>
      </w:tr>
    </w:tbl>
    <w:tbl>
      <w:tblPr>
        <w:tblW w:w="7736" w:type="dxa"/>
        <w:jc w:val="left"/>
        <w:tblInd w:w="0" w:type="dxa"/>
        <w:tblLayout w:type="fixed"/>
        <w:tblCellMar>
          <w:top w:w="28" w:type="dxa"/>
          <w:left w:w="28" w:type="dxa"/>
          <w:bottom w:w="28" w:type="dxa"/>
          <w:right w:w="28" w:type="dxa"/>
        </w:tblCellMar>
      </w:tblPr>
      <w:tblGrid>
        <w:gridCol w:w="124"/>
        <w:gridCol w:w="256"/>
        <w:gridCol w:w="7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protect, maintain, enforce and defend our rights in our intellectual property portfolio; </w:t>
            </w:r>
          </w:p>
        </w:tc>
      </w:tr>
    </w:tbl>
    <w:tbl>
      <w:tblPr>
        <w:tblW w:w="8838" w:type="dxa"/>
        <w:jc w:val="left"/>
        <w:tblInd w:w="0" w:type="dxa"/>
        <w:tblLayout w:type="fixed"/>
        <w:tblCellMar>
          <w:top w:w="28" w:type="dxa"/>
          <w:left w:w="28" w:type="dxa"/>
          <w:bottom w:w="28" w:type="dxa"/>
          <w:right w:w="28" w:type="dxa"/>
        </w:tblCellMar>
      </w:tblPr>
      <w:tblGrid>
        <w:gridCol w:w="124"/>
        <w:gridCol w:w="256"/>
        <w:gridCol w:w="845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defend against third-party interference, infringement and other intellectual property claims, if any; </w:t>
            </w:r>
          </w:p>
        </w:tc>
      </w:tr>
    </w:tbl>
    <w:tbl>
      <w:tblPr>
        <w:tblW w:w="5529" w:type="dxa"/>
        <w:jc w:val="left"/>
        <w:tblInd w:w="0" w:type="dxa"/>
        <w:tblLayout w:type="fixed"/>
        <w:tblCellMar>
          <w:top w:w="28" w:type="dxa"/>
          <w:left w:w="28" w:type="dxa"/>
          <w:bottom w:w="28" w:type="dxa"/>
          <w:right w:w="28" w:type="dxa"/>
        </w:tblCellMar>
      </w:tblPr>
      <w:tblGrid>
        <w:gridCol w:w="124"/>
        <w:gridCol w:w="256"/>
        <w:gridCol w:w="514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address any competing therapies and market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experience any delays in our preclinical studies or clinical trials and seeking regulatory approval for our product candidates due to public health concerns, macroeconomic conditions or geopolitical conflicts; and</w:t>
            </w:r>
          </w:p>
        </w:tc>
      </w:tr>
    </w:tbl>
    <w:tbl>
      <w:tblPr>
        <w:tblW w:w="5435" w:type="dxa"/>
        <w:jc w:val="left"/>
        <w:tblInd w:w="0" w:type="dxa"/>
        <w:tblLayout w:type="fixed"/>
        <w:tblCellMar>
          <w:top w:w="28" w:type="dxa"/>
          <w:left w:w="28" w:type="dxa"/>
          <w:bottom w:w="28" w:type="dxa"/>
          <w:right w:w="28" w:type="dxa"/>
        </w:tblCellMar>
      </w:tblPr>
      <w:tblGrid>
        <w:gridCol w:w="124"/>
        <w:gridCol w:w="256"/>
        <w:gridCol w:w="505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incur costs associated with operating as a public company.</w:t>
            </w:r>
          </w:p>
        </w:tc>
      </w:tr>
    </w:tbl>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Even if we succeed in commercializing one or more product candidates, we expect to incur substantial development costs and other expenditures to develop and market additional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and our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pacing w:val="4"/>
          <w:sz w:val="20"/>
        </w:rPr>
        <w:t xml:space="preserve">We could also encounter delays if a clinical trial is suspended, put on clinical hold or terminated by us, the </w:t>
      </w:r>
      <w:r>
        <w:rPr>
          <w:rFonts w:ascii="Times New Roman;Times;serif" w:hAnsi="Times New Roman;Times;serif"/>
          <w:sz w:val="20"/>
        </w:rPr>
        <w:t>institutional</w:t>
      </w:r>
      <w:r>
        <w:rPr>
          <w:rFonts w:ascii="Times New Roman;Times;serif" w:hAnsi="Times New Roman;Times;serif"/>
          <w:spacing w:val="4"/>
          <w:sz w:val="20"/>
        </w:rPr>
        <w:t xml:space="preserve"> review boards (“IRBs”) or ethics committees of the institutions in which such trials are being conducted, the FDA or other comparable foreign regulatory authorities, or if a clinical trial is recommended for suspension or termination by the Data Safety Monitoring Board for such trial. A suspension, clinical hold or termination may be imposed due to a number of factors, including failure to conduct the clinical trial in accordance with regulatory requirements or our clinical protocols, failure by our CROs or clinical trial sites to perform in accordance with good clinical practices (“GCP”) requirements, or applicable regulatory guidelines in other countries, inspection of the clinical trial operations or trial site by the FDA or other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Clinical trials may also be delayed or terminated as a result of ambiguous or negative interim results.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Many of the factors that cause, or lead to, a delay in the commencement or completion of clinical trials may also ultimately lead to the denial of regulatory approval of our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0" w:after="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We may also, in the future, conduct preclinical and clinical research in collaboration with other academic, pharmaceutical and biotechnology entities in which we combine our research or development efforts with those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 xml:space="preserve">our collaborators. Such collaborations may be subject to additional delays because of the management of the trials, contract negotiations, the need to obtain agreement from multiple parties and may increase our future costs and expenses. </w:t>
      </w:r>
    </w:p>
    <w:p>
      <w:pPr>
        <w:pStyle w:val="TextBody"/>
        <w:bidi w:val="0"/>
        <w:spacing w:before="0" w:after="240"/>
        <w:ind w:left="0" w:right="0" w:hanging="0"/>
        <w:jc w:val="both"/>
        <w:rPr>
          <w:rFonts w:ascii="Times New Roman;Times;serif" w:hAnsi="Times New Roman;Times;serif"/>
          <w:spacing w:val="4"/>
          <w:sz w:val="20"/>
        </w:rPr>
      </w:pPr>
      <w:r>
        <w:rPr>
          <w:rFonts w:ascii="Times New Roman;Times;serif" w:hAnsi="Times New Roman;Times;serif"/>
          <w:spacing w:val="4"/>
          <w:sz w:val="20"/>
        </w:rPr>
        <w:t>Our product development costs will increase if we experience delays in clinical testing or regulatory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Participant enrollment, a significant factor in the timing of clinical trials, is affected by many conditions, including the size and nature of the patient population, the number and location of clinical sites we enroll, the proximity of participants to clinical sites, the eligibility and exclusion criteria for the trial, the design of the clinical trial, the inability to obtain and maintain participant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Risks related to patient enrollment are heightened in longer clinical trials, including the 48-week trial period contemplated by our ongoing Phase 2b clinical trial of envu in SLE. In particular, this trial has been and may continue to be challenging to enroll due to the fact that patients must be experiencing active disease at the time of screening to be eligible for enrollment. In addition, our clinical trials will compete with other clinical trials for product candidates that are in the same areas as our product candidates, and this competition will reduce the number and types of participants available to us, because some participants who might have opted to enroll in our trials may instead opt to enroll in a trial being conducted by one of our competitors, or to use currently marketed therapies. Additionally, participants, including participants in any control groups, may withdraw from the clinical trial if they are not experiencing improvement in their underlying disease or condition or if they experience other difficulties or issues. Additionally, we could encounter delays if treating clinicians encounter unresolved ethical issues associated with enrolling participants in clinical trials of our product candidates in lieu of prescribing existing treatments that have established safety and efficacy profiles.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 the past experienced and expect to continue to experience participant withdrawals or discontinuations from our trials. For example, as long-term treatment with envu continues to be evaluated in our STRIDE OLE, ONWARD3 LTE study and LUMUS Part B OLE, we expect to see discontinuation rates rise over time.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Until such time, if ever, as we can generate substantial product revenue, we expect to finance our cash needs through equity offerings, debt financings, or other capital sources, including potential collaborations, licenses and other similar arrangements. For example, in March 2026, we entered into a Sales Agreement with Cantor, pursuant to which we may offer and sell, from time to time through Cantor, at our option, shares of our common stock having an aggregate offering price of up to $300.0 million. To the extent that we raise additional capital through the sale of equity or convertible debt securities, including pursuant to sales under the Sales Agreement, your ownership interest will be diluted, and the terms of these securities may include liquidation or other preferences that adversely affect your rights as a holder of our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We could also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current operating plan, we will need to raise additional financing to continue our products’ development for the foreseeable future, and until we become profitable, if ever. Any additional fundraising efforts may divert our management from our day-to-day activities, which may adversely affect our ability to develop and commercialize product candidates. We cannot be certain that additional funding will be available on acceptable terms, or at all. If we are unable to obtain funding when and as needed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pStyle w:val="TextBody"/>
        <w:bidi w:val="0"/>
        <w:spacing w:before="0" w:after="240"/>
        <w:ind w:left="0" w:right="0" w:hanging="0"/>
        <w:jc w:val="both"/>
        <w:rPr>
          <w:rFonts w:ascii="Times New Roman;Times;serif" w:hAnsi="Times New Roman;Times;serif"/>
          <w:b/>
          <w:spacing w:val="-4"/>
          <w:sz w:val="20"/>
        </w:rPr>
      </w:pPr>
      <w:r>
        <w:rPr>
          <w:rFonts w:ascii="Times New Roman;Times;serif" w:hAnsi="Times New Roman;Times;serif"/>
          <w:b/>
          <w:spacing w:val="-4"/>
          <w:sz w:val="20"/>
        </w:rPr>
        <w:t>Risks Related to Product Candidate Development and Commercialization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product candidates are either in clinical or preclinical development, and their risk of failure is high. It is impossible to predict when or if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for their intended uses. 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(“IND”) application or similar regulatory submission. The FDA or comparable foreign regulatory authorities may require us to conduct additional preclinical studies for any product candidate before allowing us to initiate clinical trials under any IND or similar regulatory submission, which may lead to delays and increase the costs of our preclinical development programs.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Once initiated,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For example, lonigutamab’s potential to improve on the safety and side-effect profile of the sole currently-approved therapy in the United States for the treatment of TED is unproven. In particular, if lonigutamab is shown to have similar adverse events or side effects as the existing therapy, or other safety or tolerability concerns, such as hearing impairment, then an opportunity to disrupt the current standard of care in TED will be limited or precluded altogether. In this regard, ACELYRIN observed certain adverse events in its Phase 2 clinical trial of lonigutamab including, without limitation, headache, tinnitus and injection site reactions. Following completion of our strategic review of the lonigutamab program, we decided to pursue strategic alternatives for lonigutamab. There can be no assurance that any such strategic alternative will be successfully identified or consummated on favorable terms, if at all, and the foregoing observed adverse events, among other factors, could limit our ability to realize value from the program.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and we have experienced and may experience setbacks in our programs in the future. For example,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Moreover, clinical data are often susceptible to varying interpretations and analyses, and many companies that have believed their product candidates performed satisfactorily in clinical trials have nonetheless failed to obtain regulatory approval of such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Commencing any future clinical trials is subject to finalizing the trial design and submitting an application to the FDA or a comparable foreign regulatory authority. Even after we make our submission, the FDA or comparable foreign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rely on our CROs and clinical trial sites to ensure the proper and timely conduct of our clinical trials, including the participant enrollment process, and we have limited influence over their performance. We or any future collaborators may experience delays in initiating or completing clinical trials due to unforeseen events or otherwise, that could delay or prevent our ability to receive regulatory approval or commercialize our current and any future product candidates,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we may be unable to generate sufficient preclinical, toxicology or other </w:t>
            </w:r>
            <w:r>
              <w:rPr>
                <w:rFonts w:ascii="Times New Roman;Times;serif" w:hAnsi="Times New Roman;Times;serif"/>
                <w:b w:val="false"/>
                <w:i/>
                <w:spacing w:val="4"/>
                <w:sz w:val="20"/>
              </w:rPr>
              <w:t>in vivo</w:t>
            </w:r>
            <w:r>
              <w:rPr>
                <w:caps w:val="false"/>
                <w:smallCaps w:val="false"/>
                <w:spacing w:val="4"/>
              </w:rPr>
              <w:t xml:space="preserve"> </w:t>
            </w:r>
            <w:r>
              <w:rPr>
                <w:rFonts w:ascii="Times New Roman;Times;serif" w:hAnsi="Times New Roman;Times;serif"/>
                <w:b w:val="false"/>
                <w:i w:val="false"/>
                <w:caps w:val="false"/>
                <w:smallCaps w:val="false"/>
                <w:spacing w:val="4"/>
                <w:sz w:val="20"/>
              </w:rPr>
              <w:t xml:space="preserve">or </w:t>
            </w:r>
            <w:r>
              <w:rPr>
                <w:rFonts w:ascii="Times New Roman;Times;serif" w:hAnsi="Times New Roman;Times;serif"/>
                <w:b w:val="false"/>
                <w:i/>
                <w:spacing w:val="4"/>
                <w:sz w:val="20"/>
              </w:rPr>
              <w:t>in vitro</w:t>
            </w:r>
            <w:r>
              <w:rPr>
                <w:caps w:val="false"/>
                <w:smallCaps w:val="false"/>
                <w:spacing w:val="4"/>
              </w:rPr>
              <w:t xml:space="preserve"> </w:t>
            </w:r>
            <w:r>
              <w:rPr>
                <w:rFonts w:ascii="Times New Roman;Times;serif" w:hAnsi="Times New Roman;Times;serif"/>
                <w:b w:val="false"/>
                <w:i w:val="false"/>
                <w:caps w:val="false"/>
                <w:smallCaps w:val="false"/>
                <w:spacing w:val="4"/>
                <w:sz w:val="20"/>
              </w:rPr>
              <w:t xml:space="preserve">data to support the initiation or continuation of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regulators, such as the FDA or comparable foreign regulatory authorities, may disagree with the design or implementation of our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regulators, such as the FDA or comparable foreign regulatory authorities, IRBs or ethics committees may impose additional requirements before permitting us to initiate a clinical trial, may not allow us or our investigators to commence or conduct a clinical trial at a prospective trial site, may not allow us to amend trial protocols or may require that we modify or amend our clinical trial protocols;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may experience delays in reaching, or fail to reach, agreement on acceptable terms with trial sites and CROs, the terms of which can be subject to extensive negotiation and may vary significantly;</w:t>
            </w:r>
          </w:p>
        </w:tc>
      </w:tr>
    </w:tbl>
    <w:tbl>
      <w:tblPr>
        <w:tblW w:w="6905" w:type="dxa"/>
        <w:jc w:val="left"/>
        <w:tblInd w:w="0" w:type="dxa"/>
        <w:tblLayout w:type="fixed"/>
        <w:tblCellMar>
          <w:top w:w="28" w:type="dxa"/>
          <w:left w:w="28" w:type="dxa"/>
          <w:bottom w:w="28" w:type="dxa"/>
          <w:right w:w="28" w:type="dxa"/>
        </w:tblCellMar>
      </w:tblPr>
      <w:tblGrid>
        <w:gridCol w:w="124"/>
        <w:gridCol w:w="256"/>
        <w:gridCol w:w="65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unable to identify, recruit or train suitable clinical investigators; </w:t>
            </w:r>
          </w:p>
        </w:tc>
      </w:tr>
    </w:tbl>
    <w:tbl>
      <w:tblPr>
        <w:tblW w:w="6457" w:type="dxa"/>
        <w:jc w:val="left"/>
        <w:tblInd w:w="0" w:type="dxa"/>
        <w:tblLayout w:type="fixed"/>
        <w:tblCellMar>
          <w:top w:w="28" w:type="dxa"/>
          <w:left w:w="28" w:type="dxa"/>
          <w:bottom w:w="28" w:type="dxa"/>
          <w:right w:w="28" w:type="dxa"/>
        </w:tblCellMar>
      </w:tblPr>
      <w:tblGrid>
        <w:gridCol w:w="124"/>
        <w:gridCol w:w="256"/>
        <w:gridCol w:w="607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clinical trial sites may deviate from trial protocol or drop out of a trial;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we may be unable to complete our clinical trials due to trial participant withdrawals and discontinuations due to AEs or otherwise;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the number of participants required for clinical trials may be larger than we anticipate, enrollment in clinical trials may be slower than we anticipate or participants may drop out or fail to return for post-treatment follow-up at a higher rate than we anticipate;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the cost of clinical trials may be greater than we anticipate, or we may have insufficient funds to initiate or complete a clinical trial or to pay the substantial user fees required by the FDA upon the submission of an NDA or comparable marketing authorization application in another jurisdiction;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quality or quantity of supply relating to our product candidates or other materials necessary to conduct our clinical trials may be inadequate to initiate or complete a given clinical trial;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reports from clinical testing of other therapies may raise safety, tolerability or efficacy concerns about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our CROs or clinical trial sites may fail to perform in accordance with GCP requirements or other applicable regulations, rules or guidelines;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unable to manufacture our product candidates from our CMOs in accordance with cGMP regulations or other applicable requirements in sufficient quantities for use in our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SAEs may occur in trials of the same class of agents conducted by other companies that could be considered similar to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select clinical endpoints that require prolonged periods of clinical observation or extended analysis of the resulting data;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required to transfer our manufacturing processes to larger-scale facilities operated by a different CMO, or may experience delays or failure by our CMOs or us to make any necessary changes to such manufacturing process; and </w:t>
            </w:r>
          </w:p>
        </w:tc>
      </w:tr>
    </w:tbl>
    <w:tbl>
      <w:tblPr>
        <w:tblW w:w="10019" w:type="dxa"/>
        <w:jc w:val="left"/>
        <w:tblInd w:w="0" w:type="dxa"/>
        <w:tblLayout w:type="fixed"/>
        <w:tblCellMar>
          <w:top w:w="28" w:type="dxa"/>
          <w:left w:w="28" w:type="dxa"/>
          <w:bottom w:w="28" w:type="dxa"/>
          <w:right w:w="28" w:type="dxa"/>
        </w:tblCellMar>
      </w:tblPr>
      <w:tblGrid>
        <w:gridCol w:w="124"/>
        <w:gridCol w:w="256"/>
        <w:gridCol w:w="963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third parties may be unwilling or unable to satisfy their contractual obligations to us in a timely manner, or at all.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we have historically leveraged our extensive analyses of immune-relevant genome-wide association study (“GWAS”) results from both the public domain and the UK Biobank biomedical resource to identify the right therapeutic target on which to focus our preclinical and clinical development efforts.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our access to GWAS results from the public domain or the UK Biobank biomedical resource were to be restricted, including as a result of any potential future legislative policies or regulations that may seek to restrict the sharing of genetic data, our ability to efficiently identify additional therapeutic targets may be limited.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In the EU, the EU Clinical Trials Regulation (“CTR”) became applicable on January 31, 2022, repealing and replacing the Clinical Trials Directive.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The CTR foresaw a three-year transition period that ended on January 31, 2025. Since this date, all new or ongoing trials are subject to the provisions of the CTR.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Moreover, </w:t>
      </w:r>
      <w:r>
        <w:rPr>
          <w:rFonts w:ascii="Times New Roman;Times;serif" w:hAnsi="Times New Roman;Times;serif"/>
          <w:sz w:val="20"/>
        </w:rPr>
        <w:t xml:space="preserve">following a public consultation that began in 2022, the government of the United Kingdom (“UK”)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became applicable on April 28, 2026 following a one-year transition period. While these changes introduce efficiencies and align with some principles of the EU’s CTR, divergence between the UK and EU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systems remains. Any significant divergence could affect the cost and complexity of conducting clinical trials in the UK and may impact the acceptability of UK-based trial data for seeking marketing authorizations in the EU, and vice versa.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clinical trials may reveal SAEs and AEs and may result in a safety or tolerability profile that could delay or prevent regulatory approval or market acceptance of envu, A-005 or any future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Undesirable or clinically unmanageable side effects observed in our clinical trials for our product candidates could occur and cause us or regulatory authorities to interrupt, delay or halt our clinical trials and could result in a more restrictive labeling or the delay or denial of regulatory approval by the FDA or comparable foreign regulatory authorities.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observed SAEs and AEs in our trials of envu, and as more patients become exposed to envu over longer periods of time, we expect to see additional SAEs and AEs emerge. Further, long term treatment with envu continues to be evaluated in OLE trials, and we anticipate additional AEs and SAEs will continue to accumulate. Certain conditions occur more frequently in patients with psoriasis compared to the general population. Examples include obesity, cardiovascular disease, psoriatic arthritis and depression. Immune modulating treatments including envu may result in increasing susceptibility to various infections, including serious or life-threatening infections, and there is a theoretical risk with immune-modulating agents that dampening immune responses could increase the risk of malignancies.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TYK2 inhibitors, such as deucravacitinib (marketed as Sotyktu), which is approved for the treatment of adults with PsO, have shown AEs such as hypersensitivity reactions, infections, tuberculosis, malignancy and rhabdomyolysis. The label for deucravacitinib includes a warning concerning the potential for JAK-related AEs, such as cardiovascular and thrombotic events. We have observed, and expect that additional AEs and SAEs consistent with known side effects of TYK2 inhibition may emerge, in our ongoing and future clinical trials of envu.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most common AEs observed in our Phase 2 and Phase 3 trials that were considered related to envu treatment by the principal investigator include headaches, upper respiratory tract infections, nasopharyngitis, rash, nausea and acne. We continue to evaluate the safety profile of envu in our ongoing Phase 2 OLE and Phase 3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AEs, SAEs or other side effects are observed in any of our ongoing or future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If such effects are more severe or less reversible than we expect, or not reversible at all, we may decide or be required to perform additional studies or to halt or delay further clinical development of envu, A-005 or any future product candidates, which could result in the delay or denial of regulatory approval by the FDA or comparable foreign regulatory authorities.</w:t>
      </w:r>
    </w:p>
    <w:p>
      <w:pPr>
        <w:pStyle w:val="TextBody"/>
        <w:bidi w:val="0"/>
        <w:spacing w:before="0" w:after="240"/>
        <w:ind w:left="0" w:right="0" w:hanging="0"/>
        <w:jc w:val="both"/>
        <w:rPr/>
      </w:pPr>
      <w:r>
        <w:rPr/>
        <w:t>​</w:t>
      </w:r>
      <w:r>
        <w:rPr>
          <w:rFonts w:ascii="Times New Roman;Times;serif" w:hAnsi="Times New Roman;Times;serif"/>
          <w:sz w:val="20"/>
        </w:rPr>
        <w:t>If envu fails to demonstrate an acceptable benefit/risk profile, versus current approved therapies or others in clinical development, then our opportunity to disrupt the current standard of care may be limited. AEs and SAEs that emerge during clinical investigation of or treatment with envu, A-005, or any future product candidates have in the past been and may in the future be deemed to be related to our product candidates. This may require longer and more extensive clinical development, or regulatory authorities may increase the amount of data and information required to approve, market, or maintain envu, A-005 or any future product candidates and could result in warnings and precautions in our product labeling or a restrictive risk evaluation and mitigation strategy (“REMS”) or comparable foreign strategies. This may also result in an inability to obtain approval of envu, A-005 or any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Some potential product candidates developed in the biotechnology industry that initially showed promise in early-stage trials have later been found to cause side effects that prevented their further development. Even if the side effects do not preclude the product candidate from obtaining or maintaining regulatory approval, undesirable side effects, like those mentioned above, may limit market acceptance of the approved product due to its tolerability versus other therapies. Any of these developments could materially harm our business, financial condition, results of operations and prospects.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if any of our product candidates receives regulatory approval, and we or others later identify undesirable side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comparable foreign strategies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associated with AEs include: </w:t>
      </w:r>
    </w:p>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be required to suspend marketing of a product, or we may decide to remove such product from the marketplace;</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regulatory authorities may withdraw, suspend or change their approvals of a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may be required to create a medication guide outlining the risks of a product for patients, or to conduct post-marketing studies.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of these events could diminish the usage or otherwise limit the commercial success of our product candidates and prevent us from achieving or maintaining market acceptance of our product candidates, if approved by the FDA or comparable foreign regulatory authorities.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Preliminary, “top-line” and interim data from our clinical trials that we announce or publish from time to time may change as more patient data become available or are subject to audit and verification procedures that could result in material changes in the final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we may also disclose data from interim analyses from our clinical trials. Interim analyses from clinical trials that we may complete are subject to the risk that one or more of the clinical outcomes may materially change as participants enrollment continues and more participant data become available or as participants from our clinical trials continue other treatments for their disease. Adverse differences between interim data, topline data, or preliminary data and final data could significantly harm our business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the interim, top-line or preliminary data that we report differ from actual results, or if others, including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have conducted, are currently conducting, and may in the future conduct, clinical trials for current or future product candidates outside the United States, and the FDA and comparable foreign regulatory authorities may not accept data from such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conducted, are currently conducting, and may in the future conduct, clinical trials outside the United States, including (without limitation) in the EU, the UK, Japan, Latin America and Asia-Pacific countries.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Even if we receive regulatory approval for our current or future product candidates in the United States, we may never receive regulatory approval to market outside of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plan to seek regulatory approval for our current and future product candidates outside of the United States and are currently conducting certain clinical trials internationally, including in the EU and Japan.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regulatory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The successful commercialization of our product candidates, if approved, will depend in part on the extent to which governmental authorities and health payors and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availability of coverage and the adequacy of reimbursement by governmental healthcare programs, such as Medicare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 Japan or elsewhere will be available for any product that we may develop, and any reimbursement that may become available may be decreased or eliminated in the future.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Third-party payors increasingly are challenging prices charged for biopharmaceutical products and services, and many third-party payors may refuse to provide coverage and reimbursement for particular drugs when equivalent generic drugs, biosimilars or less expensive therapies are available. It is possible that a third-party payor may consider our product candidates, if approved, as substitutable and only be willing to cover the cost of the alternative product. Even if we show improved efficacy, safety or improved convenience of administration with envu, A-005 or any of our future product candidates, if approved, pricing of competitive products may limit the amount we will be able to charge for our product candidates, if approved. Third-party payors may deny or revoke the reimbursement status of a given product or establish prices for new or existing marketed products at levels that are too low to enable us to realize an appropriate return on our investment in our product candidates. In some cases, when new competitor generic and biosimilar products enter the market, there are mandatory price reductions for the innovator compound. In other cases, payors employ “therapeutic category” price referencing and seek to lower the reimbursement levels for all treatments in the respective therapeutic category. Additionally, new competitor brand drugs can trigger therapeutic category reviews in the interest of modifying coverage and/or reimbursement levels. The potential of third-party payors to introduce more challenging price negotiation methodologies could have a negative impact on our ability to successfully commercialize our product candidates, if approved.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therapies before they will reimburse healthcare providers who use such therapies. It is difficult to predict at this time what third-party payors will decide with respect to the coverage and reimbursement for our products, if approved.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Outside the United States, biopharmaceutical products and services are generally subject to extensive governmental price controls and other market regulations, and we believe the increasing emphasis on cost-containment initiatives in Europe and other countries will continue to put pressure on the pricing and usage of our product candidates. In many countries, the prices of medical products are subject to varying price control mechanisms as part of national health systems.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allow companies to establish their own prices for medical products but monitor and control company profits or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systems of the individual country is conducted. The outcome of HTA regarding specific medicinal products will often influence the pricing and reimbursement status granted to these medicinal products by the competent authorities of individual EU member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 foreign price controls or other changes in pricing regulation could restrict the amount that we are able to charge for our product candidates, if approved. In December 2021, Regulation No 2021/2282 on Health Technology Assessment (the “HTA Regulation”) was adopted. The HTA Regulation intends to boost cooperation among EU member states in assessing health technologies, including new medicinal products, and provide the basis for cooperation at EU level for joint clinical assessments in these areas. The HTA Regulation entered into application on January 12, 2025 and has a phased implementation. Individual EU member states continue to be responsible for assessing non-clinical (e.g., economic, social, ethical) aspects of health technologies, and making decisions on pricing and reimbursement.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 containment of health care costs also has become a priority of federal, state and foreign governments and the prices of products have been a focus in this effort.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years and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Such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There can be no assurance that any country that has reimbursement limitations for pharmaceutical products will allow favorable reimbursement and pricing arrangements for any of our products, if approved in those countries. In the event Most-Favored-Nation pricing for pharmaceutical products is implemented and applicable to any of product candidates that may receive regulatory approval, our revenue opportunities may be adversely affected, as our U.S. pricing would have to be reduced to the lowest price paid for the applicable product outside of the United States. In such event, we may choose to forgo the ex-U.S. market to preserve more favorable U.S. pricing.</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and/or candidates under development in our current indications.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current product candidates, initially under development for treatment of patients with immune-mediated diseases, if approved, would face competition from existing approved immunological treatments, many of which have achieved commercial success. For example, we are currently developing envu for the treatment of PsO and SLE. Other emerging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established life sciences companies have been focused on similar therapeutics and indications. If approved, envu would compete with several currently approved or late-stage oral clinical therapeutics in each such indication as well as other drugs used to treat such patients.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developing A-005, which has potential applications in multiple sclerosis (“MS”) and other neuroinflammatory and neurodegenerative diseases. There are several therapies available for the treatment of relapsing forms of MS, including interferon beta regulators, monoclonal antibodies, synthetic immunomodulatory drugs and S1P receptor modulators.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compete successfully, we need to disrupt these currently marketed drugs, meaning that we will have to demonstrate that the relative cost, method of administration, safety, tolerability and efficacy of our product candidates provide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in establishing clinical trial sites and enrolling patients in clinical trials, as well as in acquiring technologies complementary to, or necessary for, our programs. </w:t>
      </w:r>
    </w:p>
    <w:p>
      <w:pPr>
        <w:pStyle w:val="TextBody"/>
        <w:bidi w:val="0"/>
        <w:spacing w:before="0" w:after="240"/>
        <w:ind w:left="0" w:right="0" w:hanging="0"/>
        <w:jc w:val="both"/>
        <w:rPr>
          <w:rFonts w:ascii="Times New Roman;Times;serif" w:hAnsi="Times New Roman;Times;serif"/>
          <w:b/>
          <w:spacing w:val="-4"/>
          <w:sz w:val="20"/>
        </w:rPr>
      </w:pPr>
      <w:r>
        <w:rPr>
          <w:rFonts w:ascii="Times New Roman;Times;serif" w:hAnsi="Times New Roman;Times;serif"/>
          <w:b/>
          <w:spacing w:val="-4"/>
          <w:sz w:val="20"/>
        </w:rPr>
        <w:t>Risks Related to Our Business and Operations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business is highly dependent on the success of our most advanced product candidate, envu, and we cannot guarantee that envu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have no products approved for commercial sale or for which regulatory approval to market has been sought. We have invested a significant portion of our efforts and financial resources in the development of our most advanced product candidate, envu, which is still in clinical development, and expect that we will continue to invest heavily in envu, as well as our second product candidate, A-005, and any future product candidates we may develop. Additionally, in May 2026, we completed our strategic review of the lonigutamab program, ACELYRIN’s lead product candidate. While we decided to pursue strategic alternatives for the lonigutamab program, there can be no assurance that any such strategic alternative will be successfully identified or consummated on favorable terms, if at all.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product candidates will require substantial additional preclinical and clinical development time, regulatory approval,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including the negative impacts of geopolitical instability, public health crises, labor shortages, inflation or other macroeconomic factors impacting our third-party CROs, CMOs, clinical trial sites, investigators or us. Our product candidates are susceptible to the risks of failure inherent at any stage of product development, including the appearance of unexpected AEs or failure to achieve primary endpoints in clinical trials.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Additionally, we may in the future advance envu, A-005 or future product candidates into clinical trials and terminate such trials prior to their completion.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our product candidates are successful in clinical trials, we are not permitted to market or promote our product candidates before we receive regulatory approval from the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previously submitted an NDA or similar marketing application to the FDA or comparable foreign regulatory authorities for any product candidate, and we cannot be certain that our current or any future product candidates will be successful in clinical trials or receive regulatory approval. Although we plan to submit an NDA for envu for PsO in the fourth quarter of 2026, we will need to meet with the FDA and they may raise concerns or requirements that delay submission beyond our anticipated timeline. The FDA may also consider its approvals of competing products, which may alter the treatment landscape concurrently with their review of any NDA we may submit, and which may lead to changes in the FDA’s review requirements that have been previously communicated to us and our interpretation thereof, including changes to requirements for clinical data or clinical study design. Such changes could delay approval or necessitate withdrawal of any such NDA submission. Similar risks may exist in foreign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approved for marketing by applicable regulatory authorities, our ability to generate revenue from our product candidates will depend on our ability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price our products competitively such that third-party and government reimbursement permits broad product adoption;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demonstrate the superiority of our products compared to the standard of care, as well as to other therapies in development;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create market demand for our product candidates through our own marketing and sales activities, and any other arrangements to promote these product candidates that we may otherwise establish;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receive regulatory approval for the targeted patient populations and claims that are necessary or desirable for successful marketing; </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effectively commercialize any of our products that receive regulatory approval;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manufacture product candidates through CMOs in sufficient quantities and at acceptable quality and manufacturing cost to meet commercial demand at launch and thereafter;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establish and maintain agreements with wholesalers, distributors, pharmacies and group purchasing organizations on commercially reasonable terms;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obtain, maintain, protect and enforce patent and other intellectual property protection and regulatory exclusivity for our products; </w:t>
            </w:r>
          </w:p>
        </w:tc>
      </w:tr>
    </w:tbl>
    <w:tbl>
      <w:tblPr>
        <w:tblW w:w="9178" w:type="dxa"/>
        <w:jc w:val="left"/>
        <w:tblInd w:w="0" w:type="dxa"/>
        <w:tblLayout w:type="fixed"/>
        <w:tblCellMar>
          <w:top w:w="28" w:type="dxa"/>
          <w:left w:w="28" w:type="dxa"/>
          <w:bottom w:w="28" w:type="dxa"/>
          <w:right w:w="28" w:type="dxa"/>
        </w:tblCellMar>
      </w:tblPr>
      <w:tblGrid>
        <w:gridCol w:w="124"/>
        <w:gridCol w:w="256"/>
        <w:gridCol w:w="879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achieve market acceptance of our products by patients, the medical community and third-party payors;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maintain a distribution and logistics network capable of product storage within our specifications and regulatory guidelines, and further capable of timely product delivery to commercial clinical sites; and </w:t>
            </w:r>
          </w:p>
        </w:tc>
      </w:tr>
    </w:tbl>
    <w:tbl>
      <w:tblPr>
        <w:tblW w:w="9313" w:type="dxa"/>
        <w:jc w:val="left"/>
        <w:tblInd w:w="0" w:type="dxa"/>
        <w:tblLayout w:type="fixed"/>
        <w:tblCellMar>
          <w:top w:w="28" w:type="dxa"/>
          <w:left w:w="28" w:type="dxa"/>
          <w:bottom w:w="28" w:type="dxa"/>
          <w:right w:w="28" w:type="dxa"/>
        </w:tblCellMar>
      </w:tblPr>
      <w:tblGrid>
        <w:gridCol w:w="124"/>
        <w:gridCol w:w="256"/>
        <w:gridCol w:w="893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assure that our product will be used as directed and that additional unexpected safety risks will not arise. </w:t>
            </w:r>
          </w:p>
        </w:tc>
      </w:tr>
    </w:tbl>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of an NDA or Biologics License Application from the FDA. Similar approvals are required in order to market product candidates in foreign countries.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foreign regulatory authorities have substantial discretion in the approval process, including the ability to delay, limit or deny approval of a product candidate for many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obtaining approval to commercialize a product candidate in the United States or abroad, we must demonstrate based on adequate and well-controlled clinical trials, and to the satisfaction of the FDA or comparable foreign regulatory authorities, that such product candidates are safe and effective for their intended uses. Clinical testing is expensive, time consuming and subject to uncertainty. We cannot guarantee that any current or future clinical trials will be conducted as planned or completed on schedule, if at all, or that our product candidates will receive regulatory approval. Even though our topline data readout of our Phase 3 pivotal trials of envu in PsO were positive, they may not be sufficient for approval of envu in that disease, and our Phase 3 LTE trial in PsO remains ongoing. Although we have discussed and intend to further discuss our Phase 3 clinical trial design and overall development plan with the FDA to align on its sufficiency to support an NDA submission, the feedback is typically non-binding and dependent on the strength of the ultimate clinical data and the FDA’s perspective on the benefit-risk profile of the treatment in the intended population. For example, the Committee for Medicinal Products for Human Use in the EU provided comments on the length of our two pivotal 24-week Phase 3 trials, and we plan to address their feedback with our comparator trials. These modifications could delay our development timelines for EU regulatory approval and require substantially more resources. Phase 3 clinical trials typically involve hundreds of patients, have significant costs and take years to complete. In addition, we have initiated a Phase 2b trial of envu in SLE. Even as these trials progress, issues may arise that could require us to suspend or terminate such clinical trials or could cause the results of one cohort to differ from a prior cohort. For example, we may experience slower than anticipated enrollment in our clinical trials, which may consequently delay our development timelines or permit competitors to obtain approvals that may alter our strategy. A failure of one or more clinical trials can occur at any stage of testing, and our future clinical trials may not be successful.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even if such clinical trials are successfully completed, we cannot guarantee that the FDA or comparable foreign regulatory authorities will interpret the results as we do, and more trials could be required before we submit our product candidates for approval. To the extent that the results of the clinical trials are not satisfactory to the FDA or comparable foreign regulatory authorities for support of a marketing application, we may be required to expend significant resources, which may not be available to us, to conduct additional clinical trials in support of potential approval of our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if the FDA or comparable foreign regulatory authorities grant approval for our product candidates, then, as a condition for approval, the FDA or comparable foreign regulatory authorities may require us to perform costly post-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marketing testing, including Phase 4 clinical trials or surveillance to monitor the effects of the marketed product.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clinical trial results may also not support approval. In addition, our product candidates could fail to receive regulatory approval for many reasons, including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FDA or comparable foreign regulatory authorities may disagree with the design or implementation of our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unable to demonstrate to the satisfaction of the FDA or comparable foreign regulatory authorities that our product candidates are safe and effective for any of their proposed indications;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unable to demonstrate that our product candidates’ clinical and other benefits outweigh their safety risks;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FDA or comparable foreign regulatory authorities may disagree with our interpretation of data from preclinical studies or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such authorities may disagree with us regarding the formulation, labeling and/or the product specifications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approval may be granted only for indications that are significantly more limited than those sought by us, and/or may include significant restrictions on distribution and use;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FDA or comparable foreign regulatory authorities will review CMOs’ manufacturing process and inspect our CMOs’ commercial manufacturing facilities and may not approve our CMOs’ manufacturing process or facilities with respect to our product candidates;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approval policies or regulations of the FDA or comparable foreign regulatory authorities may significantly change in a manner rendering our clinical data insufficient for approval.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or comparable foreign strategies, which may be required because the FDA or comparable foreign regulatory authority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FDA and foreign regulatory authorities may change their policies and new regulations may be enacted. For instance,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comprised of a new directive and regulation to replace existing legislation, aims to modernize the EU framework. The political agreement is still subject to formal approval by the European Parliament and Council. If approved in the form proposed, the Pharma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Disruptions at the FDA and other government agencies or comparable foreign regulatory authorities caused by funding shortages, government shutdowns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ability of the FDA and comparable foreign regulatory authorities to review and approve new products can be affected by a variety of factors, including government budget and funding levels, government shutdowns, statutory, regulatory, and policy changes, the FDA’s or comparable foreign regulatory authorities’ ability to hire and retain key personnel and accept the payment of user fees, and other events that may otherwise affect the FDA’s or comparable foreign regulatory authorities’ ability to perform routine functions. In addition, government funding of other government agencies that fund research and development activities is subject to the political process, which is inherently fluid and unpredictable. Disruptions at the FDA and other agencies or comparable foreign authorities may also slow the time necessary for new drugs or modifications to approved drugs to be reviewed and/or approved by necessary government agencies or regulatory authorities, which would adversely affect our business. For example, over the last several years, the U.S. government has shut down several times and certain regulatory authorities, such as the FDA, have had to furlough critical FDA employees and stop critical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Separately, in response to the global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such as the U.S. government shutdown in the fourth quarter of 2025, or if global health concerns prevent the FDA or other comparable foreign regulatory authorities from conducting their regular inspections, reviews, or other regulatory activities, it could significantly impact the ability of the FDA or other comparable foreign regulatory authorities to timely review and process our regulatory submissions, which could have a material adverse effect on our business.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our product candidates, if approved, do not achieve broad market acceptance, the revenue that we generate from their sales will be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degree of market acceptance of our product candidates, if approved, will depend on a number of factors, some of which are beyond our control, including: </w:t>
      </w:r>
    </w:p>
    <w:tbl>
      <w:tblPr>
        <w:tblW w:w="7706" w:type="dxa"/>
        <w:jc w:val="left"/>
        <w:tblInd w:w="0" w:type="dxa"/>
        <w:tblLayout w:type="fixed"/>
        <w:tblCellMar>
          <w:top w:w="28" w:type="dxa"/>
          <w:left w:w="28" w:type="dxa"/>
          <w:bottom w:w="28" w:type="dxa"/>
          <w:right w:w="28" w:type="dxa"/>
        </w:tblCellMar>
      </w:tblPr>
      <w:tblGrid>
        <w:gridCol w:w="124"/>
        <w:gridCol w:w="256"/>
        <w:gridCol w:w="7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safety, efficacy, tolerability and ease of administration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clinical indications for which the products are approved and the approved claims that we may make for the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limitations or warnings contained in the product’s approved labeling, including potential limitations on the use of the product or warnings for such products that may be more restrictive than other competitive products; </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distribution and use restrictions imposed by the FDA or comparable foreign regulatory authorities with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720" w:type="dxa"/>
        <w:jc w:val="left"/>
        <w:tblInd w:w="0" w:type="dxa"/>
        <w:tblLayout w:type="fixed"/>
        <w:tblCellMar>
          <w:top w:w="28" w:type="dxa"/>
          <w:left w:w="28" w:type="dxa"/>
          <w:bottom w:w="28" w:type="dxa"/>
          <w:right w:w="28" w:type="dxa"/>
        </w:tblCellMar>
      </w:tblPr>
      <w:tblGrid>
        <w:gridCol w:w="124"/>
        <w:gridCol w:w="109"/>
        <w:gridCol w:w="94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respect to such product candidates or to which we agree as part of a mandatory REMS or risk management plan; </w:t>
            </w:r>
          </w:p>
        </w:tc>
      </w:tr>
    </w:tbl>
    <w:tbl>
      <w:tblPr>
        <w:tblW w:w="7889" w:type="dxa"/>
        <w:jc w:val="left"/>
        <w:tblInd w:w="0" w:type="dxa"/>
        <w:tblLayout w:type="fixed"/>
        <w:tblCellMar>
          <w:top w:w="28" w:type="dxa"/>
          <w:left w:w="28" w:type="dxa"/>
          <w:bottom w:w="28" w:type="dxa"/>
          <w:right w:w="28" w:type="dxa"/>
        </w:tblCellMar>
      </w:tblPr>
      <w:tblGrid>
        <w:gridCol w:w="124"/>
        <w:gridCol w:w="256"/>
        <w:gridCol w:w="750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changes in the standard of care for the targeted indications for such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relative difficulty of administration or compliance with administration instructions of such product candidates; </w:t>
            </w:r>
          </w:p>
        </w:tc>
      </w:tr>
    </w:tbl>
    <w:tbl>
      <w:tblPr>
        <w:tblW w:w="9002" w:type="dxa"/>
        <w:jc w:val="left"/>
        <w:tblInd w:w="0" w:type="dxa"/>
        <w:tblLayout w:type="fixed"/>
        <w:tblCellMar>
          <w:top w:w="28" w:type="dxa"/>
          <w:left w:w="28" w:type="dxa"/>
          <w:bottom w:w="28" w:type="dxa"/>
          <w:right w:w="28" w:type="dxa"/>
        </w:tblCellMar>
      </w:tblPr>
      <w:tblGrid>
        <w:gridCol w:w="124"/>
        <w:gridCol w:w="256"/>
        <w:gridCol w:w="862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cost of treatment as compared to the clinical benefit in relation to alternative treatments or therapies;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availability of adequate coverage and reimbursement by third parties, such as insurance companies and other healthcare payors, and by government healthcare programs, including Medicare and Medicaid or comparable foreign programs; </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extent and strength of our marketing and distribution of such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safety, efficacy and other potential advantages of, and availability of, alternative treatments already used or that may later be approved for any of our intended indications; </w:t>
            </w:r>
          </w:p>
        </w:tc>
      </w:tr>
    </w:tbl>
    <w:tbl>
      <w:tblPr>
        <w:tblW w:w="8464" w:type="dxa"/>
        <w:jc w:val="left"/>
        <w:tblInd w:w="0" w:type="dxa"/>
        <w:tblLayout w:type="fixed"/>
        <w:tblCellMar>
          <w:top w:w="28" w:type="dxa"/>
          <w:left w:w="28" w:type="dxa"/>
          <w:bottom w:w="28" w:type="dxa"/>
          <w:right w:w="28" w:type="dxa"/>
        </w:tblCellMar>
      </w:tblPr>
      <w:tblGrid>
        <w:gridCol w:w="124"/>
        <w:gridCol w:w="256"/>
        <w:gridCol w:w="80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timing of market introduction of such product candidates, as well as competitive products; </w:t>
            </w:r>
          </w:p>
        </w:tc>
      </w:tr>
    </w:tbl>
    <w:tbl>
      <w:tblPr>
        <w:tblW w:w="7014" w:type="dxa"/>
        <w:jc w:val="left"/>
        <w:tblInd w:w="0" w:type="dxa"/>
        <w:tblLayout w:type="fixed"/>
        <w:tblCellMar>
          <w:top w:w="28" w:type="dxa"/>
          <w:left w:w="28" w:type="dxa"/>
          <w:bottom w:w="28" w:type="dxa"/>
          <w:right w:w="28" w:type="dxa"/>
        </w:tblCellMar>
      </w:tblPr>
      <w:tblGrid>
        <w:gridCol w:w="124"/>
        <w:gridCol w:w="256"/>
        <w:gridCol w:w="663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reluctance of physicians to switch their patients’ current standard of care;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reluctance of patients to switch from their existing therapy regardless of the safety and efficacy of newer products; </w:t>
            </w:r>
          </w:p>
        </w:tc>
      </w:tr>
    </w:tbl>
    <w:tbl>
      <w:tblPr>
        <w:tblW w:w="6713" w:type="dxa"/>
        <w:jc w:val="left"/>
        <w:tblInd w:w="0" w:type="dxa"/>
        <w:tblLayout w:type="fixed"/>
        <w:tblCellMar>
          <w:top w:w="28" w:type="dxa"/>
          <w:left w:w="28" w:type="dxa"/>
          <w:bottom w:w="28" w:type="dxa"/>
          <w:right w:w="28" w:type="dxa"/>
        </w:tblCellMar>
      </w:tblPr>
      <w:tblGrid>
        <w:gridCol w:w="124"/>
        <w:gridCol w:w="256"/>
        <w:gridCol w:w="633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our ability to offer such product candidates for sale at competitive prices; </w:t>
            </w:r>
          </w:p>
        </w:tc>
      </w:tr>
    </w:tbl>
    <w:tbl>
      <w:tblPr>
        <w:tblW w:w="6980" w:type="dxa"/>
        <w:jc w:val="left"/>
        <w:tblInd w:w="0" w:type="dxa"/>
        <w:tblLayout w:type="fixed"/>
        <w:tblCellMar>
          <w:top w:w="28" w:type="dxa"/>
          <w:left w:w="28" w:type="dxa"/>
          <w:bottom w:w="28" w:type="dxa"/>
          <w:right w:w="28" w:type="dxa"/>
        </w:tblCellMar>
      </w:tblPr>
      <w:tblGrid>
        <w:gridCol w:w="124"/>
        <w:gridCol w:w="256"/>
        <w:gridCol w:w="660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extent and strength of our third-party manufacturer and supplier support; </w:t>
            </w:r>
          </w:p>
        </w:tc>
      </w:tr>
    </w:tbl>
    <w:tbl>
      <w:tblPr>
        <w:tblW w:w="8254" w:type="dxa"/>
        <w:jc w:val="left"/>
        <w:tblInd w:w="0" w:type="dxa"/>
        <w:tblLayout w:type="fixed"/>
        <w:tblCellMar>
          <w:top w:w="28" w:type="dxa"/>
          <w:left w:w="28" w:type="dxa"/>
          <w:bottom w:w="28" w:type="dxa"/>
          <w:right w:w="28" w:type="dxa"/>
        </w:tblCellMar>
      </w:tblPr>
      <w:tblGrid>
        <w:gridCol w:w="124"/>
        <w:gridCol w:w="256"/>
        <w:gridCol w:w="787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adverse publicity about our product or favorable publicity about competitive products; and </w:t>
            </w:r>
          </w:p>
        </w:tc>
      </w:tr>
    </w:tbl>
    <w:tbl>
      <w:tblPr>
        <w:tblW w:w="3418" w:type="dxa"/>
        <w:jc w:val="left"/>
        <w:tblInd w:w="0" w:type="dxa"/>
        <w:tblLayout w:type="fixed"/>
        <w:tblCellMar>
          <w:top w:w="28" w:type="dxa"/>
          <w:left w:w="28" w:type="dxa"/>
          <w:bottom w:w="28" w:type="dxa"/>
          <w:right w:w="28" w:type="dxa"/>
        </w:tblCellMar>
      </w:tblPr>
      <w:tblGrid>
        <w:gridCol w:w="124"/>
        <w:gridCol w:w="256"/>
        <w:gridCol w:w="303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potential product liability claims.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expend our limited resources to pursue a particular product candidate in specific indications and fail to capitalize on product candidates or indications that may be more profitable or for which there is a greater likelihood of success.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Because we have limited financial and managerial resources, we focus our development efforts on certain selected product candidates in certain selected indications. For example, we are initially focused on our most advanced product candidate, envu, currently in development for the treatment of PsO and SLE, and our second product candidate A-005, currently in development for the treatment of neuroinflammatory and neurodegenerative diseases.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product candidates for specific indications may not yield any commercially viable product candidates.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will need to grow our organization, and we may experience difficulties in managing our growth and expanding our operations, which could adversely affect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we had 237 full-time and 2 part-time employees. As our development and commercialization plans and strategies develop, we expect to expand our employee base for managerial, operational, financial and other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we have limited experience in manufacturing and commercialization. As our product candidates enter and advance through preclinical studies and clinical trials, we expect to continue to expand our development and regulatory capabilities and contract with other organizations to provide manufacturing and other capabilities for us. In the future, we expect to have to manage additional relationships with future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are dependent on the services of our management team and other clinical and scientific personnel, and if we are not able to retain these individuals or recruit additional management or clinical and scientific personnel, our business will suffer.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success depends in part on our continued ability to attract, retain and motivate highly qualified management, clinical and scientific personnel. We are highly dependent upon the members of our senior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need to continue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exposed to the risk of employee fraud or other illegal activity by our employees, independent contractors, consultants, commercial partners, CROs, CMOs and other parties. Misconduct by these parties could include intentional, reckless and/or negligent conduct that fails to comply with FDA or other regulations, provide true, complete and accurate information to the FDA and other similar foreign regulatory bodies, respect our confidentiality and intellectual property rights, comply with manufacturing standards we may establish, comply with healthcare fraud and abuse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report financial information or data accurately or disclose unauthorized activities to us. If we obtain FDA approval for our product candidates and begin commercializing those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Similar requirements apply in foreign countries.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International trade policies, including tariffs, sanctions and trade barriers may adversely affect our business, financial condition, results of operations and growth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 business globally and our operations, including third-party suppliers, span numerous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ongoing trade tensions between the United States and other jurisdictions have resulted in multiple rounds of tariffs and potential tariffs affecting pharmaceuticals and pharmaceutical ingredients, including finished drug products, manufacturing equipment and related supplies. In April 2025, the U.S. government imposed a 10% baseline global tariff and in August 2025, the U.S. government imposed higher “reciprocal” tariffs on numerous other territories, including EU member states and South Korea. While the U.S. Supreme Court recently issued a ruling invalidating tariffs imposed by the Administration under the International Emergency Economic Powers Act, other tariffs imposed by the U.S. government remain in place, including a temporary 10% global tariff imposed by the Administration under Section 122 of the Trade Act of 1974 following the U.S. Supreme Court decision. Moreover,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Further, following the expiration of tariffs under Section 122 of the Trade Act of 1974, on July 23, 2026, the Administration announced new tariffs ranging from 10% to 12.5% on 60 trading partners, including South Korea and the EU as part of an investigation under Section 301 of the Trade Act of 1974 that began on June 2,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most of our suppliers are located outside of the United States, and our principal suppliers of critical raw materials are located in India and in Taiwan. We also rely on precursor compounds, other materials, and manufacturing services sourced from multiple countries, including the EU and South Korea, to advance our research and development and manufacturing efforts.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Current or future tariffs will result in increased research and development expenses, including with respect to increased costs associated with active pharmaceutical ingredients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tariffs and trade restrictions could hinder our ability to establish cost-effective production capabilities, negatively impacting our growth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complexity of announced or future tariffs may also increase the risk that we or our customers or suppliers may be subject to civil or criminal enforcement actions in the U.S. or foreign jurisdictions related to compliance with trade regulations. Foreign governments may also adopt additional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U.S. and other governments have imposed and may continue to impose additional sanctions, such as trade restrictions or trade barriers, which could restrict us from doing business directly or indirectly in or with certain countries or parties and have imposed and may continue to impose additional costs and complexity to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other trade developments have and may continue to heighten the risks related to the other risk factors described elsewhere in this Quarterly Report on Form 10-Q.</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future growth may depend, in part, on our ability to operate in foreign markets, where we would be subject to additional regulatory burdens and other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future growth may depend, in part, on our ability to develop and commercialize our product candidates in foreign markets, including in the EU, the UK and Japan,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for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these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business entails a significant risk of product liability and our ability to obtain sufficient insurance coverage could adversely affect our business, financial condition, results of operations and prospects.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FDA or other regulatory authority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variation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need to obtain higher levels of product liability insurance for later stages of clinical development or marketing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insurance policies are expensive and only protect us from some business risks, which will leave us exposed to significant uninsured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do not carry insurance for all categories of risk that our business may encounter. Some of the policies we currently maintain include commercial general liability, general liability, cyber liability,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have engaged in, and may in the future engage in, strategic transactions, which could impact our liquidity, increase our expenses, dilute our stockholders and present significant distractions to our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 the past and may continue to enter into strategic transactions, including acquisitions of companies, asset purchases and in-licensing of intellectual property with the potential to acquire and advance new assets or product candidates where we believe we are well qualified to optimize the development of promising therapies. For example, we were founded in January 2021, and subsequently acquired envu via a stock purchase of FronThera U.S. Holdings, Inc. and its wholly owned subsidiary, FronThera U.S. Pharmaceuticals LLC. Additionally, we consummated the ACELYRIN Merger in May 2025 and acquired lonigutamab. Additional potential transactions that we may consider in the future include a variety of business arrangements, including strategic partnerships, in-licensing or out-licensing of product candidates, strategic collaborations, joint ventures, restructurings, divestitures, business combinations and investments. Any such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Future acquisitions may also require us to obtain additional financing, which may not be available on favorable terms or at all. These transactions may never be successful and may require significant time and attention of our management. Even if we are able to successfully identify and acquire complementary products, technologies or businesses, we cannot assure you that we will be able to successfully manage the risks associated with integrating acquired products, technologies or businesses or the risks arising from anticipated and unanticipated problems in connection with an acquisition or in-licensing transaction. For example, as a result of the ACELYRIN Merger, we now operate our historical core business along with the acquired ACELYRIN business as one combined organization utilizing common information and communication systems, operating procedures, financial controls and human resources practices. We have also incurred substantial expenses in connection with and as a result of completing the ACELYRIN Merger. 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including in connection with the ACELYRIN Merger, could have a material adverse effect on our business and adversely affect our results of operations and financial condition. Additionally, we may not realize the anticipated benefits of the ACELYRIN Merger or any other such transactions, including the possibility that expected synergies and accretion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not be realized or will not be realized within the expected time frame.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ability to use our net operating loss carryforwards and certain other tax attributes to offset taxable income or taxes may be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substantial losses during our history and do not expect to become profitable in the near future, and we may never achieve profitability. As of December 31, 2025, we had U.S. federal net operating loss carryforwards of $281.2 million and U.S. states net operating loss carryforwards of $5.9 million. Under the Internal Revenue Code, our U.S. federal net operating losses arising in tax years beginning after December 31, 2017, will not expire and may be carried forward indefinitely, but the deductibility of such U.S. federal net operating losses in a taxable year is limited to 80% of taxable income in such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Sections 382 and 383 of the Internal Revenue Code,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to offset its post-change income or taxes may be limited. As of December 31, 2025, we completed a Section 382 analysis which indicated that we have experienced an ownership change and resulted in the expiration of U.S. federal net credits before utilization and, as such, we recognized a reduction of deferred tax assets. There may be additional ownership changes in the future, some of which may be outside of our control. If we undergo an ownership change, and our ability to use our pre-change net operating loss carryforwards and other pre-change tax attributes (such as research tax credits) to offset our post-change income or taxes (if any) is limited, such limitation could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Recent and future changes to tax laws could materially adversely affect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The One Big Beautiful Bill Act (the “OBBBA”) enacted in July 2025, the Inflation Reduction Act (“IRA”) enacted in 2022, the Coronavirus Aid, Relief, and Economic Security Act enacted in 2020, and the Tax Cuts and Jobs Act enacted in 2017 made many significant changes to the U.S. tax laws. For example, the Tax Cuts and Jobs Act required taxpayers to capitalize and amortize U.S.-based and non-U.S.-based research and experimental (“R&amp;E”) expenditures over five and fifteen years, respectively. The OBBBA restores the deductibility of domestic R&amp;E expenditures in the year incurred for tax years beginning after December 31, 2024, but retains the capitalization and amortization requirement for foreign R&amp;E expenditures. In addition, the IRA includes provisions that impact the U.S. federal income taxation of certain corporations, including a 15% minimum tax on the book income of certain large corporations and a 1% excise tax on certain corporate stock repurchases that is imposed on the corporation repurchasing such stock. Future guidance from the Internal Revenue Service and other tax authorities with respect to such legislation may affect us, and certain aspects thereof could be repealed or modified in future legislation, possibly with retroactive effect. Additionally, many countries in Europe, as well as a number of other countries and organizations (including the Organization for Economic Cooperation and Development and the European Commission), have proposed, recommended, or (in the case of countries) enacted changes to existing tax laws or new tax laws that could significantly increase our tax obligations in the countries where we do business or require us to change the manner in which we operate our business.</w:t>
      </w:r>
    </w:p>
    <w:p>
      <w:pPr>
        <w:pStyle w:val="TextBody"/>
        <w:bidi w:val="0"/>
        <w:spacing w:before="0" w:after="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 xml:space="preserve">If our information technology systems, or those used by our CROs, CMOs, clinical sites or other third parties with whom we work or our data are or were compromised, become unavailable or suffer security breaches, loss or leakage of data or other disruptions, we could suffer material adverse consequences resulting from such compromise, including but not limited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operational or service interruption, harm to our reputation, regulatory investigations or actions, litigation, fines, penalties and liability, and other adverse consequences to our business,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ordinary course of our business, we, and the third parties with whom we work, process personal information and other sensitive data, including intellectual property, trade secrets, proprietary or confidential business information, preclinical and clinical trial data, personal information related to relevant stakeholders, third-party data, and other sensitive data (collectively, sensitive information) and as a result, we and the third parties with whom we work face a variety of evolving threats which could cause security incidents affecting or interruptions to our information technology systems and sensitive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information technology systems and those of our CROs, CMOs, clinical sites and other third parties with whom we work are vulnerable to attack, damage and interruption from a variety of evolving threats, including but not limited to computer viruses, misconfigurations, software bugs, worms, or other vulnerabilities and malicious codes, malware (including ransomware and as a result of advanced persistent threat intrusions), application security attacks, social engineering (including through phishing attacks and deep fakes, which may be increasingly more difficult to identify as fake), supply chain attacks and vulnerabilities through our third-party service providers, denial or degradation-of-service attacks (such as credential stuffing), credential harvesting, personnel misconduct or error, fraud, server malfunctions, software or hardware failures, loss of data or other information technology assets, attacks enhanced or facilitated by AI, adware, telecommunications and electrical failures, terrorism, war, earthquakes, fires, floods, and other similar threats. Such threats are prevalent, are occurring more often,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information), loss of income, significant extra expenses to restore data or systems, reputational loss, the diversion of funds and other consequences. To alleviate the negative impact of a ransomware attack, it may be preferable to make extortion payments, but we may be unwilling or unable to do so (including, for example, if applicable laws or regulations prohibit such payments).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Some actors also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operations and supply chain.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Furthermore, future or past business transactions (such as the ACELYRIN Merger or other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acquired entities into our information technology environment and security program.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in the past and may in the future expend significant resources and modify our business activities to try to protect against security incidents. While we take steps designed to anticipate, detect and remediate threats and vulnerabilities, because the threats and techniques used to exploit such vulnerabilities and gain unauthorized access to, to sabotage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otherwise compromise systems change frequently, are often sophisticated in nature, and often are not recognized until launched against a target, we may be unable to anticipate these techniques or implement and maintain adequate preventative measures. Therefore, such vulnerabilities have and could be exploited but may not be detected until after a security incident has occurred. We may also experience security breaches that may remain undetected for an extended period. Even if identified, we may experience delays in developing and deploying remedial measures designed to address any such identified vulnerabilities and we may be unable to adequately investigate or remediate incidents or breaches due to attackers increasingly using tools and techniques that are designed to circumvent controls, to avoid detection, and to remove or obfuscate forensic evidence. There can be no assurance that our information security policies, controls or procedures, will be fully implemented, complied with or effective in protecting our systems and sensitive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reliance on third-party service providers could introduce additional cybersecurity risks and vulnerabilities, including supply-chain attacks and other threats to our business operations. We rely on third-party service providers and technologies to operate critical business systems and to process sensitive information in a variety of contexts, including, without limitation, cloud-based infrastructure, data hosting, encryption and authentication technology, personnel email, human resource management, training and other functions. We also rely on third-party service providers to assist with our clinical trials or otherwise to operate our business, including to manage and store sensitive patient data from our clinical trials. Our ability to monitor these third parties’ information security practices is limited, and these third parties may not have adequate information security measures in place. Our third-party service providers have and may in the future experience a security incident or other interruption.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our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and certain of our service providers have been and are from time to time subject to cyberattacks and security incidents. Any of the previously identified or similar threats have or could cause a security incident or other interruption that resulted or results in unauthorized, unlawful, or accidental acquisition, modification, destruction, loss, alteration, encryption, disclosure, or other processing of, or access to our sensitive information or our information technology systems, or those of the third parties with whom we work. A security incident or other interruption could disrupt our ability (and that of third parties with whom we work) to conduct clinical trials. Additionally, our sensitive information could be leaked, disclosed, or revealed as a result of or in connection with our employees’, personnel’s or vendors’ use of generative Artificial Intelligence (“AI”) technologies.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costs related to significant security breaches or disruptions could be material and cause us to incur significant expenses. If the information technology systems of our CROs, CMOs, clinical sites and other third parties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Our contracts may not contain liability limitations and, even where they do, there can be no assurance that such limitations are sufficient to protect us from liabilities, damages or claims related to our data privacy and security obligations. Further, our cyber liability insurance coverage may not be sufficient to cover the financial, legal, business reputational or other losses that may result from an interruption or breach.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Security incidents have and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security incident were to result in the loss of or damage to our data or applications, or inappropriate disclosure of sensitive information, we could incur liability and the further development of any product candidates could be delayed.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Applicable data privacy and security obligations may require us, or we may voluntarily choose, to notify relevant stakeholders, including affected individuals, regulators, and investors, of security incidents, or take other actions, such as providing credit monitoring and identify theft protection services. Such disclosures and related actions can be costly, and the disclosure or the failure to comply with such applicable requirements could lead to adverse consequences.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Security incidents (or perceived security incidents), may result in material adverse consequences such as legal claims or proceedings, liability including litigation exposure, penalties and fines under relevant legal obligations, enforcement actions and investigations by regulatory authorities, additional reporting requirements or oversight, restrictions on processing sensitive information (including personal information), indemnification obligations, monetary fund diversions, diversion of management attention, other financial loss, and damage to our reputation and a loss of confidence in us and our ability to conduct clinical trials, which could delay the clinical development of our product candidates, and of which may adversely affect our business, results of operations or financial condition.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operations are predominantly concentrated in one location, and we or the third parties upon whom we depend may be adversely affected by a wildfire, earthquake or other natural disasters and our business continuity and disaster recovery plans may not adequately protect us from a serious disaster.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current operations are predominantly located in California. Any unplanned event, such as flood, wildfire, explosion, earthquake, extreme weather condition, medical epidemic,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service providers, such as our CMOs and CROs located globally,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trial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that we and third parties upon whom we rely have or may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CMOs,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projections regarding the market opportunities for our product candidates may not be accurate, and the actual market for our products may be smaller than we estimate.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The total addressable market across all of our product candidates will ultimately depend upon, among other things, the diagnosis criteria included in the final labeling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cash and cash equivalents may be exposed to failure of our banking institutions.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While we seek to minimize our exposure to third-party losses of our cash and cash equivalents, we hold our balances in a number of large financial institutions. Notwithstanding, those institutions are subject to risk of failure. For example,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10, 2023, Silicon Valley Bank (“SVB”) was closed by the California Department of Financial Protection and Innovation, which appointed the Federal Deposit Insurance Corporation (the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the FDIC and the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the FDIC and the Federal Reserve will provide access to uninsured funds in the future in the event of the closure of other banks or financial institutions, or that they would do so in a timely fashion.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Public opinion and scrutiny of immunology treatments may impact public perception of our company and product candidates, or may adversely affect our ability to conduct our business and our business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Public perception may be influenced by claims, such as claims that our product candidates are unsafe, unethical or immoral and, consequently, our approach may not gain the acceptance of the public or the medical community. Adverse public attitudes may also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approval of our product candidates, stricter labeling requirements for those product candidates that are approved and a decrease in demand for any such product candidates. In addition, side effects generally associated with TYK2 or JAK inhibitors may negatively impact public perception of us or envu and A-005.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additional future impairment of the acquired IPR&amp;D intangible assets related to the ACELYRIN Merger may negatively affect our results of operations and financial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2026, following completion of our strategic review of the lonigutamab program, we decided to pursue strategic alternatives for the program, requiring an interim impairment assessment of the acquired IPR&amp;D intangible asset related to the ACELYRIN Merger. The assessment resulted in the recognition of an impairment loss of $41.8 million, which was recognized in operating expenses in our unaudited condensed consolidated statement of operations and comprehensive income (loss) for the three and six months ended June 30, 2026. The impairment loss reduced the carrying value of the acquired IPR&amp;D intangible asset to its estimated fair value of $9.1 million as of June 30, 2026. Indefinite-lived intangible assets are subject to an impairment analysis whenever events or changes in circumstances indicate the carrying amount of the asset may not be recoverable. Additionally,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any additional future impairment of indefinite-lived intangible assets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pacing w:val="-4"/>
          <w:sz w:val="20"/>
        </w:rPr>
        <w:t>Risks Related to Intellectual Property</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rely upon a combination of patents, know-how and confidentiality agreements to protect the intellectual property related to our product candidates and technologies and to prevent third parties from copying and surpassing our achievements, thus eroding our competitive position in our market. 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product candidates and novel discoveries that are important to our business.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have in the past and will continue to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w:t>
      </w:r>
      <w:r>
        <w:rPr>
          <w:rFonts w:ascii="Times New Roman;Times;serif" w:hAnsi="Times New Roman;Times;serif"/>
          <w:spacing w:val="4"/>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Composition of matter patents for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As a result, the issuance, scope, validity, enforceability and commercial value of any patent rights are highly uncertain. Our pending and future owned or in-licensed patent applications may not result in issued patents that protect our product candidates effectively to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issuance of a patent is not conclusive as to its inventorship, scope, validity or enforceability and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interferences, inter partes review (“IPR”)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product candidates, or limit the duration of the patent protection of our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third party may also claim that our patent rights are invalid or unenforceable in a litigation. An adverse result in any legal proceeding could put one or more of our owned or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cannot ensure that patent rights relating to inventions described and claimed in our or any current or future licensors’ and licensees’ pending patent applications will issue or that patents based on our or any current or future licensors’ and licensees’ patent applications will not be challenged and rendered invalid and/or unenforceable.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patent application process is subject to numerous risks and uncertainties, and there can be no assurance that we or any of our current or future licensors, licensees or collaborators will be successful in protecting our product candidates by obtaining and defending patents. We have several pending United States and foreign patent applications in our portfolio. We cannot predict:</w:t>
      </w:r>
    </w:p>
    <w:tbl>
      <w:tblPr>
        <w:tblW w:w="5904" w:type="dxa"/>
        <w:jc w:val="left"/>
        <w:tblInd w:w="0" w:type="dxa"/>
        <w:tblLayout w:type="fixed"/>
        <w:tblCellMar>
          <w:top w:w="28" w:type="dxa"/>
          <w:left w:w="28" w:type="dxa"/>
          <w:bottom w:w="28" w:type="dxa"/>
          <w:right w:w="28" w:type="dxa"/>
        </w:tblCellMar>
      </w:tblPr>
      <w:tblGrid>
        <w:gridCol w:w="124"/>
        <w:gridCol w:w="256"/>
        <w:gridCol w:w="552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if and when patents may issue based on our patent applications; </w:t>
            </w:r>
          </w:p>
        </w:tc>
      </w:tr>
    </w:tbl>
    <w:tbl>
      <w:tblPr>
        <w:tblW w:w="7137" w:type="dxa"/>
        <w:jc w:val="left"/>
        <w:tblInd w:w="0" w:type="dxa"/>
        <w:tblLayout w:type="fixed"/>
        <w:tblCellMar>
          <w:top w:w="28" w:type="dxa"/>
          <w:left w:w="28" w:type="dxa"/>
          <w:bottom w:w="28" w:type="dxa"/>
          <w:right w:w="28" w:type="dxa"/>
        </w:tblCellMar>
      </w:tblPr>
      <w:tblGrid>
        <w:gridCol w:w="124"/>
        <w:gridCol w:w="256"/>
        <w:gridCol w:w="675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scope of protection of any patent issuing based on our patent applications;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whether the claims of any patent issuing based on our patent applications will provide protection against competitors; </w:t>
            </w:r>
          </w:p>
        </w:tc>
      </w:tr>
    </w:tbl>
    <w:tbl>
      <w:tblPr>
        <w:tblW w:w="7885" w:type="dxa"/>
        <w:jc w:val="left"/>
        <w:tblInd w:w="0" w:type="dxa"/>
        <w:tblLayout w:type="fixed"/>
        <w:tblCellMar>
          <w:top w:w="28" w:type="dxa"/>
          <w:left w:w="28" w:type="dxa"/>
          <w:bottom w:w="28" w:type="dxa"/>
          <w:right w:w="28" w:type="dxa"/>
        </w:tblCellMar>
      </w:tblPr>
      <w:tblGrid>
        <w:gridCol w:w="124"/>
        <w:gridCol w:w="256"/>
        <w:gridCol w:w="750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whether or not third parties will find ways to invalidate or circumvent our patent rights;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whether or not others will obtain patents claiming aspects similar to those covered by our patents and patent applications;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whether we will need to initiate litigation or administrative proceedings to enforce and/or defend our patent rights which will be costly whether we win or lose;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whether the patent applications that we own will result in issued patents with claims that cover our product candidates or uses thereof in the United States or in other foreign countries.</w:t>
            </w:r>
            <w:r>
              <w:rPr>
                <w:caps w:val="false"/>
                <w:smallCaps w:val="false"/>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cannot be certain that the claims in our or any current or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current or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current or future licensors’ patent claims or, if issued, affect the validity or enforceability of a patent claim. Even if the patents do issue based on our or any current or future licensors’ patent applications, third parties may challenge the validity, enforceability or scope thereof, which may result in such patents being narrowed, invalidated or held unenforceable. Furthermore, even if they are unchallenged, patents in our or any current or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not be able to protect our intellectual property rights throughout the world.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Patents are of national or regional effect, and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current or future licensors’ inventions in all countries outside the United States, even in jurisdictions where we or any current or future licensors do pursue patent protection, or from selling or importing products made using our or any current or future licensors’ inventions in and into the United States or other jurisdictions. Competitors may use our or any current or future licensors’ technologies in jurisdictions where we have not obtained patent protection to develop their own products and, further, may export otherwise infringing products to territories where we or any current or future licensors have patent protection, but enforcement is not as strong as that in the United States. These competitor products may compete with our product candidates, and our or any current or future licensors’ patents or other intellectual property rights may not be effective or sufficient to prevent them from competing.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or any current or future licensors’ patents or marketing of competing products in violation of our proprietary rights.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current or future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in the future.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Intellectual property rights do not necessarily address all potential threats to our competitive advantage.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others may be able to make product candidates that are similar to ours but that are not covered by the pending patent applications that we own or any patents or patent applications that we currently in-license or may in-license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or any current or future licensors or collaborators might not have been the first to make the inventions covered by the pending patent application that we own or may in-license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we or any current or future licensors or collaborators might not have been the first to file patent applications covering certain of our or their inventions;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others may independently develop similar or alternative technologies or duplicate any of our technologies without infringing or otherwise violating our owned intellectual property rights or any patent applications that we may license in the future;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it is possible that our pending owned patent applications or those that we may own or license in the future will not lead to issued patents;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issued patents, if any arise in the future, that we either own or that we may license in the future may be revoked, modified, or held invalid or unenforceable, as a result of legal challenges by our competitors;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others may have access to the same intellectual property rights licensed to us in the future on a non-exclusive basis;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tbl>
      <w:tblPr>
        <w:tblW w:w="6965" w:type="dxa"/>
        <w:jc w:val="left"/>
        <w:tblInd w:w="0" w:type="dxa"/>
        <w:tblLayout w:type="fixed"/>
        <w:tblCellMar>
          <w:top w:w="28" w:type="dxa"/>
          <w:left w:w="28" w:type="dxa"/>
          <w:bottom w:w="28" w:type="dxa"/>
          <w:right w:w="28" w:type="dxa"/>
        </w:tblCellMar>
      </w:tblPr>
      <w:tblGrid>
        <w:gridCol w:w="124"/>
        <w:gridCol w:w="256"/>
        <w:gridCol w:w="658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not develop additional proprietary technologies that are patentable;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cannot predict the scope of protection of any patent issuing based on our or any current or future licensors’ patent applications, including whether the patent applications that we own, or, in the future, in-license will result in issued patents with claims directed to our product candidates or uses thereof in the United States or in other foreign countries;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countries other than the United States may have patent laws less favorable to patentees than those upheld by United States courts, allowing foreign competitors a better opportunity to create, develop and market competing product candidates; the claims of any patent issuing based on our patent applications may not provide protection against competitors or any competitive advantages, or may be challenged by third parties; </w:t>
            </w:r>
          </w:p>
        </w:tc>
      </w:tr>
    </w:tbl>
    <w:tbl>
      <w:tblPr>
        <w:tblW w:w="9959" w:type="dxa"/>
        <w:jc w:val="left"/>
        <w:tblInd w:w="0" w:type="dxa"/>
        <w:tblLayout w:type="fixed"/>
        <w:tblCellMar>
          <w:top w:w="28" w:type="dxa"/>
          <w:left w:w="28" w:type="dxa"/>
          <w:bottom w:w="28" w:type="dxa"/>
          <w:right w:w="28" w:type="dxa"/>
        </w:tblCellMar>
      </w:tblPr>
      <w:tblGrid>
        <w:gridCol w:w="124"/>
        <w:gridCol w:w="256"/>
        <w:gridCol w:w="957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if enforced, a court may not hold that our patents, if they issue in the future, are valid, enforceable and infringed;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need to initiate litigation or administrative proceedings to enforce and/or defend our patent rights which will be costly whether we win or lose;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choose not to file a patent application in order to maintain certain trade secrets or know-how, and a third party may subsequently file a patent application covering such intellectual property; </w:t>
            </w:r>
          </w:p>
        </w:tc>
      </w:tr>
    </w:tbl>
    <w:tbl>
      <w:tblPr>
        <w:tblW w:w="7426" w:type="dxa"/>
        <w:jc w:val="left"/>
        <w:tblInd w:w="0" w:type="dxa"/>
        <w:tblLayout w:type="fixed"/>
        <w:tblCellMar>
          <w:top w:w="28" w:type="dxa"/>
          <w:left w:w="28" w:type="dxa"/>
          <w:bottom w:w="28" w:type="dxa"/>
          <w:right w:w="28" w:type="dxa"/>
        </w:tblCellMar>
      </w:tblPr>
      <w:tblGrid>
        <w:gridCol w:w="124"/>
        <w:gridCol w:w="256"/>
        <w:gridCol w:w="7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fail to adequately protect and police our trademarks and trade secrets;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patents of others may have an adverse effect on our business, including if others obtain patents claiming subject matter similar to or improving that covered by our patent applications.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Should any of these or similar events occur, they could significantly harm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Numerous United States and foreign patents and pending patent applications exist in our market that are owned by third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be involved in lawsuits to protect or enforce our patents or other intellectual property, which could be expensive, time-consuming and unsuccessful.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Competitors or other third parties may infringe our patents, trademarks or other intellectual property. To counter infringement or unauthorized use, we or any current or future licensors may be required to file infringement claims, which can be expensive and time consuming and divert the time and attention of our management and scientific personnel. Our or any current or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current or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any current or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current or future licensors’ patent claims do not cover the invention, or decide that the other party’s use of our or any current or future licensors’ patented technology falls under the safe harbor to patent infringement under 35 U.S.C. §271(e)(1). An adverse outcome in a litigation or proceeding involving our or any current or future licensors’ patents could limit our ability to assert our or any current or future licensors’ patents against those parties or other competitors and may curtail or preclude our ability to exclude third parties from making and selling similar or competitive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become involved in third-party claims of intellectual property infringement, which may prevent or delay our product discovery and development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commercial success depends in part on our avoiding infringement of the patents and proprietary rights of third parties. 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their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third party alleges that we infringe its intellectual property rights, we may face a number of issues,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infringement and other intellectual property misappropriation which, regardless of merit, may be expensive and time-consuming to litigate and may divert our management’s attention from our core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pacing w:val="4"/>
                <w:sz w:val="20"/>
              </w:rPr>
              <w:t xml:space="preserve">an injunction prohibiting us from manufacturing, marketing or selling our product candidates, or from using our proprietary technologies, unless the third party agrees to license its patent rights to us;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even if a license is available from a third party, we may have to pay substantial royalties, upfront fees and other amounts, and/or grant cross-licenses to intellectual property rights protecting our products;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we may be forced to try to redesign our product candidates or processes so they do not infringe third-party intellectual property rights, an undertaking which may not be possible or which may require substantial monetary expenditures and time.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if approved,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not be successful in obtaining or maintaining necessary rights to our product candidates through acquisitions and in-licenses.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and acquisition of third-party intellectual property rights is a competitive area, and a number of more established companies may pursue strategies to license or acquire third-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may enter into license agreements in the future with others to advance our existing or future research or allow commercialization of our existing or future product candidates, if approved.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if approved,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We may become subject to claims challenging the inventorship or ownership of our or any current or future licensors’ patents and other intellectual property.</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may be subject to claims that former employees, collaborators or other third parties have an interest in our or any current or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current or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r>
        <w:rPr>
          <w:rFonts w:ascii="Times New Roman;Times;serif" w:hAnsi="Times New Roman;Times;serif"/>
          <w:spacing w:val="4"/>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have and may continue to form or seek collaborations or strategic alliances or enter into licensing arrangements in the future, and we may neither enter into, nor realize the benefits of, such alliances or licensing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and any future, collaborations that we enter into may not be successful and we may not enter into such collaborations at all. The success of our collaboration arrangements will depend heavily on the efforts and activities of any future collaborators. Collaborations are subject to numerous risks, which may include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collaborators have significant discretion in determining the efforts and resources that they will apply to collaborations;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collaborators could independently develop, or develop with third parties, products that compete directly or indirectly with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collaborator with marketing, manufacturing and distribution rights to one or more products may not commit sufficient resources to or otherwise not perform satisfactorily in carrying out these activities;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could grant exclusive rights to our collaborators that would prevent us from collaborating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disputes may arise between us and a collaborator that causes the delay or termination of the research, development or commercialization of our future product candidates or that results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collaborations may be terminated, and, if terminated, may result in a need for additional capital to pursue further development or commercialization of the applicable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collaborators may own or co-own intellectual property covering our product candidates that results from our collaborating with them, and in such cases, we would not have the exclusive right to develop or commercialize such intellectual property;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collaborator’s sales and marketing activities or other operations may not be in compliance with applicable laws, resulting in civil or criminal proceedings.</w:t>
            </w:r>
          </w:p>
        </w:tc>
      </w:tr>
    </w:tbl>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we fail to comply with our obligations in the agreements under which we in-license or acquire development or commercialization rights to product candidates, or data from third parties, we could lose such rights that are important to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heavily reliant upon licenses to certain patent rights and other intellectual property for the development of lonigutamab. For example, we depend on licenses from Pierre Fabre for certain intellectual property relating to the development and commercialization of lonigutamab, respectively, in specific territories.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Pierre Fabre may have relied upon, and any future licensors may rely upon, third-party companies, consultants or collaborators, or on funds from third parties such that our licensors are not the sole and exclusive owners of the patents we in-licensed. If our licensors, including Pierre Fabre, fail to prosecute, maintain, enforce, and defend such patents, or lose rights to those patents, the rights we have licensed may be reduced or eliminated, and our right to develop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commercialize lonigutamab could be adversely affected.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lonigutamab or our other product candidates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spite of our efforts,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In addition, our exploration and any potential consummation of strategic alternatives for the lonigutamab program may require us to seek amendments to, or waivers under, our existing license agreement with Pierre Fabre, and there can be no assurance that such amendments or waivers would be agreed to on commercially acceptable terms or at all.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Disputes may arise regarding intellectual property subject to a licensing agreement, including: </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scope of rights granted under the license agreement and other interpretation-related issues;</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financial or other obligations under the license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extent to which our processes infringe on intellectual property of the licensor that is not subject to the licensing agreement;</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sublicensing of patent and other rights under our collaborative development relationships;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diligence obligations under the license agreement and what activities satisfy those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inventorship or ownership of inventions and know-how resulting from the joint creation or use of intellectual property by our licensors and us and our partners; and</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priority of invention of patented technology.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our license agreements are, and any future license agreements are likely to be, complex, and certain provisions in such agreements may be susceptible to multiple interpretations.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or may license in the future prevent or impair our ability to maintain our current or future licensing arrangements on commercially acceptable terms, we may be unable to successfully develop and commercialize the affected product candidates, which could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have entered into, and may in the future enter into, license agreements that subject us to certain rights retained by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the Kaken Collaboration Agreement with Kaken, pursuant to which we have granted Kaken an exclusive license to develop, manufacture and commercialize envu for dermatology indications in Japan. Under the Kaken Collaboration Agreement, Kaken has options to expand the license into rheumatological and gastrointestinal indications in Japan, and Kaken is responsible for the clinical development, regulatory approvals and commercialization of envu in Japan in dermatology and other indications for which Kaken has exercised its option. We retain global rights to envu outside of those granted to Kaken. In addition, any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United States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 While we do not currently engage, and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Changes in patent law in the United States and other jurisdictions could diminish the value of patents in general, thereby impairing our ability to protect our product candidates.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“Leahy-Smith Act”), signed into law on September 16, 2011, could increase those uncertainties and costs surrounding the prosecution of patent applications filed after March 2013 and the enforcement or defense of our future issued patents or claiming priority to patent applications filed after March 2013.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any current or future licensors’ patent claims that would not have been invalidated if first challenged by the third party as a defendant in a district court action. Thus, the Leahy-Smith Act and its implementation could increase the uncertainties and costs surrounding the prosecution of our or any current or future licensors’ patent applications and the enforcement or defense of our or any current or future licensors’ future issued patents, all of which could adversely affect our business, financial condition, results of operations and prospects.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any current or future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any current or future licensors were the first to either (i) file any patent application related to our product candidates and other proprietary technologies we may develop or (ii) invent any of the inventions claimed in our or any current or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or any current or future licensors’ ability to obtain new patents and patents that we or any current or future licensors might obtain in the future.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r>
        <w:rPr>
          <w:rFonts w:ascii="Times New Roman;Times;serif" w:hAnsi="Times New Roman;Times;serif"/>
          <w:spacing w:val="4"/>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Periodic maintenance fees, renewal fees, annuity fees and various other government fees on patents and/or applications will be due to be paid to the USPTO and various government patent agencies outside of the United States over the lifetime of our patents and patent applications. We rely on our outside patent counsel to pay these fees due to United States and non-United States patent agencies. The USPTO and various non-United States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event, potential competitors might be able to enter the market and this circumstance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Patent terms may be inadequate to protect our competitive position on products or product candidates for an adequate amount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we do not obtain patent term extension for our product candidates, our business may be materially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Depending upon the timing, duration and specifics of any FDA regulatory approval of our product candidates, one or more of our issued United States patents or issued United States patents that we may own in the future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we are unable to protect the confidentiality of our trade secrets, our business and competitive position would be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the protection afforded by patents, we seek to rely on trade secret protection to protect proprietary know-how that is not patentable, processes for which patents are difficult to enforce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Monitoring and detecting unauthorized disclosure or other compromise of trade secrets is difficult, and we do not know whether the steps we have taken to prevent such compromise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business, including confidential aspects of sample preparation, methods of manufacturing, proprietary assays, computational-biological algorithms, data analytics and machine learning related to genetics, genomics, proteomics, biomarkers and samples, and related processes and software, are based on unpatented trade secrets, including those of our collaborators. For example, our collaborator, Foresite Labs, utilizes extensive trade secret algorithms, machine learning and AI analysis techniques, and we rely on their maintenance of these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our trademarks and trade names are not adequately protected, then we may not be able to build name recognition in our markets of interest and our business may be adversely affected.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unregistered trademarks, trade names or future registered trademarks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0" w:after="240"/>
        <w:ind w:left="0" w:right="0" w:hanging="0"/>
        <w:jc w:val="both"/>
        <w:rPr>
          <w:rFonts w:ascii="Times New Roman;Times;serif" w:hAnsi="Times New Roman;Times;serif"/>
          <w:b/>
          <w:spacing w:val="-4"/>
          <w:sz w:val="20"/>
        </w:rPr>
      </w:pPr>
      <w:r>
        <w:rPr>
          <w:rFonts w:ascii="Times New Roman;Times;serif" w:hAnsi="Times New Roman;Times;serif"/>
          <w:b/>
          <w:spacing w:val="-4"/>
          <w:sz w:val="20"/>
        </w:rPr>
        <w:t>Risks Related to Government Regulation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regulatory approvals that we or our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if the FDA or a comparable foreign regulatory authority approves our product candidates, the manufacturing processes, labeling, packaging, distribution, post-approval monitoring and AE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Comparable foreign regulatory authorities may have similar authority. The manufacturing facilities we use to make a future product, if any, will also be subject to periodic review and inspection by the FDA and other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As we expect to rely on third-party manufacturers, we will have limited control over compliance with applicable rules and regulations by such manufacturers.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any product promotion and advertising will also be subject to regulatory requirements and continuing regulatory review. For example, the FDA and comparable foreign regulatory authorities impose stringent restrictions on manufacturers’ communications regarding use of their products. Although clinicians may prescribe products for off-label uses, as the FDA and comparable foreign regulatory authorities do not regulate a physician’s choice of drug treatment made in the physician’s independent medical judgment, the FDA and such comparable foreign regulatory authorities do restrict promotional communications from companies or their sales force with respect to off-label uses of products. Specifically, any regulatory approval that the FDA grants is limited to those specific diseases and indications for which a product is deemed to be safe and effective by FDA, and our ability to promote any products will be narrowly limited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those indications that are specifically approved by the FDA. Similar restrictions apply in other countries. In the EU, 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If we are found to have promoted such off-label uses, we may become subject to significant liability. In addition, if we do not conduct head-to-head comparative clinical trials for our product candidates, we will be unable to make comparative claims regarding any other products in the promotional materials for our product candidates. If we promote our products, if approved, in a manner inconsistent with FDA-approved labeling, or the labeling approved by another comparable foreign regulatory authority, or otherwise not in compliance with FDA regulations or comparable foreign rules, we may be subject to enforcement action.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Subsequent discovery of previously unknown problems with a product, including AEs of unanticipated severity or frequency, or with our third-party manufacturers or manufacturing processes, or failure by us, our contract manufacturers or service providers, or collaborators to comply with regulatory requirements, may result in, among other things: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restrictions on the marketing or manufacturing of the product, withdrawal of the product from the market or voluntary or mandatory product recalls; </w:t>
            </w:r>
          </w:p>
        </w:tc>
      </w:tr>
    </w:tbl>
    <w:tbl>
      <w:tblPr>
        <w:tblW w:w="9762" w:type="dxa"/>
        <w:jc w:val="left"/>
        <w:tblInd w:w="0" w:type="dxa"/>
        <w:tblLayout w:type="fixed"/>
        <w:tblCellMar>
          <w:top w:w="28" w:type="dxa"/>
          <w:left w:w="28" w:type="dxa"/>
          <w:bottom w:w="28" w:type="dxa"/>
          <w:right w:w="28" w:type="dxa"/>
        </w:tblCellMar>
      </w:tblPr>
      <w:tblGrid>
        <w:gridCol w:w="124"/>
        <w:gridCol w:w="256"/>
        <w:gridCol w:w="938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restrictions on product distribution or use, or requirements to conduct post-marketing studies or clinical trials;</w:t>
            </w:r>
          </w:p>
        </w:tc>
      </w:tr>
    </w:tbl>
    <w:tbl>
      <w:tblPr>
        <w:tblW w:w="2441" w:type="dxa"/>
        <w:jc w:val="left"/>
        <w:tblInd w:w="0" w:type="dxa"/>
        <w:tblLayout w:type="fixed"/>
        <w:tblCellMar>
          <w:top w:w="28" w:type="dxa"/>
          <w:left w:w="28" w:type="dxa"/>
          <w:bottom w:w="28" w:type="dxa"/>
          <w:right w:w="28" w:type="dxa"/>
        </w:tblCellMar>
      </w:tblPr>
      <w:tblGrid>
        <w:gridCol w:w="124"/>
        <w:gridCol w:w="256"/>
        <w:gridCol w:w="2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operating restrictions; </w:t>
            </w:r>
          </w:p>
        </w:tc>
      </w:tr>
    </w:tbl>
    <w:tbl>
      <w:tblPr>
        <w:tblW w:w="2474" w:type="dxa"/>
        <w:jc w:val="left"/>
        <w:tblInd w:w="0" w:type="dxa"/>
        <w:tblLayout w:type="fixed"/>
        <w:tblCellMar>
          <w:top w:w="28" w:type="dxa"/>
          <w:left w:w="28" w:type="dxa"/>
          <w:bottom w:w="28" w:type="dxa"/>
          <w:right w:w="28" w:type="dxa"/>
        </w:tblCellMar>
      </w:tblPr>
      <w:tblGrid>
        <w:gridCol w:w="124"/>
        <w:gridCol w:w="256"/>
        <w:gridCol w:w="209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holds on clinical trials;</w:t>
            </w:r>
          </w:p>
        </w:tc>
      </w:tr>
    </w:tbl>
    <w:tbl>
      <w:tblPr>
        <w:tblW w:w="2820" w:type="dxa"/>
        <w:jc w:val="left"/>
        <w:tblInd w:w="0" w:type="dxa"/>
        <w:tblLayout w:type="fixed"/>
        <w:tblCellMar>
          <w:top w:w="28" w:type="dxa"/>
          <w:left w:w="28" w:type="dxa"/>
          <w:bottom w:w="28" w:type="dxa"/>
          <w:right w:w="28" w:type="dxa"/>
        </w:tblCellMar>
      </w:tblPr>
      <w:tblGrid>
        <w:gridCol w:w="124"/>
        <w:gridCol w:w="256"/>
        <w:gridCol w:w="244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warning or untitled letters;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refusal by the FDA or comparable foreign regulatory authorities to approve, or delays in the approval of, pending applications or supplements to approved applications; </w:t>
            </w:r>
          </w:p>
        </w:tc>
      </w:tr>
    </w:tbl>
    <w:tbl>
      <w:tblPr>
        <w:tblW w:w="5387" w:type="dxa"/>
        <w:jc w:val="left"/>
        <w:tblInd w:w="0" w:type="dxa"/>
        <w:tblLayout w:type="fixed"/>
        <w:tblCellMar>
          <w:top w:w="28" w:type="dxa"/>
          <w:left w:w="28" w:type="dxa"/>
          <w:bottom w:w="28" w:type="dxa"/>
          <w:right w:w="28" w:type="dxa"/>
        </w:tblCellMar>
      </w:tblPr>
      <w:tblGrid>
        <w:gridCol w:w="124"/>
        <w:gridCol w:w="256"/>
        <w:gridCol w:w="500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suspension, variation or revocation of product approvals; </w:t>
            </w:r>
          </w:p>
        </w:tc>
      </w:tr>
    </w:tbl>
    <w:tbl>
      <w:tblPr>
        <w:tblW w:w="7693" w:type="dxa"/>
        <w:jc w:val="left"/>
        <w:tblInd w:w="0" w:type="dxa"/>
        <w:tblLayout w:type="fixed"/>
        <w:tblCellMar>
          <w:top w:w="28" w:type="dxa"/>
          <w:left w:w="28" w:type="dxa"/>
          <w:bottom w:w="28" w:type="dxa"/>
          <w:right w:w="28" w:type="dxa"/>
        </w:tblCellMar>
      </w:tblPr>
      <w:tblGrid>
        <w:gridCol w:w="124"/>
        <w:gridCol w:w="256"/>
        <w:gridCol w:w="731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1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product seizure or detention or refusal to permit the import or export of products; and </w:t>
            </w:r>
          </w:p>
        </w:tc>
      </w:tr>
    </w:tbl>
    <w:tbl>
      <w:tblPr>
        <w:tblW w:w="5507" w:type="dxa"/>
        <w:jc w:val="left"/>
        <w:tblInd w:w="0" w:type="dxa"/>
        <w:tblLayout w:type="fixed"/>
        <w:tblCellMar>
          <w:top w:w="28" w:type="dxa"/>
          <w:left w:w="28" w:type="dxa"/>
          <w:bottom w:w="28" w:type="dxa"/>
          <w:right w:w="28" w:type="dxa"/>
        </w:tblCellMar>
      </w:tblPr>
      <w:tblGrid>
        <w:gridCol w:w="124"/>
        <w:gridCol w:w="256"/>
        <w:gridCol w:w="512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injunctions or the imposition of civil or criminal penalties.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FDA’s and comparable foreign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or executive action, either in the United States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As a result of the U.S. Supreme Court’s decision, the FDA and other agencies may be less inclined to engage in formal regulation and may rely to a greater degree on informal guidance, which may not always be susceptible to immediate challenge. We cannot predict the likelihood, nature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extent of government regulation or guidance that may arise from future court decisions,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Recently enacted legislation, future legislation and other healthcare reform measures may increase the difficulty and cost for us to obtain regulatory approval for and commercialize our product candidates and may affect the prices we may set.</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healthcare.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in March 2010, the Patient Protection and Affordable Care Act, as amended by the Health Care and Education Reconciliation Act (collectively, the “ACA”) was enacted in the United States, which made a number of substantial changes in the way healthcare is financed by both governmental and private insurers.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establishing Most-Favored-Nation pricing for pharmaceutical products and launching an online clearinghouse, referred to as TrumpRx, for patients to purchase certain products from manufacturers on a cash pay basis;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among other things, impact the drug approval process and make changes to the Medicare Drug Price Negotiation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Individual states in the United States have also become increasingly active in passing legislation and implementing regulations designed to control pharmaceutical and biological product pricing, including price or patient reimbursement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these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Moreover, in order to obtain reimbursement for our products in some European countries, including some EU member states, we may be required to compile additional data comparing the cost-effectiveness of our products to other available therapies. This assessment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original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Regulation No 2021/2282 on HTA amending Directive 2011/24/EU, entered into force through a phased implementation depending on the concerned products. The Regulation intends to boost cooperation among EU member states in assessing health technologies, including new medicinal products. The Regulation establishes the framework for EU level joint clinical assessments, joint clinical assessments, joint scientific consultations, and the early identification of emerging health technologies. It permits EU member states to use common HTA tools, methodologies, and procedures across the EU, working together in four main areas and requires them to rely on EU-level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Our operations and relationships with healthcare providers, healthcare organizations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arrangements with healthcare providers, healthcare organizations and third-party payors will expose us to broadly applicable anti-bribery, fraud and abuse and other healthcare laws and regulations that may constrain the business or financial arrangements and relationships through which we research, market, sell and distribute our product candidates, if approved. Restrictions under applicable federal, state and foreign anti-bribery and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HIPAA, as amended by the Health Information Technology for Economic and Clinical Health Act of 2009,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federal legislation commonly referred to as the Physician Payments Sunshine Act, enacted as part of the ACA, and its implementing regulations, which requires certain manufacturers of covered drugs, devices, biologics and medical supplies that are reimbursable under Medicare, Medicaid, or the Children’s Health Insurance Program, with certain exceptions, to report annually to CMS information on certain payments and other transfers of value to clinicians (defined to include doctors, dentists, optometrists, podiatrists and chiropractors), teaching hospitals, and certain other health care providers (such as physician assistants and nurse practitioners), as well as ownership and investment interests held by the clinicians described above and their immediate family members;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analogous state and foreign laws and regulations, such as state and foreign anti-kickback and false claims laws, that may apply to sales or marketing arrangements and claims involving healthcare items or services reimbursed by non-governmental third-party payors, including private insurers;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certain state and foreign laws that require pharmaceutical companies to comply with the pharmaceutical industry’s voluntary compliance guidelines and the relevant compliance guidance promulgated by the government in addition to requiring drug manufacturers to report information related to payments to clinicians and other healthcare providers or marketing expenditures and drug pricing information, and state and local laws that require the registration of pharmaceutical sales representatives.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EU, interactions between pharmaceutical companies and healthcare professionals and healthcare organizations are governed by strict laws, regulations, industry self-regulation codes of conduct and physicians’ codes of professional conduct both at EU level and in the individual EU member states. The provision of benefits or advantages to healthcare professionals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transparency and reporting rules may require pharmaceutical companies to report/publish transfers of value provided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healthcare professionals and associations on a regular (e.g. annual)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or our future collaborators, manufacturers or service providers fail to comply with applicable federal, state or foreign laws or regulations, we could be subject to enforcement actions, which could affect our ability to develop, market and sell our product candidates successfully and could harm our reputation and lead to reduced acceptance of our products, if approved by the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 any of which could adversely affect our financial results.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Governments outside the United States tend to impose strict price controls, which may adversely affect our revenue, if any.</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some countries, particularly in the EU, the pricing of prescription pharmaceuticals is subject to governmental control. In these countries, pricing negotiations with governmental authorities can take considerable time after the receipt of regulatory approval for a drug. To obtain coverage and reimbursement or pricing approval in some countries, we may be required to conduct a study that compares the cost-effectiveness of our product candidate to other available therapies. In addition, many countries outside the United States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We and the third parties with whom we work are subject to stringent and evolving U.S. and foreign laws, regulations, rules, contractual obligations, policies and other obligations related to data privacy and security. Our (including the third parties with whom we work)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business, we collect, receive, store, process, generate, use, transfer, disclose, make accessible, protect, secure, dispose of, transmit, and share (collectively, process or processing) personal information and other sensitive information, including proprietary and confidential business data, trade secrets, employee data, intellectual property, data we collect about trial participants in connection with clinical trials, and other sensitive third-party data (collectively, sensitive information). Our data processing activities presently and may in the future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Various federal, state, local and foreign legislative and regulatory bodies, or self-regulatory organizations, may expand current laws, rules or regulations, enact new laws, rules or regulations or issue revised rules or guidance regarding data privacy and security. Implementation standards and enforcement practices are likely to remain uncertain for the foreseeable future, and we cannot yet determine the impact future laws, regulations, standards, or perception of their requirements may have on our business.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United States, federal, state, and local governments have enacted numerous data privacy and security laws, including data breach notification laws, personal information privacy laws, and consumer protection laws. For example, HIPAA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imposes specific requirements relating to the privacy, security, and transmission of individually identifiable health information. We may obtain health information from third parties that are subject to privacy and security requirements under HIPAA. Depending on the facts and circumstances, we could be subject to significant penalties if we violate HIPAA.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California Consumer Privacy Act (“CCPA”) applies to personal information of California consumers, business representatives, and employees, and among other things requires regulated businesses to provide specific disclosures in privacy notices and honor requests of California residents to exercise certain privacy rights, including the right to opt out of certain disclosures of their information. The CCPA provides for civil penalties as well as a private right of action with statutory damages for certain data breaches, thereby potentially increasing risks associated with a data breach. In addition, although the CCPA includes limited exceptions, including for certain information collected as part of clinical trials, the CCPA may impact our processing of personal data and our compliance costs depending on how it is interpreted. Similar laws are being considered or have been enacted in several other states, as well as at the federal and local levels. While certain U.S. state privacy laws, like the CCPA, may also exempt some data processed in the context of clinical trials, these developments further complicate compliance efforts, and increase legal risk and compliance costs for us and the third parties with whom we work. In addition to government activity, privacy advocacy groups and technology and other industries are considering various new, additional or different self-regulatory standards that may place additional burdens on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also various laws, regulations and industry standards in other jurisdictions outside the United States relating to data privacy and security, with which we presently or in the future may need to comply. For example, the EU’s General Data Protection Regulation (“EU GDPR”) and the UK’s equivalent (“UK GDPR”), collectively, GDPR, impose strict requirements for processing personal information (referred to as “personal data” under the GDPR). Notably, under the GDPR, companies may face temporary or definitive bans on data processing and other corrective actions; fines of up to €20 million under the EU GDPR / £17.5 million under the UK GDPR, or, in each case, 4% of the annual global revenue of the noncompliant undertaking, whichever is greater. The GDPR also provides for private litigation related to processing of personal data brought by classes of data subjects or consumer protection organizations authorized at law to represent their interests. Additionally, EU member states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process such special categories of personal data, and could cause our compliance costs to increase, ultimately adversely affecting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our employees, other personnel and/or vendors use generative AI technologies to perform their work, and the disclosure and use of personal information in generative AI technologies is subject to various privacy laws and other privacy obligations. Any errors, flaws or other unintended issues in or associated with AI inputs, outputs or technologies could result in adverse impacts on our business. Governments have passed and are likely to pass additional laws regulating generative AI. Our, or our vendors’, use of this technology could result in additional compliance costs, regulatory investigations and actions, and lawsuits. If we, or our vendors, are unable to use generative AI, it could make our business less efficient in some cases, and result in increased costs or competitive disadvantages.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(the “EEA”) and the UK have significantly restricted the transfer of personal information to the United States and other countries whose privacy laws it generally believes are inadequate. Although there are currently various mechanisms that may be used to transfer personal information from the EEA and UK to the United States in compliance with law, such as the EEA standard contractual clauses, the UK’s International Data Transfer Agreement / Addendum, the EU-US Data Privacy Framework, and the UK extension thereto (“Data Privacy Framework”) (which allows for transfers to relevant U.S.-based organizations who self-certify compliance and participate in the Data Privacy Framework), these mechanisms are subject to legal challenges, and there is no assurance that we can satisfy or rely on these measures to lawfully transfer personal information to the United States.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jurisdictions may adopt or have already adopted similarly stringent data localization and cross-border data transfer laws. If there is no lawful manner for us to transfer personal information from the EEA, the UK or other jurisdictions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are also increasingly scrutinizing certain personal information transfers and have enacted certain restrictions on cross-border date transfers. 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process key-coded clinical trial data and biospecimens.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to data privacy and security laws, we are also bound by other contractual obligations related to data privacy and security, and our efforts to comply with such obligations may not be successful.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obligations, whether by us, one of our CROs, CMOs or another third party with whom we work, could adversely affect our business, financial condition, results of operations and prospects, including but not limited to: regulatory investigation costs; material fines and penalties; compensatory, special, punitive and statutory damages; litigation (including class claims); consent orders regarding our data privacy and security practices; requirements that we provide notices, bans on processing personal information (including clinical trial data), orders to destroy or not use personal information, credit monitoring services and/or credit restoration services or other relevant services to impacted individuals in the event of an information security incident impacting personal information; adverse actions against our licenses to do business; reputational damage; and injunctive relief. The implementation of the GDPR has increased our responsibility and liability in relation to sensitive information that we process, including in clinical trials, that is subject to the GDPR, and we may be required to put in place additional mechanisms to comply with the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For instance, in Europe, the second Network and Information Security Directive (“NIS2”) aims to improve the resilience and incident response capabilities of entities operating in a number of sectors, including the health sector. Non-compliance with NIS2, as applicable to us, may lead to administrative fines of a maximum of €10 million or up to 2% of the total worldwide turnover of the preceding financial year. In this regard, we expect that there will continue to be new proposed laws, regulations and industry standards relating to privacy, data protection and security in the United States, the EEA, the UK and other jurisdictions, and we cannot determine the impact such future laws, regulations and standards may have on our business.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may at times fail (or be perceived to have failed) in our efforts to comply with our data privacy and security obligations. Moreover, despite our efforts, our personnel or third parties with whom we work may fail to comply with such obligations,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could negatively impact our business operations. Any actual or perceived failure by us or third parties with whom we work to comply with any federal, state or foreign laws, rules, regulations, industry self-regulatory principles, industry standards or codes of conduct, regulatory guidance, orders to which we (or third parties with whom we work)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or other compromise of data that we store or handle as part of operating our business. Any of these events could have a material adverse effect on our reputation, business, or financial condition, including but not limited to: interruptions or stoppages in our business operations (including clinical trials and the development of product candidates);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assure you that our CROs, CMOs or other third-party service providers with access to our or our suppliers’, manufacturers’, trial participants’, employees’ and others’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including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publicly post privacy policies, marketing materials, whitepapers, and other statements concerning data privacy, security, and our collection, use, disclosure and other processing of the personal information provided to us or that we collect. Although we endeavor to comply with our public statements and documentation, we may at times fail to do so or be perceived to have failed to do so. Regulators in the United States and elsewhere are increasingly scrutinizing these statements, and our publication of our privacy policies and other statements we publish that provide promises and assurances about data privacy and security can subject us to potential claims if they are found to be deceptive, unfair, misleading,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transfer or other compromise of personal information or other sensitive information, may result in enforcement actions and prosecutions, private litigation (including class action claims), significant fines, penalties (including bans on processing personal information or orders to destroy or not use personal information) and censure, claims for damages by affected individuals, regulatory inquiries and investigations or adverse publicity and could cause reputational harm, any of which could adversely affect our business, financial condition, results of operations and prospects. The successful assertion of one or more large data privacy or security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0" w:after="240"/>
        <w:ind w:left="0" w:right="0" w:hanging="0"/>
        <w:jc w:val="both"/>
        <w:rPr>
          <w:rFonts w:ascii="Times New Roman;Times;serif" w:hAnsi="Times New Roman;Times;serif"/>
          <w:b/>
          <w:spacing w:val="-4"/>
          <w:sz w:val="20"/>
        </w:rPr>
      </w:pPr>
      <w:r>
        <w:rPr>
          <w:rFonts w:ascii="Times New Roman;Times;serif" w:hAnsi="Times New Roman;Times;serif"/>
          <w:b/>
          <w:spacing w:val="-4"/>
          <w:sz w:val="20"/>
        </w:rPr>
        <w:t>Risks Related to Our Reliance on Third Parties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 xml:space="preserve">We may have conflicts with any current or future licensors, licensees, collaborators or strategic partners that could delay or prevent the development or commercialization of our product candidates.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currently party to the Kaken Collaboration Agreement and the license and collaboration agreement with Pierre Fabre, and we may enter into strategic transactions in the future, and we may have conflicts with our current or future licensors, licensees, collaborators or strategic partners, such as conflicts concerning the interpretation of preclinical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data, the achievement of milestones, the interpretation of contractual obligations, payments for services, development obligations or the ownership of intellectual property developed during our collaboration. If any conflicts arise with our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future additional collaborations; unwillingness by such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had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no experience as a company in submitting and supporting the applications necessary to gain regulatory approvals. Securing regulatory approval requires the submission of extensive preclinical and clinical data and supporting information to regulatory authorities for each indication to establish the product candidate’s safety or efficacy for that indication. Securing regulatory approval also requires the submission of information about the product manufacturing process to, and inspection of manufacturing facilities and clinical trial sites by, applicable regulatory authorities.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are conducted in accordance with good laboratory practices, where applicable, and clinical trials are conducted in accordance with GCPs and applicable rules.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through inspections that may be conducted once we submit an NDA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 Moreover, our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be significantly impacted if our CROs, clinical investigators or other third parties violate federal or state healthcare fraud and abuse or false claims laws and regulations or healthcare privacy and security laws, and foreign equivalents</w:t>
      </w:r>
      <w:r>
        <w:rPr>
          <w:rFonts w:ascii="Times New Roman;Times;serif" w:hAnsi="Times New Roman;Times;serif"/>
          <w:spacing w:val="4"/>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regulatory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future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and/or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and may ultimately lead to the denial of regulatory approval of one or more of our product candidates.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own or operate, and currently have no plans to establish, any manufacturing facilities for drug manufacturing, storage, distribution or quality testing. We currently rely, and expect to continue to rely, on third parties for the manufacture of APIs, bulk drug substances, raw materials, samples, components and other materials for our product candidates for clinical testing, as well as for the manufacture of any products candidates that we commercialize, if approved. 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if any biotechnology companies or CMOs become subject to trade restrictions, sanctions, or other regulatory requirements by the U.S. government, such actions could restrict or even prohibit our ability to work with such entities. Such disruption could have adverse effects on the development of our product candidates and our business operations. Also, any replacement of our manufacturer could require significant effort and time because there may be a limited number of qualified replacements.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obtain our preclinical and clinical supplies from our manufacturers on a purchase order basis, and currently do not have long-term supply arrangements in place. The manufacturing process for our product candidates is subject to the FDA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If our CMOs cannot successfully manufacture material that conforms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our specifications and the strict regulatory requirements of the FDA or comparable foreign regulatory authorities, we may not be able to rely on their facilities for the manufacture of elements of our product candidates. Securing regulatory approval also requires the submission of information about the product manufacturing process to, and inspection of manufacturing facilities by, the FDA, and comparable foreign regulatory authorities. If the FDA or any comparable foreign regulatory authority determines that our third-party manufacturers’ facilities are not in compliance with applicable laws and regulations, including those governing cGMPs, they may deny any NDA or marketing application we submit until the deficiencies are corrected or we replace the manufacturer in our application with a manufacturer that is able to demonstrate a compliance status acceptable to the FDA or foreign regulatory authority. Moreover, we are dependent on our CMOs for manufacturing in compliance with cGMPs and other regulatory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 These factors would increase our reliance on such manufacturer or require us to obtain a license from such manufacturer in order to enable us, or to have another third party, manufacture our product candidates. We will be required to verify that the new manufacturer maintains facilities and procedures that comply with applicable quality standards and regulations and guidelines; and we may be required to repeat some of the development program. If we are required to change manufacturers, the delays and costs associated with the verification of a new manufacturer, whether due to failure to comply with regulatory requirements, or quality, timing and supply issues, or other reason, could negatively affect our ability to develop product candidates in a timely manner or within budget.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part of our process development efforts, we also may make changes to the manufacturing processes at various points during development, for various reasons, such as controlling costs, achieving scale, decreasing processing time, improving product formulations, increasing manufacturing success rate or other reasons. For example, we are implementing certain manufacturing process changes for envu to increase scalability with respect to our Phase 3 clinical trials. Such changes carry the risk that they will not achieve their intended objectives, and any of these changes could cause our current or future product candidates to perform differently and affect the results of our future clinical trials. In some circumstances, changes in the manufacturing process may require us to perform </w:t>
      </w:r>
      <w:r>
        <w:rPr>
          <w:rFonts w:ascii="Times New Roman;Times;serif" w:hAnsi="Times New Roman;Times;serif"/>
          <w:i/>
          <w:sz w:val="20"/>
        </w:rPr>
        <w:t xml:space="preserve">ex vivo </w:t>
      </w:r>
      <w:r>
        <w:rPr>
          <w:rFonts w:ascii="Times New Roman;Times;serif" w:hAnsi="Times New Roman;Times;serif"/>
          <w:sz w:val="20"/>
        </w:rPr>
        <w:t>comparability studies or clinical bridging studies, and we may be required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rely on third-party manufacturers if we receive regulatory approval for any product candidate. To the extent that we enter into future long-term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tbl>
      <w:tblPr>
        <w:tblW w:w="8281" w:type="dxa"/>
        <w:jc w:val="left"/>
        <w:tblInd w:w="0" w:type="dxa"/>
        <w:tblLayout w:type="fixed"/>
        <w:tblCellMar>
          <w:top w:w="28" w:type="dxa"/>
          <w:left w:w="28" w:type="dxa"/>
          <w:bottom w:w="28" w:type="dxa"/>
          <w:right w:w="28" w:type="dxa"/>
        </w:tblCellMar>
      </w:tblPr>
      <w:tblGrid>
        <w:gridCol w:w="124"/>
        <w:gridCol w:w="256"/>
        <w:gridCol w:w="7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an inability to initiate or continue preclinical studies or clinical trials of product candidates;</w:t>
            </w:r>
          </w:p>
        </w:tc>
      </w:tr>
    </w:tbl>
    <w:tbl>
      <w:tblPr>
        <w:tblW w:w="9176" w:type="dxa"/>
        <w:jc w:val="left"/>
        <w:tblInd w:w="0" w:type="dxa"/>
        <w:tblLayout w:type="fixed"/>
        <w:tblCellMar>
          <w:top w:w="28" w:type="dxa"/>
          <w:left w:w="28" w:type="dxa"/>
          <w:bottom w:w="28" w:type="dxa"/>
          <w:right w:w="28" w:type="dxa"/>
        </w:tblCellMar>
      </w:tblPr>
      <w:tblGrid>
        <w:gridCol w:w="124"/>
        <w:gridCol w:w="256"/>
        <w:gridCol w:w="8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delay in submitting regulatory applications, or receiving regulatory approvals, for product candidates; </w:t>
            </w:r>
          </w:p>
        </w:tc>
      </w:tr>
    </w:tbl>
    <w:tbl>
      <w:tblPr>
        <w:tblW w:w="4466" w:type="dxa"/>
        <w:jc w:val="left"/>
        <w:tblInd w:w="0" w:type="dxa"/>
        <w:tblLayout w:type="fixed"/>
        <w:tblCellMar>
          <w:top w:w="28" w:type="dxa"/>
          <w:left w:w="28" w:type="dxa"/>
          <w:bottom w:w="28" w:type="dxa"/>
          <w:right w:w="28" w:type="dxa"/>
        </w:tblCellMar>
      </w:tblPr>
      <w:tblGrid>
        <w:gridCol w:w="124"/>
        <w:gridCol w:w="25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loss of the cooperation of future collaborators;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sanctions being imposed on us, including shutdown of the third-party vendor or invalidation of drug product lots or processes, fines, injunctions, civil penalties, delays, suspension, variation or withdrawal of approvals,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65" w:type="dxa"/>
        <w:jc w:val="left"/>
        <w:tblInd w:w="0" w:type="dxa"/>
        <w:tblLayout w:type="fixed"/>
        <w:tblCellMar>
          <w:top w:w="28" w:type="dxa"/>
          <w:left w:w="28" w:type="dxa"/>
          <w:bottom w:w="28" w:type="dxa"/>
          <w:right w:w="28" w:type="dxa"/>
        </w:tblCellMar>
      </w:tblPr>
      <w:tblGrid>
        <w:gridCol w:w="124"/>
        <w:gridCol w:w="109"/>
        <w:gridCol w:w="9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license revocation, seizures of product candidates or drugs, operating restrictions and criminal prosecutions;</w:t>
            </w:r>
          </w:p>
        </w:tc>
      </w:tr>
    </w:tbl>
    <w:tbl>
      <w:tblPr>
        <w:tblW w:w="7660" w:type="dxa"/>
        <w:jc w:val="left"/>
        <w:tblInd w:w="0" w:type="dxa"/>
        <w:tblLayout w:type="fixed"/>
        <w:tblCellMar>
          <w:top w:w="28" w:type="dxa"/>
          <w:left w:w="28" w:type="dxa"/>
          <w:bottom w:w="28" w:type="dxa"/>
          <w:right w:w="28" w:type="dxa"/>
        </w:tblCellMar>
      </w:tblPr>
      <w:tblGrid>
        <w:gridCol w:w="124"/>
        <w:gridCol w:w="256"/>
        <w:gridCol w:w="728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requirements to cease distribution or to recall batches of our product candidates;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in the event of approval to market and commercialize a product candidate, an inability to meet commercial demands for our products. </w:t>
            </w:r>
          </w:p>
        </w:tc>
      </w:tr>
    </w:tbl>
    <w:p>
      <w:pPr>
        <w:pStyle w:val="TextBody"/>
        <w:bidi w:val="0"/>
        <w:spacing w:before="0" w:after="240"/>
        <w:ind w:left="0" w:right="0" w:hanging="0"/>
        <w:jc w:val="both"/>
        <w:rPr/>
      </w:pPr>
      <w:r>
        <w:rPr/>
        <w:t>​</w:t>
      </w:r>
      <w:r>
        <w:rPr>
          <w:rFonts w:ascii="Times New Roman;Times;serif" w:hAnsi="Times New Roman;Times;serif"/>
          <w:sz w:val="20"/>
        </w:rPr>
        <w:t xml:space="preserve">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once approved, would be jeopardized.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depend on limited source suppliers for certain raw materials used in our product candidates. If we are unable to source these supplies on a timely basis or establish redundancy in our manufacturing process or longer-term contracts with our CMOs, we will not be able to complete our clinical trials on time and the development of our product candidates may be delayed.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raw materials necessary to produce envu and A-005 are in limited supply, and we generally rely on one CMO for each manufacturing stage. While we intend to identify and qualify additional suppliers and redundant manufacturers to provide the API, drug product and critical raw material prior to submission of an NDA to the FDA and/or a comparable marketing application outside the United States, there can be no assurance that we will be successful in doing so. Furthermore, any of the limited source suppliers upon whom we rely could stop producing our supplies, cease operations or be acquired by, or enter into exclusive arrangements with, our competitors. Establishing redundancy in CMOs and additional or replacement suppliers for these supplies, and obtaining regulatory authorizations that may result from adding or replacing CMOs and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source suppliers, we have a limited operating history and cannot assure you that we will not experience disruptions in our supply chain in the future as a result of such reliance or otherwise.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do not currently have long-term supply contracts with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prior to any potential NDA submission,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at all, or utilize the drug products that we are required to purchase. Any change in our relationships with our CMOs or changes to the contractual terms of our agreements with them could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The operations of our suppliers, most of which are located outside of the United States, are subject to additional risks that are beyond our control and that could harm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Currently, most of our suppliers are located outside of the United States. As a result of our global suppliers, we are subject to risks associated with doing business abroad, including: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political unrest, terrorism, labor disputes, and economic instability resulting in the disruption of trade from foreign countries in which our products are manufactured;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fluctuations in currency exchange rates over time, which may substantially increase our costs of doing business abroad where we have payment obligations in local currency;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greater challenges and increased costs with enforcing and periodically auditing or reviewing our suppliers’ and manufacturers’ compliance with cGMPs or status acceptable to the FDA or comparable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reduced protection for intellectual property rights, including trademark protection, in some countries particularly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disruptions in operations due to global, regional, or local public health crises or other emergencies or natural disasters, including, for example, disruptions experienced during the COVID-19 pandemic;</w:t>
            </w:r>
          </w:p>
        </w:tc>
      </w:tr>
    </w:tbl>
    <w:tbl>
      <w:tblPr>
        <w:tblW w:w="3868" w:type="dxa"/>
        <w:jc w:val="left"/>
        <w:tblInd w:w="0" w:type="dxa"/>
        <w:tblLayout w:type="fixed"/>
        <w:tblCellMar>
          <w:top w:w="28" w:type="dxa"/>
          <w:left w:w="28" w:type="dxa"/>
          <w:bottom w:w="28" w:type="dxa"/>
          <w:right w:w="28" w:type="dxa"/>
        </w:tblCellMar>
      </w:tblPr>
      <w:tblGrid>
        <w:gridCol w:w="124"/>
        <w:gridCol w:w="256"/>
        <w:gridCol w:w="348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disruptions or delays in shipments; and </w:t>
            </w:r>
          </w:p>
        </w:tc>
      </w:tr>
    </w:tbl>
    <w:tbl>
      <w:tblPr>
        <w:tblW w:w="8934" w:type="dxa"/>
        <w:jc w:val="left"/>
        <w:tblInd w:w="0" w:type="dxa"/>
        <w:tblLayout w:type="fixed"/>
        <w:tblCellMar>
          <w:top w:w="28" w:type="dxa"/>
          <w:left w:w="28" w:type="dxa"/>
          <w:bottom w:w="28" w:type="dxa"/>
          <w:right w:w="28" w:type="dxa"/>
        </w:tblCellMar>
      </w:tblPr>
      <w:tblGrid>
        <w:gridCol w:w="124"/>
        <w:gridCol w:w="256"/>
        <w:gridCol w:w="85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changes in local economic conditions in countries where our manufacturers or suppliers are located.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exposed to significant currency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a number of our clinical trials outside of the United States and incur portions of our expenses, and may in the future derive revenues, in a variety of currencies. As a result, we are exposed to currency exchange risk as our results of operations and cash flows are subject to fluctuations in currency exchange rates. Fluctuations in currency exchange rates have had, and will continue to have, an impact on our results as expressed in United States dollars. We currently do not have a formal hedging program with respect to foreign currencies. We cannot predict the impact of foreign currency fluctuations, and foreign currency fluctuations in the future may adversely affect our financial condition, results of operations and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pacing w:val="-4"/>
          <w:sz w:val="20"/>
        </w:rPr>
        <w:t>Risks Related to Ownership of Our Common Stock</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An active and liquid trading market for our common stock may not be sustained.</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common stock is currently listed on The Nasdaq Global Select Market under the symbol “ALMS”. However, we cannot assure you that an active trading market for our common stock will be sustained. Accordingly, we cannot assure you of the liquidity of any trading market or your ability to resell your shares of our common stock at or above the price you paid for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Our quarterly and annual operating results may fluctuate significantly or may fall below the expectations of investors or securities analysts or any guidance we may publicly provide, each of which may cause our stock price to fluctuate or decline.</w:t>
      </w:r>
      <w:r>
        <w:rPr>
          <w:rFonts w:ascii="Times New Roman;Times;serif" w:hAnsi="Times New Roman;Times;serif"/>
          <w:spacing w:val="4"/>
          <w:sz w:val="2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expect our operating results to be subject to quarterly and annual fluctuations which may, in turn, cause the price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common stock to fluctuate substantially. Our net losses and other operating results will be affected by numerous factors, including: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variations in the level of expense related to the ongoing development of our most advanced product candidate envu, A-005 and other development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results and timing of preclinical studies and ongoing and future clinical trials, or the addition or termination of any such clinical trials;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timing of payments we may make or receive under any current or future license and future collaboration arrangements or the termination or modification thereof;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our execution of any strategic transactions, including any future acquisitions, collaborations, licenses or similar arrangements, and the timing and amount of payments we may make or receive in connection with such transactions;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any intellectual property infringement lawsuit or opposition, interference or cancellation proceeding in which we may become involved; </w:t>
            </w:r>
          </w:p>
        </w:tc>
      </w:tr>
    </w:tbl>
    <w:tbl>
      <w:tblPr>
        <w:tblW w:w="4323" w:type="dxa"/>
        <w:jc w:val="left"/>
        <w:tblInd w:w="0" w:type="dxa"/>
        <w:tblLayout w:type="fixed"/>
        <w:tblCellMar>
          <w:top w:w="28" w:type="dxa"/>
          <w:left w:w="28" w:type="dxa"/>
          <w:bottom w:w="28" w:type="dxa"/>
          <w:right w:w="28" w:type="dxa"/>
        </w:tblCellMar>
      </w:tblPr>
      <w:tblGrid>
        <w:gridCol w:w="124"/>
        <w:gridCol w:w="256"/>
        <w:gridCol w:w="394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recruitment and departures of key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if our product candidates receive regulatory approval, the terms of such approval and market acceptance and demand for such products; </w:t>
            </w:r>
          </w:p>
        </w:tc>
      </w:tr>
    </w:tbl>
    <w:tbl>
      <w:tblPr>
        <w:tblW w:w="7807" w:type="dxa"/>
        <w:jc w:val="left"/>
        <w:tblInd w:w="0" w:type="dxa"/>
        <w:tblLayout w:type="fixed"/>
        <w:tblCellMar>
          <w:top w:w="28" w:type="dxa"/>
          <w:left w:w="28" w:type="dxa"/>
          <w:bottom w:w="28" w:type="dxa"/>
          <w:right w:w="28" w:type="dxa"/>
        </w:tblCellMar>
      </w:tblPr>
      <w:tblGrid>
        <w:gridCol w:w="124"/>
        <w:gridCol w:w="256"/>
        <w:gridCol w:w="742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regulatory developments affecting our product candidates or those of our competitors; </w:t>
            </w:r>
          </w:p>
        </w:tc>
      </w:tr>
    </w:tbl>
    <w:tbl>
      <w:tblPr>
        <w:tblW w:w="4876" w:type="dxa"/>
        <w:jc w:val="left"/>
        <w:tblInd w:w="0" w:type="dxa"/>
        <w:tblLayout w:type="fixed"/>
        <w:tblCellMar>
          <w:top w:w="28" w:type="dxa"/>
          <w:left w:w="28" w:type="dxa"/>
          <w:bottom w:w="28" w:type="dxa"/>
          <w:right w:w="28" w:type="dxa"/>
        </w:tblCellMar>
      </w:tblPr>
      <w:tblGrid>
        <w:gridCol w:w="124"/>
        <w:gridCol w:w="256"/>
        <w:gridCol w:w="4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fluctuations in stock-based compensation expense; </w:t>
            </w:r>
          </w:p>
        </w:tc>
      </w:tr>
    </w:tbl>
    <w:tbl>
      <w:tblPr>
        <w:tblW w:w="7577" w:type="dxa"/>
        <w:jc w:val="left"/>
        <w:tblInd w:w="0" w:type="dxa"/>
        <w:tblLayout w:type="fixed"/>
        <w:tblCellMar>
          <w:top w:w="28" w:type="dxa"/>
          <w:left w:w="28" w:type="dxa"/>
          <w:bottom w:w="28" w:type="dxa"/>
          <w:right w:w="28" w:type="dxa"/>
        </w:tblCellMar>
      </w:tblPr>
      <w:tblGrid>
        <w:gridCol w:w="124"/>
        <w:gridCol w:w="256"/>
        <w:gridCol w:w="719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impacts of inflation and rising interest rates on our business and operations; and </w:t>
            </w:r>
          </w:p>
        </w:tc>
      </w:tr>
    </w:tbl>
    <w:tbl>
      <w:tblPr>
        <w:tblW w:w="4984" w:type="dxa"/>
        <w:jc w:val="left"/>
        <w:tblInd w:w="0" w:type="dxa"/>
        <w:tblLayout w:type="fixed"/>
        <w:tblCellMar>
          <w:top w:w="28" w:type="dxa"/>
          <w:left w:w="28" w:type="dxa"/>
          <w:bottom w:w="28" w:type="dxa"/>
          <w:right w:w="28" w:type="dxa"/>
        </w:tblCellMar>
      </w:tblPr>
      <w:tblGrid>
        <w:gridCol w:w="124"/>
        <w:gridCol w:w="256"/>
        <w:gridCol w:w="46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changes in general market and economic conditions.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Our stock price is likely to continue to be volatile, which could result in substantial losses for our investors.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market price of our common stock is likely to continue to be volatile and could fluctuate widely in response to many factors, including but not limited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ability and anticipated timelines to submit applications for regulatory approvals of envu in PsO;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 or non-approval of envu in PsO, specific label indications for or restrictions, warnings or limitations in its use or delays in the regulatory review process;</w:t>
            </w:r>
          </w:p>
        </w:tc>
      </w:tr>
    </w:tbl>
    <w:tbl>
      <w:tblPr>
        <w:tblW w:w="5714" w:type="dxa"/>
        <w:jc w:val="left"/>
        <w:tblInd w:w="0" w:type="dxa"/>
        <w:tblLayout w:type="fixed"/>
        <w:tblCellMar>
          <w:top w:w="28" w:type="dxa"/>
          <w:left w:w="28" w:type="dxa"/>
          <w:bottom w:w="28" w:type="dxa"/>
          <w:right w:w="28" w:type="dxa"/>
        </w:tblCellMar>
      </w:tblPr>
      <w:tblGrid>
        <w:gridCol w:w="124"/>
        <w:gridCol w:w="256"/>
        <w:gridCol w:w="533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volatility and instability in the financial and capital markets; </w:t>
            </w:r>
          </w:p>
        </w:tc>
      </w:tr>
    </w:tbl>
    <w:tbl>
      <w:tblPr>
        <w:tblW w:w="9584" w:type="dxa"/>
        <w:jc w:val="left"/>
        <w:tblInd w:w="0" w:type="dxa"/>
        <w:tblLayout w:type="fixed"/>
        <w:tblCellMar>
          <w:top w:w="28" w:type="dxa"/>
          <w:left w:w="28" w:type="dxa"/>
          <w:bottom w:w="28" w:type="dxa"/>
          <w:right w:w="28" w:type="dxa"/>
        </w:tblCellMar>
      </w:tblPr>
      <w:tblGrid>
        <w:gridCol w:w="124"/>
        <w:gridCol w:w="256"/>
        <w:gridCol w:w="92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announcements relating to our product candidates, including the results of clinical trials by us or any future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606" w:type="dxa"/>
        <w:jc w:val="left"/>
        <w:tblInd w:w="0" w:type="dxa"/>
        <w:tblLayout w:type="fixed"/>
        <w:tblCellMar>
          <w:top w:w="28" w:type="dxa"/>
          <w:left w:w="28" w:type="dxa"/>
          <w:bottom w:w="28" w:type="dxa"/>
          <w:right w:w="28" w:type="dxa"/>
        </w:tblCellMar>
      </w:tblPr>
      <w:tblGrid>
        <w:gridCol w:w="124"/>
        <w:gridCol w:w="109"/>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collaborators; </w:t>
            </w:r>
          </w:p>
        </w:tc>
      </w:tr>
    </w:tbl>
    <w:tbl>
      <w:tblPr>
        <w:tblW w:w="6356" w:type="dxa"/>
        <w:jc w:val="left"/>
        <w:tblInd w:w="0" w:type="dxa"/>
        <w:tblLayout w:type="fixed"/>
        <w:tblCellMar>
          <w:top w:w="28" w:type="dxa"/>
          <w:left w:w="28" w:type="dxa"/>
          <w:bottom w:w="28" w:type="dxa"/>
          <w:right w:w="28" w:type="dxa"/>
        </w:tblCellMar>
      </w:tblPr>
      <w:tblGrid>
        <w:gridCol w:w="124"/>
        <w:gridCol w:w="256"/>
        <w:gridCol w:w="5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announcements by competitors that impact our competitive outlook;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negative developments with respect to our product candidates, or similar products or product candidates with which we compete; </w:t>
            </w:r>
          </w:p>
        </w:tc>
      </w:tr>
    </w:tbl>
    <w:tbl>
      <w:tblPr>
        <w:tblW w:w="6274" w:type="dxa"/>
        <w:jc w:val="left"/>
        <w:tblInd w:w="0" w:type="dxa"/>
        <w:tblLayout w:type="fixed"/>
        <w:tblCellMar>
          <w:top w:w="28" w:type="dxa"/>
          <w:left w:w="28" w:type="dxa"/>
          <w:bottom w:w="28" w:type="dxa"/>
          <w:right w:w="28" w:type="dxa"/>
        </w:tblCellMar>
      </w:tblPr>
      <w:tblGrid>
        <w:gridCol w:w="124"/>
        <w:gridCol w:w="256"/>
        <w:gridCol w:w="589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developments with respect to patents or intellectual property rights;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announcements of technological innovations, new product candidates, new products or new contracts by us or our competitors;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announcements relating to any future strategic transactions, including acquisitions, collaborations, licenses or similar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ability to achieve the perceived benefits of our strategic transactions, including the ACELYRIN Merger, as rapidly or to the extent anticipated by financial analysts or investors;</w:t>
            </w:r>
          </w:p>
        </w:tc>
      </w:tr>
    </w:tbl>
    <w:tbl>
      <w:tblPr>
        <w:tblW w:w="10204" w:type="dxa"/>
        <w:jc w:val="left"/>
        <w:tblInd w:w="0" w:type="dxa"/>
        <w:tblLayout w:type="fixed"/>
        <w:tblCellMar>
          <w:top w:w="28" w:type="dxa"/>
          <w:left w:w="28" w:type="dxa"/>
          <w:bottom w:w="28" w:type="dxa"/>
          <w:right w:w="28" w:type="dxa"/>
        </w:tblCellMar>
      </w:tblPr>
      <w:tblGrid>
        <w:gridCol w:w="124"/>
        <w:gridCol w:w="256"/>
        <w:gridCol w:w="982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actual or anticipated variations in our operating results due to the level of development expenses and other factors;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changes in financial estimates by equities research analysts and whether our earnings (or losses) meet or exceed such estimates;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announcement or expectation of additional financing efforts and receipt, or lack of receipt, of funding in support of conducting our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sales of our common stock by us, our insiders, or other stockholders, or issuances by us of shares of our common stock in connection with strategic transactions; </w:t>
            </w:r>
          </w:p>
        </w:tc>
      </w:tr>
    </w:tbl>
    <w:tbl>
      <w:tblPr>
        <w:tblW w:w="7375" w:type="dxa"/>
        <w:jc w:val="left"/>
        <w:tblInd w:w="0" w:type="dxa"/>
        <w:tblLayout w:type="fixed"/>
        <w:tblCellMar>
          <w:top w:w="28" w:type="dxa"/>
          <w:left w:w="28" w:type="dxa"/>
          <w:bottom w:w="28" w:type="dxa"/>
          <w:right w:w="28" w:type="dxa"/>
        </w:tblCellMar>
      </w:tblPr>
      <w:tblGrid>
        <w:gridCol w:w="124"/>
        <w:gridCol w:w="256"/>
        <w:gridCol w:w="699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conditions and trends in the pharmaceutical, biotechnology and other industries;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regulatory developments within, and outside of, the United States, including changes in the structure of health care payment systems; </w:t>
            </w:r>
          </w:p>
        </w:tc>
      </w:tr>
    </w:tbl>
    <w:tbl>
      <w:tblPr>
        <w:tblW w:w="2595" w:type="dxa"/>
        <w:jc w:val="left"/>
        <w:tblInd w:w="0" w:type="dxa"/>
        <w:tblLayout w:type="fixed"/>
        <w:tblCellMar>
          <w:top w:w="28" w:type="dxa"/>
          <w:left w:w="28" w:type="dxa"/>
          <w:bottom w:w="28" w:type="dxa"/>
          <w:right w:w="28" w:type="dxa"/>
        </w:tblCellMar>
      </w:tblPr>
      <w:tblGrid>
        <w:gridCol w:w="124"/>
        <w:gridCol w:w="256"/>
        <w:gridCol w:w="221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litigation or arbitration; </w:t>
            </w:r>
          </w:p>
        </w:tc>
      </w:tr>
    </w:tbl>
    <w:tbl>
      <w:tblPr>
        <w:tblW w:w="7085" w:type="dxa"/>
        <w:jc w:val="left"/>
        <w:tblInd w:w="0" w:type="dxa"/>
        <w:tblLayout w:type="fixed"/>
        <w:tblCellMar>
          <w:top w:w="28" w:type="dxa"/>
          <w:left w:w="28" w:type="dxa"/>
          <w:bottom w:w="28" w:type="dxa"/>
          <w:right w:w="28" w:type="dxa"/>
        </w:tblCellMar>
      </w:tblPr>
      <w:tblGrid>
        <w:gridCol w:w="124"/>
        <w:gridCol w:w="256"/>
        <w:gridCol w:w="670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COVID-19 or other pandemics, natural disasters, or major catastrophic events; </w:t>
            </w:r>
          </w:p>
        </w:tc>
      </w:tr>
    </w:tbl>
    <w:tbl>
      <w:tblPr>
        <w:tblW w:w="6668" w:type="dxa"/>
        <w:jc w:val="left"/>
        <w:tblInd w:w="0" w:type="dxa"/>
        <w:tblLayout w:type="fixed"/>
        <w:tblCellMar>
          <w:top w:w="28" w:type="dxa"/>
          <w:left w:w="28" w:type="dxa"/>
          <w:bottom w:w="28" w:type="dxa"/>
          <w:right w:w="28" w:type="dxa"/>
        </w:tblCellMar>
      </w:tblPr>
      <w:tblGrid>
        <w:gridCol w:w="124"/>
        <w:gridCol w:w="256"/>
        <w:gridCol w:w="6288"/>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general economic, political and market conditions and other factors; and </w:t>
            </w:r>
          </w:p>
        </w:tc>
      </w:tr>
    </w:tbl>
    <w:tbl>
      <w:tblPr>
        <w:tblW w:w="7235" w:type="dxa"/>
        <w:jc w:val="left"/>
        <w:tblInd w:w="0" w:type="dxa"/>
        <w:tblLayout w:type="fixed"/>
        <w:tblCellMar>
          <w:top w:w="28" w:type="dxa"/>
          <w:left w:w="28" w:type="dxa"/>
          <w:bottom w:w="28" w:type="dxa"/>
          <w:right w:w="28" w:type="dxa"/>
        </w:tblCellMar>
      </w:tblPr>
      <w:tblGrid>
        <w:gridCol w:w="124"/>
        <w:gridCol w:w="256"/>
        <w:gridCol w:w="685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the occurrence of any of the risks described in this section titled “Risk Factors.”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Sales of a substantial number of shares of our common stock could cause our stock price to fall.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 of a substantial number of shares of our common stock in the public market could occur at any time. If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stockholders sell, or the market perceives that our stockholders intend to sell, substantial amounts of our common stock in the public market, the market price of our common stock could decline significantly.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expect that significant additional capital may be needed in the future to continue our planned operations, including conducting our planned clinical trials, manufacturing and commercialization efforts,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Our principal stockholders and management own a significant percentage of our common stock and will be able to control matters subject to stockholder approval.</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beneficial ownership of our capital stock as of June 30, 2026, our executive officers, directors, holders of 5% or more of our capital stock and their respective affiliates beneficially owned approximately 34% of our outstanding voting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 In addition, as a result of this concentration of ownership, there is a limited number of shares of our common stock that are not held by officers, directors and controlling stockholders (which is referred to as our public float), thereby adversely impacting the liquidity of our common stock and potentially depressing the price at which you may be able to sell shares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4"/>
          <w:sz w:val="20"/>
        </w:rPr>
        <w:t>We are an “emerging growth company” and a “smaller reporting company,” and the reduced reporting requirements applicable to emerging growth companies and smaller reporting companies may make our common stock less attractive to investors.</w:t>
      </w:r>
      <w:r>
        <w:rPr>
          <w:rFonts w:ascii="Times New Roman;Times;serif" w:hAnsi="Times New Roman;Times;serif"/>
          <w:spacing w:val="4"/>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an “emerging growth company” as defined in Section 2(a) of the Securities Act, as modified by the JOBS Act. For as long as we continue to be an emerging growth company, we may take advantage of exemptions from various reporting requirements that are applicable to the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 We may choose to take advantage of some, but not all, of the available exemptions. We have taken advantage of reduced reporting obligations in this report. In addition, the JOBS Act provides that an emerging growth company can take advantage of an extended transition period for complying with new or revised accounting standards. These provisions allow an emerging growth company to delay the adoption of these accounting standards until they would otherwise apply to private companies. We have elected to take advantage of such extended transition period. We cannot predict whether investors will find our common stock less attractive as a result of its reliance on these exemptions. If some investors find our common stock to be less attractive as a result, there may be a less active trading market for our common stock and the price of our common stock may be more volatile than the current trading market and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Further, there is no guarantee that the exemptions available under the JOBS Act will result in significant savings. To the extent that we choose not to use exemptions from various reporting requirements under the JOBS Act, we will incur additional compliance costs, which may impact our financial condition.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will remain an emerging growth company until the earliest of: (i) the end of the fiscal year in which we have a total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gross revenue of $1.235 billion; (ii) the last day of our fiscal year following the fifth anniversary of the completion of our IPO; (iii) the date on which we have, during the previous three-year period, issued more than $1.0 billion in non-convertible debt; or (iv) the end of the fiscal year in which the market value of common stock held by non-affiliates exceeds $700 million as of the prior June 30.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as a smaller reporting company with less than $100 million in annual revenue, we are not required to comply with the auditor attestation requirements of Section 404 of the Sarbanes-Oxley Act.</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Anti-takeover provisions in our charter documents and under Delaware law could prevent or delay an acquisition of us that may be beneficial to our stockholders and may prevent attempts by our stockholders to replace or remove our current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tbl>
      <w:tblPr>
        <w:tblW w:w="8850" w:type="dxa"/>
        <w:jc w:val="left"/>
        <w:tblInd w:w="0" w:type="dxa"/>
        <w:tblLayout w:type="fixed"/>
        <w:tblCellMar>
          <w:top w:w="28" w:type="dxa"/>
          <w:left w:w="28" w:type="dxa"/>
          <w:bottom w:w="28" w:type="dxa"/>
          <w:right w:w="28" w:type="dxa"/>
        </w:tblCellMar>
      </w:tblPr>
      <w:tblGrid>
        <w:gridCol w:w="124"/>
        <w:gridCol w:w="256"/>
        <w:gridCol w:w="8470"/>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establish a classified board of directors so that not all members of our board are elected at one time; </w:t>
            </w:r>
          </w:p>
        </w:tc>
      </w:tr>
    </w:tbl>
    <w:tbl>
      <w:tblPr>
        <w:tblW w:w="9057" w:type="dxa"/>
        <w:jc w:val="left"/>
        <w:tblInd w:w="0" w:type="dxa"/>
        <w:tblLayout w:type="fixed"/>
        <w:tblCellMar>
          <w:top w:w="28" w:type="dxa"/>
          <w:left w:w="28" w:type="dxa"/>
          <w:bottom w:w="28" w:type="dxa"/>
          <w:right w:w="28" w:type="dxa"/>
        </w:tblCellMar>
      </w:tblPr>
      <w:tblGrid>
        <w:gridCol w:w="124"/>
        <w:gridCol w:w="256"/>
        <w:gridCol w:w="867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permit only the board of directors to establish the number of directors and fill vacancies on the board;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provide that directors may only be removed “for cause” and only with the approval of two-thirds of our stockholders;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require super-majority voting to amend some provisions in our amended and restated certificate of incorporation and amended and restated bylaws;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authorize the issuance of “blank check” preferred stock that our board could use to implement a stockholder rights plan; </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eliminate the ability of our stockholders to call special meetings of stockholders;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prohibit stockholder action by written consent, which requires all stockholder actions to be taken at a meeting of our stockholders; </w:t>
            </w:r>
          </w:p>
        </w:tc>
      </w:tr>
    </w:tbl>
    <w:tbl>
      <w:tblPr>
        <w:tblW w:w="3282" w:type="dxa"/>
        <w:jc w:val="left"/>
        <w:tblInd w:w="0" w:type="dxa"/>
        <w:tblLayout w:type="fixed"/>
        <w:tblCellMar>
          <w:top w:w="28" w:type="dxa"/>
          <w:left w:w="28" w:type="dxa"/>
          <w:bottom w:w="28" w:type="dxa"/>
          <w:right w:w="28" w:type="dxa"/>
        </w:tblCellMar>
      </w:tblPr>
      <w:tblGrid>
        <w:gridCol w:w="124"/>
        <w:gridCol w:w="256"/>
        <w:gridCol w:w="290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prohibit cumulative voting;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establish advance notice requirements for nominations for election to our board or for proposing matters that can be acted upon by stockholders at annual stockholder meetings.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amended and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is governed by the internal affairs doctrine. This exclusive forum provision does not apply to suits brought to enforce a duty or liability created by the Exchange Act.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22 of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person or entity purchasing or otherwise acquiring or holding any interest in any of our securities shall be deemed to have notice of and consented to our exclusive forum provisions in our amended and restated certificate of incorporation,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board of directors is authorized to issue and designate shares of our preferred stock without stockholder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Because we do not anticipate paying any dividends on our capital stock in the foreseeable future, capital appreciation, if any, will be your sole source of gain.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occur, will be your sole source of gain on your investment for the foreseeable future.</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The dual class structure of our common stock may limit your ability to influence corporate matters and may limit your visibility with respect to certain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ownership and other limitations provided for in our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pStyle w:val="TextBody"/>
        <w:bidi w:val="0"/>
        <w:spacing w:before="0" w:after="240"/>
        <w:ind w:left="0" w:right="0" w:hanging="0"/>
        <w:jc w:val="both"/>
        <w:rPr>
          <w:rFonts w:ascii="Times New Roman;Times;serif" w:hAnsi="Times New Roman;Times;serif"/>
          <w:b/>
          <w:spacing w:val="-4"/>
          <w:sz w:val="20"/>
        </w:rPr>
      </w:pPr>
      <w:r>
        <w:rPr>
          <w:rFonts w:ascii="Times New Roman;Times;serif" w:hAnsi="Times New Roman;Times;serif"/>
          <w:b/>
          <w:spacing w:val="-4"/>
          <w:sz w:val="20"/>
        </w:rPr>
        <w:t>General Risk Factors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Unstable economic and market conditions may have serious adverse consequences on our business, financial condition and stock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evolving U.S. and ex-U.S. tariff landscape). Further, the United States and other countries have imposed and may continue to impose new trade restrictions and export regulations, have levied tariffs and taxes on certain goods, and could continue to significantly increase tariffs on a broad array of goods. For example, in April 2025, the U.S. government imposed a 10% baseline global tariff and in August 2025, the United States imposed higher “reciprocal” tariffs on numerous other territories, including EU member states and South Korea. While the U.S. Supreme Court recently issued a ruling invalidating tariffs imposed by the Administration under the International Emergency Economic Powers Act, other tariffs imposed by the U.S. government remain in place, including a temporary 10% global tariff imposed by the Administration under Section 122 of the Trade Act of 1974 following the U.S. Supreme Court decision. Moreover, in 2025, the Bureau of Industry and Security, U.S. Department of Commerce, initiated an investigation under Section 232 of the Trade Expansion Act of 1962 to determine whether pharmaceutical ingredients, including finished drug product, manufactured outside the United States pose a national security risk and should be subject to additional tariffs. Based on this investigation, on April 2, 2026, the President issued a proclamation imposing up to a 100% tariff on certain patented pharmaceuticals and associated pharmaceutical ingredients, including a 15% tariff on imports from South Korea and EU member states. These tariffs will become effective September 29, 2026, unless they are “expressly reduced, modified, or terminated.” With the expiration of tariffs under Section 122 of the Trade Act of 1974, on July 23, 2026, the Administration announced new tariffs ranging from 10% to 12.5% on 60 trading partners, including South Korea and the EU as part of an investigation under Section 301 of the Trade Act of 1974 that began on June 2, 2026. Given the volatility and uncertainty regarding the scope and duration of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 negatively impact our supply chain and increase our costs.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If securities or industry analysts do not publish research or reports about our business, or if they publish inaccurate or unfavorable research about our business, our stock price and trading volume could decline.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trading market for our common stock is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We incur increased costs as a result of operating as a public company, and our management is required to devote substantial time to new compliance initiatives and corporate governance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we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need to devote a substantial amount of time to these compliance initiatives. Moreover, we expect these rules and regulations to substantially increase our legal and financial compliance costs and to make some activities more time-consuming and costly, particularly after we are no longer an emerging growth company.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currently required to comply with the rules of the SEC implementing Section 404(b) of the Sarbanes-Oxley Act, which requires including an attestation report on internal control over financial reporting issued by our independent registered public accounting firm. However, we are required to comply with the SEC’s rules implementing Sections 302 and 404(a) of the Sarbanes-Oxley Act, which require our management to certify financial and other information in our quarterly and annual reports and provide an annual management report on the effectiveness of internal control over financial reporting. Furthermore, as an emerging growth company,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404(b). If we identify any material weaknesses in our internal control over financial reporting or are unable to comply with the requirements of Section 404(b)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comparable foreign regulatory authorities, which could require additional financial and management resources. In addition, if we fail to remedy any material weakness, our financial statements could be inaccurate, and we could face restricted access to capital markets.</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Our disclosure controls and procedures may not prevent or detect all errors or acts of fraud.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0" w:after="240"/>
        <w:ind w:left="0" w:right="0" w:hanging="0"/>
        <w:jc w:val="both"/>
        <w:rPr>
          <w:rFonts w:ascii="Times New Roman;Times;serif" w:hAnsi="Times New Roman;Times;serif"/>
          <w:b/>
          <w:i/>
          <w:spacing w:val="-4"/>
          <w:sz w:val="20"/>
        </w:rPr>
      </w:pPr>
      <w:r>
        <w:rPr>
          <w:rFonts w:ascii="Times New Roman;Times;serif" w:hAnsi="Times New Roman;Times;serif"/>
          <w:b/>
          <w:i/>
          <w:spacing w:val="-4"/>
          <w:sz w:val="20"/>
        </w:rPr>
        <w:t>ACELYRIN has been named a defendant in a purported securities class action lawsuit, and we may be the target of other securities litigation in the future. This could result in substantial damages or other expenses and could divert management’s time and attention from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ACELYRIN Merger, we assumed the liabilities of ACELYRIN, which include a purported federal securities class action lawsuit which was commenced against ACELYRIN in the United States District Court for the Central District of California on November 15, 2023. On February 15, 2024, the Court appointed joint lead plaintiffs and lead counsel. An amended complaint was filed on March 26, 2024, naming ACELYRIN and current and former officers and directors as defendants. The complaint alleges that the defendants violated the Exchange Act and Securities Act in disclosures regarding the primary endpoint of HiSCR75 at week 16 not meeting statistical significance in ACELYRIN’s Phase 2b trial of izokibep in hidradenitis suppurativa. The amended complaint seeks damages and an award of reasonable costs and expenses,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 This lawsuit is subject to inherent uncertainties, including its outcome. We could be forced to expend significant resources and incur substantial legal fees and costs in the defense of this suit, and we may not prevail. We have not established any reserve for any potential liability relating to this lawsuit. It is possible that we could, in the future, incur judgments or enter into settlements of claims for monetary damages. In addition, we may be the target of other securities litigation in the future. Securities litigation (including the cost to defend against, and any potential adverse outcome resulting from any such proceeding) can be expensive and time-consuming, damage our reputation and divert our management’s attention from other business concerns, which could seriously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94" w:name="Item2UnregisteredSalesofEquitySecurities"/>
      <w:bookmarkStart w:id="1495" w:name="_be85e3ff_1ef7_4321_96e0_223c741cbde8"/>
      <w:bookmarkEnd w:id="1494"/>
      <w:bookmarkEnd w:id="149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496" w:name="Item3DefaultsUponSeniorSecurities_664772"/>
      <w:bookmarkStart w:id="1497" w:name="_18bfbc54_ed00_4f7a_92c8_2d5da0f4df48"/>
      <w:bookmarkEnd w:id="1496"/>
      <w:bookmarkEnd w:id="1497"/>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498" w:name="Item4MineSafetyDisclosures_181870"/>
      <w:bookmarkStart w:id="1499" w:name="_15fcc906_f53b_4a90_a5bf_554897f5857a"/>
      <w:bookmarkEnd w:id="1498"/>
      <w:bookmarkEnd w:id="1499"/>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500" w:name="Item5OtherInformation_984856"/>
      <w:bookmarkStart w:id="1501" w:name="_dd535aae_1aaf_47f6_bc80_2981b3e0b9e8"/>
      <w:bookmarkEnd w:id="1500"/>
      <w:bookmarkEnd w:id="1501"/>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bookmarkStart w:id="1502" w:name="_4c0f5372_e410_40cd_8abb_0dd348160344"/>
      <w:bookmarkEnd w:id="150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03" w:name="Item6Exhibits_688677"/>
      <w:bookmarkEnd w:id="1503"/>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9"/>
        <w:gridCol w:w="346"/>
        <w:gridCol w:w="8980"/>
      </w:tblGrid>
      <w:tr>
        <w:trPr/>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58165" cy="29210"/>
                      <wp:effectExtent l="0" t="0" r="0" b="0"/>
                      <wp:wrapNone/>
                      <wp:docPr id="362" name="Frame362"/>
                      <a:graphic xmlns:a="http://schemas.openxmlformats.org/drawingml/2006/main">
                        <a:graphicData uri="http://schemas.microsoft.com/office/word/2010/wordprocessingShape">
                          <wps:wsp>
                            <wps:cNvSpPr txBox="1"/>
                            <wps:spPr>
                              <a:xfrm>
                                <a:off x="0" y="0"/>
                                <a:ext cx="5581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702300" cy="29210"/>
                      <wp:effectExtent l="0" t="0" r="0" b="0"/>
                      <wp:wrapNone/>
                      <wp:docPr id="363" name="Frame363"/>
                      <a:graphic xmlns:a="http://schemas.openxmlformats.org/drawingml/2006/main">
                        <a:graphicData uri="http://schemas.microsoft.com/office/word/2010/wordprocessingShape">
                          <wps:wsp>
                            <wps:cNvSpPr txBox="1"/>
                            <wps:spPr>
                              <a:xfrm>
                                <a:off x="0" y="0"/>
                                <a:ext cx="57023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Contents"/>
              <w:bidi w:val="0"/>
              <w:spacing w:before="0" w:after="0"/>
              <w:ind w:left="0" w:right="0" w:hanging="0"/>
              <w:jc w:val="left"/>
              <w:rPr/>
            </w:pPr>
            <w:r>
              <w:rPr/>
              <w:t>  ​ ​ ​</w:t>
            </w:r>
          </w:p>
        </w:tc>
        <w:tc>
          <w:tcPr>
            <w:tcW w:w="89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left"/>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4"/>
                </w:rPr>
                <w:t>Agreement and Plan of Merger, by and among the Registrant, ACELYRIN, Inc. and Arrow Merger Sub, Inc. dated as of February 6, 2025 (incorporated by reference to Exhibit 2.1 to the Registrant’s Current Report on Form 8-K, filed with the SEC on February 6, 2025).</w:t>
              </w:r>
            </w:hyperlink>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4"/>
                </w:rPr>
                <w:t>Amendment to the Agreement and Plan of Merger, dated as of April 20, 2025 (incorporated by reference to Exhibit 2.1 to the Registrant’s Current Report on Form 8-K, filed with the SEC on April 21, 2025).</w:t>
              </w:r>
            </w:hyperlink>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4"/>
                </w:rPr>
                <w:t>Amended and Restated Certificate of Incorporation of the Registrant (incorporated by reference to Exhibit 3.1 to the Registrant’s Current Report on Form 8-K, filed with the SEC on July 1, 2024).</w:t>
              </w:r>
            </w:hyperlink>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4"/>
                </w:rPr>
                <w:t>Amended and Restated Bylaws of the Registrant (incorporated by reference to Exhibit 3.2 to the Registrant’s Current Report on Form 8-K, filed with the SEC on July 1, 2024).</w:t>
              </w:r>
            </w:hyperlink>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w:anchor="alms-20260630xex10d1.htm">
              <w:r>
                <w:rPr>
                  <w:rStyle w:val="InternetLink"/>
                  <w:rFonts w:ascii="Times New Roman;Times;serif" w:hAnsi="Times New Roman;Times;serif"/>
                  <w:b w:val="false"/>
                  <w:i w:val="false"/>
                  <w:caps w:val="false"/>
                  <w:smallCaps w:val="false"/>
                  <w:sz w:val="24"/>
                </w:rPr>
                <w:t>Alumis Inc. Non-Employee Director Compensation Policy (as amended and restated on June 12, 2026).</w:t>
              </w:r>
            </w:hyperlink>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w:anchor="alms-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amended, as adopted pursuant to Section 302 of the Sarbanes-Oxley Act of 2002</w:t>
              </w:r>
            </w:hyperlink>
            <w:r>
              <w:rPr>
                <w:rFonts w:ascii="Times New Roman;Times;serif" w:hAnsi="Times New Roman;Times;serif"/>
                <w:sz w:val="20"/>
              </w:rPr>
              <w: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w:anchor="alms-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amended, as adopted pursuant to Section 302 of the Sarbanes-Oxley Act of 2002</w:t>
              </w:r>
            </w:hyperlink>
            <w:r>
              <w:rPr>
                <w:rFonts w:ascii="Times New Roman;Times;serif" w:hAnsi="Times New Roman;Times;serif"/>
                <w:sz w:val="20"/>
              </w:rPr>
              <w: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w:anchor="alms-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r>
              <w:rPr>
                <w:rFonts w:ascii="Times New Roman;Times;serif" w:hAnsi="Times New Roman;Times;serif"/>
                <w:sz w:val="20"/>
              </w:rPr>
              <w: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hyperlink w:anchor="alms-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r>
              <w:rPr>
                <w:rFonts w:ascii="Times New Roman;Times;serif" w:hAnsi="Times New Roman;Times;serif"/>
                <w:sz w:val="20"/>
              </w:rPr>
              <w:t>.</w:t>
            </w:r>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Schema Document.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Label Linkbase Document.</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283"/>
              <w:ind w:left="0" w:right="0" w:hanging="0"/>
              <w:jc w:val="left"/>
              <w:rPr>
                <w:sz w:val="4"/>
                <w:szCs w:val="4"/>
              </w:rPr>
            </w:pPr>
            <w:r>
              <w:rPr>
                <w:sz w:val="4"/>
                <w:szCs w:val="4"/>
              </w:rPr>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0" w:right="0" w:hanging="0"/>
              <w:jc w:val="both"/>
              <w:rPr/>
            </w:pPr>
            <w:r>
              <w:rPr/>
              <w:t>​</w:t>
            </w:r>
          </w:p>
        </w:tc>
      </w:tr>
      <w:tr>
        <w:trPr/>
        <w:tc>
          <w:tcPr>
            <w:tcW w:w="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80" w:type="dxa"/>
            <w:tcBorders/>
            <w:vAlign w:val="center"/>
          </w:tcPr>
          <w:p>
            <w:pPr>
              <w:pStyle w:val="TableContents"/>
              <w:bidi w:val="0"/>
              <w:spacing w:before="0" w:after="0"/>
              <w:ind w:left="13"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This certification accompanies the Quarterly Report pursuant to Section 906 of the Sarbanes-Oxley Act of 2002 and shall not be deemed “filed” by the Registrant for purposes of Section 18 of the Securities Exchange Act of 1934, as amended.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04" w:name="SIGNATURES_730556"/>
      <w:bookmarkStart w:id="1505" w:name="_03eef7d0_fa76_42b7_afe4_054f4b145a46"/>
      <w:bookmarkEnd w:id="1504"/>
      <w:bookmarkEnd w:id="150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13, 2026</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ALUMIS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Schroer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Schroer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0"/>
        <w:ind w:left="0" w:right="0" w:hanging="0"/>
        <w:jc w:val="left"/>
        <w:rPr/>
      </w:pPr>
      <w:bookmarkStart w:id="1506" w:name="alms-20260630xex10d1.htm"/>
      <w:bookmarkStart w:id="1507" w:name="ksalms20260630xex10d1"/>
      <w:bookmarkEnd w:id="1506"/>
      <w:bookmarkEnd w:id="1507"/>
      <w:r>
        <w:rPr/>
        <w:t>​</w:t>
      </w:r>
      <w:r>
        <w:br w:type="page"/>
      </w:r>
    </w:p>
    <w:p>
      <w:pPr>
        <w:pStyle w:val="TextBody"/>
        <w:bidi w:val="0"/>
        <w:spacing w:before="60" w:after="0"/>
        <w:ind w:left="0" w:right="359" w:hanging="0"/>
        <w:jc w:val="right"/>
        <w:rPr>
          <w:rFonts w:ascii="Times New Roman;Times;serif" w:hAnsi="Times New Roman;Times;serif"/>
          <w:b/>
          <w:sz w:val="24"/>
        </w:rPr>
      </w:pPr>
      <w:r>
        <w:rPr>
          <w:rFonts w:ascii="Times New Roman;Times;serif" w:hAnsi="Times New Roman;Times;serif"/>
          <w:b/>
          <w:sz w:val="24"/>
        </w:rPr>
        <w:t>Exhibit 10.1</w:t>
      </w:r>
    </w:p>
    <w:p>
      <w:pPr>
        <w:pStyle w:val="TextBody"/>
        <w:bidi w:val="0"/>
        <w:spacing w:before="60" w:after="0"/>
        <w:ind w:left="0" w:right="359" w:hanging="0"/>
        <w:jc w:val="center"/>
        <w:rPr>
          <w:rFonts w:ascii="Times New Roman;Times;serif" w:hAnsi="Times New Roman;Times;serif"/>
          <w:b/>
          <w:sz w:val="24"/>
        </w:rPr>
      </w:pPr>
      <w:r>
        <w:rPr>
          <w:rFonts w:ascii="Times New Roman;Times;serif" w:hAnsi="Times New Roman;Times;serif"/>
          <w:b/>
          <w:smallCaps/>
          <w:sz w:val="24"/>
        </w:rPr>
        <w:t>Alumis</w:t>
      </w:r>
      <w:r>
        <w:rPr>
          <w:rFonts w:ascii="Times New Roman;Times;serif" w:hAnsi="Times New Roman;Times;serif"/>
          <w:b/>
          <w:smallCaps/>
          <w:spacing w:val="-9"/>
          <w:sz w:val="24"/>
        </w:rPr>
        <w:t xml:space="preserve"> </w:t>
      </w:r>
      <w:r>
        <w:rPr>
          <w:rFonts w:ascii="Times New Roman;Times;serif" w:hAnsi="Times New Roman;Times;serif"/>
          <w:b/>
          <w:smallCaps/>
          <w:spacing w:val="-4"/>
          <w:sz w:val="24"/>
        </w:rPr>
        <w:t>Inc.</w:t>
      </w:r>
    </w:p>
    <w:p>
      <w:pPr>
        <w:pStyle w:val="TextBody"/>
        <w:bidi w:val="0"/>
        <w:spacing w:lineRule="atLeast" w:line="271" w:before="0" w:after="0"/>
        <w:ind w:left="0" w:right="360" w:hanging="0"/>
        <w:jc w:val="center"/>
        <w:rPr>
          <w:rFonts w:ascii="Times New Roman;Times;serif" w:hAnsi="Times New Roman;Times;serif"/>
          <w:sz w:val="22"/>
        </w:rPr>
      </w:pPr>
      <w:r>
        <w:rPr>
          <w:rFonts w:ascii="Times New Roman;Times;serif" w:hAnsi="Times New Roman;Times;serif"/>
          <w:b/>
          <w:smallCaps/>
          <w:spacing w:val="-2"/>
          <w:sz w:val="24"/>
        </w:rPr>
        <w:t>Non-Employee</w:t>
      </w:r>
      <w:r>
        <w:rPr>
          <w:rFonts w:ascii="Times New Roman;Times;serif" w:hAnsi="Times New Roman;Times;serif"/>
          <w:smallCaps/>
          <w:spacing w:val="6"/>
          <w:sz w:val="22"/>
        </w:rPr>
        <w:t xml:space="preserve"> </w:t>
      </w:r>
      <w:r>
        <w:rPr>
          <w:rFonts w:ascii="Times New Roman;Times;serif" w:hAnsi="Times New Roman;Times;serif"/>
          <w:b/>
          <w:smallCaps/>
          <w:spacing w:val="-2"/>
          <w:sz w:val="24"/>
        </w:rPr>
        <w:t>Director</w:t>
      </w:r>
      <w:r>
        <w:rPr>
          <w:rFonts w:ascii="Times New Roman;Times;serif" w:hAnsi="Times New Roman;Times;serif"/>
          <w:smallCaps/>
          <w:spacing w:val="6"/>
          <w:sz w:val="22"/>
        </w:rPr>
        <w:t xml:space="preserve"> </w:t>
      </w:r>
      <w:r>
        <w:rPr>
          <w:rFonts w:ascii="Times New Roman;Times;serif" w:hAnsi="Times New Roman;Times;serif"/>
          <w:b/>
          <w:smallCaps/>
          <w:spacing w:val="-2"/>
          <w:sz w:val="24"/>
        </w:rPr>
        <w:t>Compensation</w:t>
      </w:r>
      <w:r>
        <w:rPr>
          <w:rFonts w:ascii="Times New Roman;Times;serif" w:hAnsi="Times New Roman;Times;serif"/>
          <w:smallCaps/>
          <w:spacing w:val="6"/>
          <w:sz w:val="22"/>
        </w:rPr>
        <w:t xml:space="preserve"> </w:t>
      </w:r>
      <w:r>
        <w:rPr>
          <w:rFonts w:ascii="Times New Roman;Times;serif" w:hAnsi="Times New Roman;Times;serif"/>
          <w:b/>
          <w:smallCaps/>
          <w:spacing w:val="-2"/>
          <w:sz w:val="24"/>
        </w:rPr>
        <w:t>Policy</w:t>
      </w:r>
    </w:p>
    <w:p>
      <w:pPr>
        <w:pStyle w:val="TextBody"/>
        <w:bidi w:val="0"/>
        <w:spacing w:lineRule="atLeast" w:line="283" w:before="0" w:after="0"/>
        <w:ind w:left="0" w:right="359" w:hanging="0"/>
        <w:jc w:val="center"/>
        <w:rPr>
          <w:rFonts w:ascii="Times New Roman;Times;serif" w:hAnsi="Times New Roman;Times;serif"/>
          <w:sz w:val="18"/>
        </w:rPr>
      </w:pPr>
      <w:r>
        <w:rPr>
          <w:rFonts w:ascii="Times New Roman;Times;serif" w:hAnsi="Times New Roman;Times;serif"/>
          <w:b/>
          <w:spacing w:val="-2"/>
          <w:sz w:val="24"/>
        </w:rPr>
        <w:t>(</w:t>
      </w:r>
      <w:r>
        <w:rPr>
          <w:rFonts w:ascii="Times New Roman;Times;serif" w:hAnsi="Times New Roman;Times;serif"/>
          <w:b/>
          <w:spacing w:val="-2"/>
          <w:sz w:val="19"/>
        </w:rPr>
        <w:t>AS</w:t>
      </w:r>
      <w:r>
        <w:rPr>
          <w:rFonts w:ascii="Times New Roman;Times;serif" w:hAnsi="Times New Roman;Times;serif"/>
          <w:spacing w:val="-1"/>
          <w:sz w:val="18"/>
        </w:rPr>
        <w:t xml:space="preserve"> </w:t>
      </w:r>
      <w:r>
        <w:rPr>
          <w:rFonts w:ascii="Times New Roman;Times;serif" w:hAnsi="Times New Roman;Times;serif"/>
          <w:b/>
          <w:spacing w:val="-2"/>
          <w:sz w:val="24"/>
        </w:rPr>
        <w:t>A</w:t>
      </w:r>
      <w:r>
        <w:rPr>
          <w:rFonts w:ascii="Times New Roman;Times;serif" w:hAnsi="Times New Roman;Times;serif"/>
          <w:b/>
          <w:spacing w:val="-2"/>
          <w:sz w:val="19"/>
        </w:rPr>
        <w:t>MENDED</w:t>
      </w:r>
      <w:r>
        <w:rPr>
          <w:rFonts w:ascii="Times New Roman;Times;serif" w:hAnsi="Times New Roman;Times;serif"/>
          <w:sz w:val="18"/>
        </w:rPr>
        <w:t xml:space="preserve"> </w:t>
      </w:r>
      <w:r>
        <w:rPr>
          <w:rFonts w:ascii="Times New Roman;Times;serif" w:hAnsi="Times New Roman;Times;serif"/>
          <w:b/>
          <w:spacing w:val="-2"/>
          <w:sz w:val="19"/>
        </w:rPr>
        <w:t>AND</w:t>
      </w:r>
      <w:r>
        <w:rPr>
          <w:rFonts w:ascii="Times New Roman;Times;serif" w:hAnsi="Times New Roman;Times;serif"/>
          <w:spacing w:val="-1"/>
          <w:sz w:val="18"/>
        </w:rPr>
        <w:t xml:space="preserve"> </w:t>
      </w:r>
      <w:r>
        <w:rPr>
          <w:rFonts w:ascii="Times New Roman;Times;serif" w:hAnsi="Times New Roman;Times;serif"/>
          <w:b/>
          <w:spacing w:val="-2"/>
          <w:sz w:val="24"/>
        </w:rPr>
        <w:t>R</w:t>
      </w:r>
      <w:r>
        <w:rPr>
          <w:rFonts w:ascii="Times New Roman;Times;serif" w:hAnsi="Times New Roman;Times;serif"/>
          <w:b/>
          <w:spacing w:val="-2"/>
          <w:sz w:val="19"/>
        </w:rPr>
        <w:t>ESTATED</w:t>
      </w:r>
      <w:r>
        <w:rPr>
          <w:rFonts w:ascii="Times New Roman;Times;serif" w:hAnsi="Times New Roman;Times;serif"/>
          <w:sz w:val="18"/>
        </w:rPr>
        <w:t xml:space="preserve"> </w:t>
      </w:r>
      <w:r>
        <w:rPr>
          <w:rFonts w:ascii="Times New Roman;Times;serif" w:hAnsi="Times New Roman;Times;serif"/>
          <w:b/>
          <w:spacing w:val="-2"/>
          <w:sz w:val="19"/>
        </w:rPr>
        <w:t>ON</w:t>
      </w:r>
      <w:r>
        <w:rPr>
          <w:rFonts w:ascii="Times New Roman;Times;serif" w:hAnsi="Times New Roman;Times;serif"/>
          <w:spacing w:val="-1"/>
          <w:sz w:val="18"/>
        </w:rPr>
        <w:t xml:space="preserve"> </w:t>
      </w:r>
      <w:r>
        <w:rPr>
          <w:rFonts w:ascii="Times New Roman;Times;serif" w:hAnsi="Times New Roman;Times;serif"/>
          <w:b/>
          <w:spacing w:val="-2"/>
          <w:sz w:val="24"/>
        </w:rPr>
        <w:t>J</w:t>
      </w:r>
      <w:r>
        <w:rPr>
          <w:rFonts w:ascii="Times New Roman;Times;serif" w:hAnsi="Times New Roman;Times;serif"/>
          <w:b/>
          <w:spacing w:val="-2"/>
          <w:sz w:val="19"/>
        </w:rPr>
        <w:t>UNE</w:t>
      </w:r>
      <w:r>
        <w:rPr>
          <w:rFonts w:ascii="Times New Roman;Times;serif" w:hAnsi="Times New Roman;Times;serif"/>
          <w:sz w:val="18"/>
        </w:rPr>
        <w:t xml:space="preserve"> </w:t>
      </w:r>
      <w:r>
        <w:rPr>
          <w:rFonts w:ascii="Times New Roman;Times;serif" w:hAnsi="Times New Roman;Times;serif"/>
          <w:b/>
          <w:spacing w:val="-2"/>
          <w:sz w:val="24"/>
        </w:rPr>
        <w:t>12,</w:t>
      </w:r>
      <w:r>
        <w:rPr>
          <w:rFonts w:ascii="Times New Roman;Times;serif" w:hAnsi="Times New Roman;Times;serif"/>
          <w:spacing w:val="-13"/>
          <w:sz w:val="18"/>
        </w:rPr>
        <w:t xml:space="preserve"> </w:t>
      </w:r>
      <w:r>
        <w:rPr>
          <w:rFonts w:ascii="Times New Roman;Times;serif" w:hAnsi="Times New Roman;Times;serif"/>
          <w:b/>
          <w:spacing w:val="-2"/>
          <w:sz w:val="24"/>
        </w:rPr>
        <w:t>2026</w:t>
      </w:r>
      <w:r>
        <w:rPr>
          <w:rFonts w:ascii="Times New Roman;Times;serif" w:hAnsi="Times New Roman;Times;serif"/>
          <w:spacing w:val="-12"/>
          <w:sz w:val="18"/>
        </w:rPr>
        <w:t xml:space="preserve"> </w:t>
      </w:r>
      <w:r>
        <w:rPr>
          <w:rFonts w:ascii="Times New Roman;Times;serif" w:hAnsi="Times New Roman;Times;serif"/>
          <w:b/>
          <w:spacing w:val="-2"/>
          <w:sz w:val="24"/>
        </w:rPr>
        <w:t>(</w:t>
      </w:r>
      <w:r>
        <w:rPr>
          <w:rFonts w:ascii="Times New Roman;Times;serif" w:hAnsi="Times New Roman;Times;serif"/>
          <w:b/>
          <w:spacing w:val="-2"/>
          <w:sz w:val="19"/>
        </w:rPr>
        <w:t>THE</w:t>
      </w:r>
      <w:r>
        <w:rPr>
          <w:rFonts w:ascii="Times New Roman;Times;serif" w:hAnsi="Times New Roman;Times;serif"/>
          <w:spacing w:val="-1"/>
          <w:sz w:val="18"/>
        </w:rPr>
        <w:t xml:space="preserve"> </w:t>
      </w:r>
      <w:r>
        <w:rPr>
          <w:rFonts w:ascii="Times New Roman;Times;serif" w:hAnsi="Times New Roman;Times;serif"/>
          <w:spacing w:val="-2"/>
          <w:sz w:val="18"/>
        </w:rPr>
        <w:t>“</w:t>
      </w:r>
      <w:r>
        <w:rPr>
          <w:rFonts w:ascii="Times New Roman;Times;serif" w:hAnsi="Times New Roman;Times;serif"/>
          <w:b/>
          <w:i/>
          <w:spacing w:val="-2"/>
          <w:sz w:val="25"/>
        </w:rPr>
        <w:t>E</w:t>
      </w:r>
      <w:r>
        <w:rPr>
          <w:rFonts w:ascii="Times New Roman;Times;serif" w:hAnsi="Times New Roman;Times;serif"/>
          <w:b/>
          <w:i/>
          <w:spacing w:val="-2"/>
          <w:sz w:val="20"/>
        </w:rPr>
        <w:t>FFECTIVE</w:t>
      </w:r>
      <w:r>
        <w:rPr>
          <w:rFonts w:ascii="Times New Roman;Times;serif" w:hAnsi="Times New Roman;Times;serif"/>
          <w:spacing w:val="-4"/>
          <w:sz w:val="18"/>
        </w:rPr>
        <w:t xml:space="preserve"> </w:t>
      </w:r>
      <w:r>
        <w:rPr>
          <w:rFonts w:ascii="Times New Roman;Times;serif" w:hAnsi="Times New Roman;Times;serif"/>
          <w:b/>
          <w:i/>
          <w:spacing w:val="-2"/>
          <w:sz w:val="25"/>
        </w:rPr>
        <w:t>D</w:t>
      </w:r>
      <w:r>
        <w:rPr>
          <w:rFonts w:ascii="Times New Roman;Times;serif" w:hAnsi="Times New Roman;Times;serif"/>
          <w:b/>
          <w:i/>
          <w:spacing w:val="-2"/>
          <w:sz w:val="20"/>
        </w:rPr>
        <w:t>ATE</w:t>
      </w:r>
      <w:r>
        <w:rPr>
          <w:rFonts w:ascii="Times New Roman;Times;serif" w:hAnsi="Times New Roman;Times;serif"/>
          <w:spacing w:val="-2"/>
          <w:sz w:val="18"/>
        </w:rPr>
        <w:t>”</w:t>
      </w:r>
      <w:r>
        <w:rPr>
          <w:rFonts w:ascii="Times New Roman;Times;serif" w:hAnsi="Times New Roman;Times;serif"/>
          <w:b/>
          <w:spacing w:val="-2"/>
          <w:sz w:val="24"/>
        </w:rPr>
        <w:t>))</w:t>
      </w:r>
    </w:p>
    <w:p>
      <w:pPr>
        <w:pStyle w:val="TextBody"/>
        <w:bidi w:val="0"/>
        <w:spacing w:before="55" w:after="0"/>
        <w:ind w:left="0" w:right="0" w:hanging="0"/>
        <w:jc w:val="left"/>
        <w:rPr/>
      </w:pPr>
      <w:r>
        <w:rPr/>
        <w:t>​</w:t>
      </w:r>
    </w:p>
    <w:p>
      <w:pPr>
        <w:pStyle w:val="TextBody"/>
        <w:bidi w:val="0"/>
        <w:spacing w:before="0" w:after="0"/>
        <w:ind w:left="0" w:right="356" w:hanging="0"/>
        <w:jc w:val="both"/>
        <w:rPr>
          <w:rFonts w:ascii="Times New Roman;Times;serif" w:hAnsi="Times New Roman;Times;serif"/>
          <w:sz w:val="24"/>
        </w:rPr>
      </w:pPr>
      <w:r>
        <w:rPr>
          <w:rFonts w:ascii="Times New Roman;Times;serif" w:hAnsi="Times New Roman;Times;serif"/>
          <w:sz w:val="24"/>
        </w:rPr>
        <w:t>Each member of the Board of Directors (the “</w:t>
      </w:r>
      <w:r>
        <w:rPr>
          <w:rFonts w:ascii="Times New Roman;Times;serif" w:hAnsi="Times New Roman;Times;serif"/>
          <w:b/>
          <w:i/>
          <w:sz w:val="24"/>
        </w:rPr>
        <w:t>Board</w:t>
      </w:r>
      <w:r>
        <w:rPr>
          <w:rFonts w:ascii="Times New Roman;Times;serif" w:hAnsi="Times New Roman;Times;serif"/>
          <w:sz w:val="24"/>
        </w:rPr>
        <w:t>”) who is not also serving as an employee of or</w:t>
      </w:r>
      <w:r>
        <w:rPr>
          <w:rFonts w:ascii="Times New Roman;Times;serif" w:hAnsi="Times New Roman;Times;serif"/>
          <w:spacing w:val="37"/>
          <w:sz w:val="24"/>
        </w:rPr>
        <w:t xml:space="preserve"> </w:t>
      </w:r>
      <w:r>
        <w:rPr>
          <w:rFonts w:ascii="Times New Roman;Times;serif" w:hAnsi="Times New Roman;Times;serif"/>
          <w:sz w:val="24"/>
        </w:rPr>
        <w:t>consultant</w:t>
      </w:r>
      <w:r>
        <w:rPr>
          <w:rFonts w:ascii="Times New Roman;Times;serif" w:hAnsi="Times New Roman;Times;serif"/>
          <w:spacing w:val="37"/>
          <w:sz w:val="24"/>
        </w:rPr>
        <w:t xml:space="preserve"> </w:t>
      </w:r>
      <w:r>
        <w:rPr>
          <w:rFonts w:ascii="Times New Roman;Times;serif" w:hAnsi="Times New Roman;Times;serif"/>
          <w:sz w:val="24"/>
        </w:rPr>
        <w:t>to</w:t>
      </w:r>
      <w:r>
        <w:rPr>
          <w:rFonts w:ascii="Times New Roman;Times;serif" w:hAnsi="Times New Roman;Times;serif"/>
          <w:spacing w:val="35"/>
          <w:sz w:val="24"/>
        </w:rPr>
        <w:t xml:space="preserve"> </w:t>
      </w:r>
      <w:r>
        <w:rPr>
          <w:rFonts w:ascii="Times New Roman;Times;serif" w:hAnsi="Times New Roman;Times;serif"/>
          <w:sz w:val="24"/>
        </w:rPr>
        <w:t>Alumis</w:t>
      </w:r>
      <w:r>
        <w:rPr>
          <w:rFonts w:ascii="Times New Roman;Times;serif" w:hAnsi="Times New Roman;Times;serif"/>
          <w:spacing w:val="35"/>
          <w:sz w:val="24"/>
        </w:rPr>
        <w:t xml:space="preserve"> </w:t>
      </w:r>
      <w:r>
        <w:rPr>
          <w:rFonts w:ascii="Times New Roman;Times;serif" w:hAnsi="Times New Roman;Times;serif"/>
          <w:sz w:val="24"/>
        </w:rPr>
        <w:t>Inc.</w:t>
      </w:r>
      <w:r>
        <w:rPr>
          <w:rFonts w:ascii="Times New Roman;Times;serif" w:hAnsi="Times New Roman;Times;serif"/>
          <w:spacing w:val="35"/>
          <w:sz w:val="24"/>
        </w:rPr>
        <w:t xml:space="preserve"> </w:t>
      </w:r>
      <w:r>
        <w:rPr>
          <w:rFonts w:ascii="Times New Roman;Times;serif" w:hAnsi="Times New Roman;Times;serif"/>
          <w:sz w:val="24"/>
        </w:rPr>
        <w:t>(the</w:t>
      </w:r>
      <w:r>
        <w:rPr>
          <w:rFonts w:ascii="Times New Roman;Times;serif" w:hAnsi="Times New Roman;Times;serif"/>
          <w:spacing w:val="35"/>
          <w:sz w:val="24"/>
        </w:rPr>
        <w:t xml:space="preserve"> </w:t>
      </w:r>
      <w:r>
        <w:rPr>
          <w:rFonts w:ascii="Times New Roman;Times;serif" w:hAnsi="Times New Roman;Times;serif"/>
          <w:sz w:val="24"/>
        </w:rPr>
        <w:t>“</w:t>
      </w:r>
      <w:r>
        <w:rPr>
          <w:rFonts w:ascii="Times New Roman;Times;serif" w:hAnsi="Times New Roman;Times;serif"/>
          <w:b/>
          <w:i/>
          <w:sz w:val="24"/>
        </w:rPr>
        <w:t>Company</w:t>
      </w:r>
      <w:r>
        <w:rPr>
          <w:rFonts w:ascii="Times New Roman;Times;serif" w:hAnsi="Times New Roman;Times;serif"/>
          <w:sz w:val="24"/>
        </w:rPr>
        <w:t>”)</w:t>
      </w:r>
      <w:r>
        <w:rPr>
          <w:rFonts w:ascii="Times New Roman;Times;serif" w:hAnsi="Times New Roman;Times;serif"/>
          <w:spacing w:val="35"/>
          <w:sz w:val="24"/>
        </w:rPr>
        <w:t xml:space="preserve"> </w:t>
      </w:r>
      <w:r>
        <w:rPr>
          <w:rFonts w:ascii="Times New Roman;Times;serif" w:hAnsi="Times New Roman;Times;serif"/>
          <w:sz w:val="24"/>
        </w:rPr>
        <w:t>or</w:t>
      </w:r>
      <w:r>
        <w:rPr>
          <w:rFonts w:ascii="Times New Roman;Times;serif" w:hAnsi="Times New Roman;Times;serif"/>
          <w:spacing w:val="37"/>
          <w:sz w:val="24"/>
        </w:rPr>
        <w:t xml:space="preserve"> </w:t>
      </w:r>
      <w:r>
        <w:rPr>
          <w:rFonts w:ascii="Times New Roman;Times;serif" w:hAnsi="Times New Roman;Times;serif"/>
          <w:sz w:val="24"/>
        </w:rPr>
        <w:t>any</w:t>
      </w:r>
      <w:r>
        <w:rPr>
          <w:rFonts w:ascii="Times New Roman;Times;serif" w:hAnsi="Times New Roman;Times;serif"/>
          <w:spacing w:val="35"/>
          <w:sz w:val="24"/>
        </w:rPr>
        <w:t xml:space="preserve"> </w:t>
      </w:r>
      <w:r>
        <w:rPr>
          <w:rFonts w:ascii="Times New Roman;Times;serif" w:hAnsi="Times New Roman;Times;serif"/>
          <w:sz w:val="24"/>
        </w:rPr>
        <w:t>of</w:t>
      </w:r>
      <w:r>
        <w:rPr>
          <w:rFonts w:ascii="Times New Roman;Times;serif" w:hAnsi="Times New Roman;Times;serif"/>
          <w:spacing w:val="35"/>
          <w:sz w:val="24"/>
        </w:rPr>
        <w:t xml:space="preserve"> </w:t>
      </w:r>
      <w:r>
        <w:rPr>
          <w:rFonts w:ascii="Times New Roman;Times;serif" w:hAnsi="Times New Roman;Times;serif"/>
          <w:sz w:val="24"/>
        </w:rPr>
        <w:t>its</w:t>
      </w:r>
      <w:r>
        <w:rPr>
          <w:rFonts w:ascii="Times New Roman;Times;serif" w:hAnsi="Times New Roman;Times;serif"/>
          <w:spacing w:val="36"/>
          <w:sz w:val="24"/>
        </w:rPr>
        <w:t xml:space="preserve"> </w:t>
      </w:r>
      <w:r>
        <w:rPr>
          <w:rFonts w:ascii="Times New Roman;Times;serif" w:hAnsi="Times New Roman;Times;serif"/>
          <w:sz w:val="24"/>
        </w:rPr>
        <w:t>subsidiaries</w:t>
      </w:r>
      <w:r>
        <w:rPr>
          <w:rFonts w:ascii="Times New Roman;Times;serif" w:hAnsi="Times New Roman;Times;serif"/>
          <w:spacing w:val="36"/>
          <w:sz w:val="24"/>
        </w:rPr>
        <w:t xml:space="preserve"> </w:t>
      </w:r>
      <w:r>
        <w:rPr>
          <w:rFonts w:ascii="Times New Roman;Times;serif" w:hAnsi="Times New Roman;Times;serif"/>
          <w:sz w:val="24"/>
        </w:rPr>
        <w:t>(each</w:t>
      </w:r>
      <w:r>
        <w:rPr>
          <w:rFonts w:ascii="Times New Roman;Times;serif" w:hAnsi="Times New Roman;Times;serif"/>
          <w:spacing w:val="36"/>
          <w:sz w:val="24"/>
        </w:rPr>
        <w:t xml:space="preserve"> </w:t>
      </w:r>
      <w:r>
        <w:rPr>
          <w:rFonts w:ascii="Times New Roman;Times;serif" w:hAnsi="Times New Roman;Times;serif"/>
          <w:sz w:val="24"/>
        </w:rPr>
        <w:t>such</w:t>
      </w:r>
      <w:r>
        <w:rPr>
          <w:rFonts w:ascii="Times New Roman;Times;serif" w:hAnsi="Times New Roman;Times;serif"/>
          <w:spacing w:val="36"/>
          <w:sz w:val="24"/>
        </w:rPr>
        <w:t xml:space="preserve"> </w:t>
      </w:r>
      <w:r>
        <w:rPr>
          <w:rFonts w:ascii="Times New Roman;Times;serif" w:hAnsi="Times New Roman;Times;serif"/>
          <w:sz w:val="24"/>
        </w:rPr>
        <w:t>member, an</w:t>
      </w:r>
      <w:r>
        <w:rPr>
          <w:rFonts w:ascii="Times New Roman;Times;serif" w:hAnsi="Times New Roman;Times;serif"/>
          <w:spacing w:val="-3"/>
          <w:sz w:val="24"/>
        </w:rPr>
        <w:t xml:space="preserve"> </w:t>
      </w:r>
      <w:r>
        <w:rPr>
          <w:rFonts w:ascii="Times New Roman;Times;serif" w:hAnsi="Times New Roman;Times;serif"/>
          <w:sz w:val="24"/>
        </w:rPr>
        <w:t>“</w:t>
      </w:r>
      <w:r>
        <w:rPr>
          <w:rFonts w:ascii="Times New Roman;Times;serif" w:hAnsi="Times New Roman;Times;serif"/>
          <w:b/>
          <w:i/>
          <w:sz w:val="24"/>
        </w:rPr>
        <w:t>Eligible Director</w:t>
      </w:r>
      <w:r>
        <w:rPr>
          <w:rFonts w:ascii="Times New Roman;Times;serif" w:hAnsi="Times New Roman;Times;serif"/>
          <w:sz w:val="24"/>
        </w:rPr>
        <w:t>”) will receive the compensation described in this Non-Employee Director Compensation Policy for his or her Board service upon and following the Effective Date. An Eligible</w:t>
      </w:r>
      <w:r>
        <w:rPr>
          <w:rFonts w:ascii="Times New Roman;Times;serif" w:hAnsi="Times New Roman;Times;serif"/>
          <w:spacing w:val="-5"/>
          <w:sz w:val="24"/>
        </w:rPr>
        <w:t xml:space="preserve"> </w:t>
      </w:r>
      <w:r>
        <w:rPr>
          <w:rFonts w:ascii="Times New Roman;Times;serif" w:hAnsi="Times New Roman;Times;serif"/>
          <w:sz w:val="24"/>
        </w:rPr>
        <w:t>Director</w:t>
      </w:r>
      <w:r>
        <w:rPr>
          <w:rFonts w:ascii="Times New Roman;Times;serif" w:hAnsi="Times New Roman;Times;serif"/>
          <w:spacing w:val="-6"/>
          <w:sz w:val="24"/>
        </w:rPr>
        <w:t xml:space="preserve"> </w:t>
      </w:r>
      <w:r>
        <w:rPr>
          <w:rFonts w:ascii="Times New Roman;Times;serif" w:hAnsi="Times New Roman;Times;serif"/>
          <w:sz w:val="24"/>
        </w:rPr>
        <w:t>may</w:t>
      </w:r>
      <w:r>
        <w:rPr>
          <w:rFonts w:ascii="Times New Roman;Times;serif" w:hAnsi="Times New Roman;Times;serif"/>
          <w:spacing w:val="-5"/>
          <w:sz w:val="24"/>
        </w:rPr>
        <w:t xml:space="preserve"> </w:t>
      </w:r>
      <w:r>
        <w:rPr>
          <w:rFonts w:ascii="Times New Roman;Times;serif" w:hAnsi="Times New Roman;Times;serif"/>
          <w:sz w:val="24"/>
        </w:rPr>
        <w:t>decline</w:t>
      </w:r>
      <w:r>
        <w:rPr>
          <w:rFonts w:ascii="Times New Roman;Times;serif" w:hAnsi="Times New Roman;Times;serif"/>
          <w:spacing w:val="-5"/>
          <w:sz w:val="24"/>
        </w:rPr>
        <w:t xml:space="preserve"> </w:t>
      </w:r>
      <w:r>
        <w:rPr>
          <w:rFonts w:ascii="Times New Roman;Times;serif" w:hAnsi="Times New Roman;Times;serif"/>
          <w:sz w:val="24"/>
        </w:rPr>
        <w:t>all</w:t>
      </w:r>
      <w:r>
        <w:rPr>
          <w:rFonts w:ascii="Times New Roman;Times;serif" w:hAnsi="Times New Roman;Times;serif"/>
          <w:spacing w:val="-4"/>
          <w:sz w:val="24"/>
        </w:rPr>
        <w:t xml:space="preserve"> </w:t>
      </w:r>
      <w:r>
        <w:rPr>
          <w:rFonts w:ascii="Times New Roman;Times;serif" w:hAnsi="Times New Roman;Times;serif"/>
          <w:sz w:val="24"/>
        </w:rPr>
        <w:t>or</w:t>
      </w:r>
      <w:r>
        <w:rPr>
          <w:rFonts w:ascii="Times New Roman;Times;serif" w:hAnsi="Times New Roman;Times;serif"/>
          <w:spacing w:val="-7"/>
          <w:sz w:val="24"/>
        </w:rPr>
        <w:t xml:space="preserve"> </w:t>
      </w:r>
      <w:r>
        <w:rPr>
          <w:rFonts w:ascii="Times New Roman;Times;serif" w:hAnsi="Times New Roman;Times;serif"/>
          <w:sz w:val="24"/>
        </w:rPr>
        <w:t>any</w:t>
      </w:r>
      <w:r>
        <w:rPr>
          <w:rFonts w:ascii="Times New Roman;Times;serif" w:hAnsi="Times New Roman;Times;serif"/>
          <w:spacing w:val="-5"/>
          <w:sz w:val="24"/>
        </w:rPr>
        <w:t xml:space="preserve"> </w:t>
      </w:r>
      <w:r>
        <w:rPr>
          <w:rFonts w:ascii="Times New Roman;Times;serif" w:hAnsi="Times New Roman;Times;serif"/>
          <w:sz w:val="24"/>
        </w:rPr>
        <w:t>portion</w:t>
      </w:r>
      <w:r>
        <w:rPr>
          <w:rFonts w:ascii="Times New Roman;Times;serif" w:hAnsi="Times New Roman;Times;serif"/>
          <w:spacing w:val="-6"/>
          <w:sz w:val="24"/>
        </w:rPr>
        <w:t xml:space="preserve"> </w:t>
      </w:r>
      <w:r>
        <w:rPr>
          <w:rFonts w:ascii="Times New Roman;Times;serif" w:hAnsi="Times New Roman;Times;serif"/>
          <w:sz w:val="24"/>
        </w:rPr>
        <w:t>of</w:t>
      </w:r>
      <w:r>
        <w:rPr>
          <w:rFonts w:ascii="Times New Roman;Times;serif" w:hAnsi="Times New Roman;Times;serif"/>
          <w:spacing w:val="-4"/>
          <w:sz w:val="24"/>
        </w:rPr>
        <w:t xml:space="preserve"> </w:t>
      </w:r>
      <w:r>
        <w:rPr>
          <w:rFonts w:ascii="Times New Roman;Times;serif" w:hAnsi="Times New Roman;Times;serif"/>
          <w:sz w:val="24"/>
        </w:rPr>
        <w:t>his</w:t>
      </w:r>
      <w:r>
        <w:rPr>
          <w:rFonts w:ascii="Times New Roman;Times;serif" w:hAnsi="Times New Roman;Times;serif"/>
          <w:spacing w:val="-5"/>
          <w:sz w:val="24"/>
        </w:rPr>
        <w:t xml:space="preserve"> </w:t>
      </w:r>
      <w:r>
        <w:rPr>
          <w:rFonts w:ascii="Times New Roman;Times;serif" w:hAnsi="Times New Roman;Times;serif"/>
          <w:sz w:val="24"/>
        </w:rPr>
        <w:t>or</w:t>
      </w:r>
      <w:r>
        <w:rPr>
          <w:rFonts w:ascii="Times New Roman;Times;serif" w:hAnsi="Times New Roman;Times;serif"/>
          <w:spacing w:val="-4"/>
          <w:sz w:val="24"/>
        </w:rPr>
        <w:t xml:space="preserve"> </w:t>
      </w:r>
      <w:r>
        <w:rPr>
          <w:rFonts w:ascii="Times New Roman;Times;serif" w:hAnsi="Times New Roman;Times;serif"/>
          <w:sz w:val="24"/>
        </w:rPr>
        <w:t>her</w:t>
      </w:r>
      <w:r>
        <w:rPr>
          <w:rFonts w:ascii="Times New Roman;Times;serif" w:hAnsi="Times New Roman;Times;serif"/>
          <w:spacing w:val="-6"/>
          <w:sz w:val="24"/>
        </w:rPr>
        <w:t xml:space="preserve"> </w:t>
      </w:r>
      <w:r>
        <w:rPr>
          <w:rFonts w:ascii="Times New Roman;Times;serif" w:hAnsi="Times New Roman;Times;serif"/>
          <w:sz w:val="24"/>
        </w:rPr>
        <w:t>compensation</w:t>
      </w:r>
      <w:r>
        <w:rPr>
          <w:rFonts w:ascii="Times New Roman;Times;serif" w:hAnsi="Times New Roman;Times;serif"/>
          <w:spacing w:val="-5"/>
          <w:sz w:val="24"/>
        </w:rPr>
        <w:t xml:space="preserve"> </w:t>
      </w:r>
      <w:r>
        <w:rPr>
          <w:rFonts w:ascii="Times New Roman;Times;serif" w:hAnsi="Times New Roman;Times;serif"/>
          <w:sz w:val="24"/>
        </w:rPr>
        <w:t>by</w:t>
      </w:r>
      <w:r>
        <w:rPr>
          <w:rFonts w:ascii="Times New Roman;Times;serif" w:hAnsi="Times New Roman;Times;serif"/>
          <w:spacing w:val="-5"/>
          <w:sz w:val="24"/>
        </w:rPr>
        <w:t xml:space="preserve"> </w:t>
      </w:r>
      <w:r>
        <w:rPr>
          <w:rFonts w:ascii="Times New Roman;Times;serif" w:hAnsi="Times New Roman;Times;serif"/>
          <w:sz w:val="24"/>
        </w:rPr>
        <w:t>giving</w:t>
      </w:r>
      <w:r>
        <w:rPr>
          <w:rFonts w:ascii="Times New Roman;Times;serif" w:hAnsi="Times New Roman;Times;serif"/>
          <w:spacing w:val="-6"/>
          <w:sz w:val="24"/>
        </w:rPr>
        <w:t xml:space="preserve"> </w:t>
      </w:r>
      <w:r>
        <w:rPr>
          <w:rFonts w:ascii="Times New Roman;Times;serif" w:hAnsi="Times New Roman;Times;serif"/>
          <w:sz w:val="24"/>
        </w:rPr>
        <w:t>notice</w:t>
      </w:r>
      <w:r>
        <w:rPr>
          <w:rFonts w:ascii="Times New Roman;Times;serif" w:hAnsi="Times New Roman;Times;serif"/>
          <w:spacing w:val="-6"/>
          <w:sz w:val="24"/>
        </w:rPr>
        <w:t xml:space="preserve"> </w:t>
      </w:r>
      <w:r>
        <w:rPr>
          <w:rFonts w:ascii="Times New Roman;Times;serif" w:hAnsi="Times New Roman;Times;serif"/>
          <w:sz w:val="24"/>
        </w:rPr>
        <w:t>to</w:t>
      </w:r>
      <w:r>
        <w:rPr>
          <w:rFonts w:ascii="Times New Roman;Times;serif" w:hAnsi="Times New Roman;Times;serif"/>
          <w:spacing w:val="-6"/>
          <w:sz w:val="24"/>
        </w:rPr>
        <w:t xml:space="preserve"> </w:t>
      </w:r>
      <w:r>
        <w:rPr>
          <w:rFonts w:ascii="Times New Roman;Times;serif" w:hAnsi="Times New Roman;Times;serif"/>
          <w:sz w:val="24"/>
        </w:rPr>
        <w:t>the Company prior to the date cash may be paid or equity awards are to be granted, as the case may be.</w:t>
      </w:r>
      <w:r>
        <w:rPr>
          <w:rFonts w:ascii="Times New Roman;Times;serif" w:hAnsi="Times New Roman;Times;serif"/>
          <w:spacing w:val="-15"/>
          <w:sz w:val="24"/>
        </w:rPr>
        <w:t xml:space="preserve"> </w:t>
      </w:r>
      <w:r>
        <w:rPr>
          <w:rFonts w:ascii="Times New Roman;Times;serif" w:hAnsi="Times New Roman;Times;serif"/>
          <w:sz w:val="24"/>
        </w:rPr>
        <w:t>This</w:t>
      </w:r>
      <w:r>
        <w:rPr>
          <w:rFonts w:ascii="Times New Roman;Times;serif" w:hAnsi="Times New Roman;Times;serif"/>
          <w:spacing w:val="-15"/>
          <w:sz w:val="24"/>
        </w:rPr>
        <w:t xml:space="preserve"> </w:t>
      </w:r>
      <w:r>
        <w:rPr>
          <w:rFonts w:ascii="Times New Roman;Times;serif" w:hAnsi="Times New Roman;Times;serif"/>
          <w:sz w:val="24"/>
        </w:rPr>
        <w:t>policy</w:t>
      </w:r>
      <w:r>
        <w:rPr>
          <w:rFonts w:ascii="Times New Roman;Times;serif" w:hAnsi="Times New Roman;Times;serif"/>
          <w:spacing w:val="-15"/>
          <w:sz w:val="24"/>
        </w:rPr>
        <w:t xml:space="preserve"> </w:t>
      </w:r>
      <w:r>
        <w:rPr>
          <w:rFonts w:ascii="Times New Roman;Times;serif" w:hAnsi="Times New Roman;Times;serif"/>
          <w:sz w:val="24"/>
        </w:rPr>
        <w:t>may</w:t>
      </w:r>
      <w:r>
        <w:rPr>
          <w:rFonts w:ascii="Times New Roman;Times;serif" w:hAnsi="Times New Roman;Times;serif"/>
          <w:spacing w:val="-15"/>
          <w:sz w:val="24"/>
        </w:rPr>
        <w:t xml:space="preserve"> </w:t>
      </w:r>
      <w:r>
        <w:rPr>
          <w:rFonts w:ascii="Times New Roman;Times;serif" w:hAnsi="Times New Roman;Times;serif"/>
          <w:sz w:val="24"/>
        </w:rPr>
        <w:t>be</w:t>
      </w:r>
      <w:r>
        <w:rPr>
          <w:rFonts w:ascii="Times New Roman;Times;serif" w:hAnsi="Times New Roman;Times;serif"/>
          <w:spacing w:val="-15"/>
          <w:sz w:val="24"/>
        </w:rPr>
        <w:t xml:space="preserve"> </w:t>
      </w:r>
      <w:r>
        <w:rPr>
          <w:rFonts w:ascii="Times New Roman;Times;serif" w:hAnsi="Times New Roman;Times;serif"/>
          <w:sz w:val="24"/>
        </w:rPr>
        <w:t>amended</w:t>
      </w:r>
      <w:r>
        <w:rPr>
          <w:rFonts w:ascii="Times New Roman;Times;serif" w:hAnsi="Times New Roman;Times;serif"/>
          <w:spacing w:val="-15"/>
          <w:sz w:val="24"/>
        </w:rPr>
        <w:t xml:space="preserve"> </w:t>
      </w:r>
      <w:r>
        <w:rPr>
          <w:rFonts w:ascii="Times New Roman;Times;serif" w:hAnsi="Times New Roman;Times;serif"/>
          <w:sz w:val="24"/>
        </w:rPr>
        <w:t>at</w:t>
      </w:r>
      <w:r>
        <w:rPr>
          <w:rFonts w:ascii="Times New Roman;Times;serif" w:hAnsi="Times New Roman;Times;serif"/>
          <w:spacing w:val="-15"/>
          <w:sz w:val="24"/>
        </w:rPr>
        <w:t xml:space="preserve"> </w:t>
      </w:r>
      <w:r>
        <w:rPr>
          <w:rFonts w:ascii="Times New Roman;Times;serif" w:hAnsi="Times New Roman;Times;serif"/>
          <w:sz w:val="24"/>
        </w:rPr>
        <w:t>any</w:t>
      </w:r>
      <w:r>
        <w:rPr>
          <w:rFonts w:ascii="Times New Roman;Times;serif" w:hAnsi="Times New Roman;Times;serif"/>
          <w:spacing w:val="-15"/>
          <w:sz w:val="24"/>
        </w:rPr>
        <w:t xml:space="preserve"> </w:t>
      </w:r>
      <w:r>
        <w:rPr>
          <w:rFonts w:ascii="Times New Roman;Times;serif" w:hAnsi="Times New Roman;Times;serif"/>
          <w:sz w:val="24"/>
        </w:rPr>
        <w:t>time</w:t>
      </w:r>
      <w:r>
        <w:rPr>
          <w:rFonts w:ascii="Times New Roman;Times;serif" w:hAnsi="Times New Roman;Times;serif"/>
          <w:spacing w:val="-15"/>
          <w:sz w:val="24"/>
        </w:rPr>
        <w:t xml:space="preserve"> </w:t>
      </w:r>
      <w:r>
        <w:rPr>
          <w:rFonts w:ascii="Times New Roman;Times;serif" w:hAnsi="Times New Roman;Times;serif"/>
          <w:sz w:val="24"/>
        </w:rPr>
        <w:t>in</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sole</w:t>
      </w:r>
      <w:r>
        <w:rPr>
          <w:rFonts w:ascii="Times New Roman;Times;serif" w:hAnsi="Times New Roman;Times;serif"/>
          <w:spacing w:val="-15"/>
          <w:sz w:val="24"/>
        </w:rPr>
        <w:t xml:space="preserve"> </w:t>
      </w:r>
      <w:r>
        <w:rPr>
          <w:rFonts w:ascii="Times New Roman;Times;serif" w:hAnsi="Times New Roman;Times;serif"/>
          <w:sz w:val="24"/>
        </w:rPr>
        <w:t>discretion</w:t>
      </w:r>
      <w:r>
        <w:rPr>
          <w:rFonts w:ascii="Times New Roman;Times;serif" w:hAnsi="Times New Roman;Times;serif"/>
          <w:spacing w:val="-15"/>
          <w:sz w:val="24"/>
        </w:rPr>
        <w:t xml:space="preserve"> </w:t>
      </w:r>
      <w:r>
        <w:rPr>
          <w:rFonts w:ascii="Times New Roman;Times;serif" w:hAnsi="Times New Roman;Times;serif"/>
          <w:sz w:val="24"/>
        </w:rPr>
        <w:t>of</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Board</w:t>
      </w:r>
      <w:r>
        <w:rPr>
          <w:rFonts w:ascii="Times New Roman;Times;serif" w:hAnsi="Times New Roman;Times;serif"/>
          <w:spacing w:val="-15"/>
          <w:sz w:val="24"/>
        </w:rPr>
        <w:t xml:space="preserve"> </w:t>
      </w:r>
      <w:r>
        <w:rPr>
          <w:rFonts w:ascii="Times New Roman;Times;serif" w:hAnsi="Times New Roman;Times;serif"/>
          <w:sz w:val="24"/>
        </w:rPr>
        <w:t>or</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Compensation Committee of the Board.</w:t>
      </w:r>
    </w:p>
    <w:p>
      <w:pPr>
        <w:pStyle w:val="TextBody"/>
        <w:bidi w:val="0"/>
        <w:spacing w:before="0" w:after="0"/>
        <w:ind w:left="0" w:right="0" w:hanging="0"/>
        <w:jc w:val="left"/>
        <w:rPr/>
      </w:pPr>
      <w:r>
        <w:rPr/>
        <w:t>​</w:t>
      </w:r>
    </w:p>
    <w:p>
      <w:pPr>
        <w:pStyle w:val="TextBody"/>
        <w:bidi w:val="0"/>
        <w:spacing w:before="1" w:after="0"/>
        <w:ind w:left="0" w:right="0" w:hanging="0"/>
        <w:jc w:val="both"/>
        <w:rPr>
          <w:rFonts w:ascii="Times New Roman;Times;serif" w:hAnsi="Times New Roman;Times;serif"/>
          <w:b/>
          <w:sz w:val="24"/>
        </w:rPr>
      </w:pPr>
      <w:r>
        <w:rPr>
          <w:rFonts w:ascii="Times New Roman;Times;serif" w:hAnsi="Times New Roman;Times;serif"/>
          <w:b/>
          <w:sz w:val="24"/>
        </w:rPr>
        <w:t>Annual</w:t>
      </w:r>
      <w:r>
        <w:rPr>
          <w:rFonts w:ascii="Times New Roman;Times;serif" w:hAnsi="Times New Roman;Times;serif"/>
          <w:b/>
          <w:spacing w:val="-3"/>
          <w:sz w:val="24"/>
        </w:rPr>
        <w:t xml:space="preserve"> </w:t>
      </w:r>
      <w:r>
        <w:rPr>
          <w:rFonts w:ascii="Times New Roman;Times;serif" w:hAnsi="Times New Roman;Times;serif"/>
          <w:b/>
          <w:sz w:val="24"/>
        </w:rPr>
        <w:t>Cash</w:t>
      </w:r>
      <w:r>
        <w:rPr>
          <w:rFonts w:ascii="Times New Roman;Times;serif" w:hAnsi="Times New Roman;Times;serif"/>
          <w:b/>
          <w:spacing w:val="-2"/>
          <w:sz w:val="24"/>
        </w:rPr>
        <w:t xml:space="preserve"> Compensation</w:t>
      </w:r>
    </w:p>
    <w:p>
      <w:pPr>
        <w:pStyle w:val="TextBody"/>
        <w:bidi w:val="0"/>
        <w:spacing w:before="276" w:after="0"/>
        <w:ind w:left="0" w:right="356" w:hanging="0"/>
        <w:jc w:val="both"/>
        <w:rPr>
          <w:rFonts w:ascii="Times New Roman;Times;serif" w:hAnsi="Times New Roman;Times;serif"/>
          <w:sz w:val="24"/>
        </w:rPr>
      </w:pPr>
      <w:r>
        <w:rPr>
          <w:rFonts w:ascii="Times New Roman;Times;serif" w:hAnsi="Times New Roman;Times;serif"/>
          <w:sz w:val="24"/>
        </w:rPr>
        <w:t>The annual cash compensation amount set forth below is payable to Eligible Directors in equal quarterly</w:t>
      </w:r>
      <w:r>
        <w:rPr>
          <w:rFonts w:ascii="Times New Roman;Times;serif" w:hAnsi="Times New Roman;Times;serif"/>
          <w:spacing w:val="-7"/>
          <w:sz w:val="24"/>
        </w:rPr>
        <w:t xml:space="preserve"> </w:t>
      </w:r>
      <w:r>
        <w:rPr>
          <w:rFonts w:ascii="Times New Roman;Times;serif" w:hAnsi="Times New Roman;Times;serif"/>
          <w:sz w:val="24"/>
        </w:rPr>
        <w:t>installments,</w:t>
      </w:r>
      <w:r>
        <w:rPr>
          <w:rFonts w:ascii="Times New Roman;Times;serif" w:hAnsi="Times New Roman;Times;serif"/>
          <w:spacing w:val="-7"/>
          <w:sz w:val="24"/>
        </w:rPr>
        <w:t xml:space="preserve"> </w:t>
      </w:r>
      <w:r>
        <w:rPr>
          <w:rFonts w:ascii="Times New Roman;Times;serif" w:hAnsi="Times New Roman;Times;serif"/>
          <w:sz w:val="24"/>
        </w:rPr>
        <w:t>payable</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arrears</w:t>
      </w:r>
      <w:r>
        <w:rPr>
          <w:rFonts w:ascii="Times New Roman;Times;serif" w:hAnsi="Times New Roman;Times;serif"/>
          <w:spacing w:val="-7"/>
          <w:sz w:val="24"/>
        </w:rPr>
        <w:t xml:space="preserve"> </w:t>
      </w:r>
      <w:r>
        <w:rPr>
          <w:rFonts w:ascii="Times New Roman;Times;serif" w:hAnsi="Times New Roman;Times;serif"/>
          <w:sz w:val="24"/>
        </w:rPr>
        <w:t>on</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last</w:t>
      </w:r>
      <w:r>
        <w:rPr>
          <w:rFonts w:ascii="Times New Roman;Times;serif" w:hAnsi="Times New Roman;Times;serif"/>
          <w:spacing w:val="-7"/>
          <w:sz w:val="24"/>
        </w:rPr>
        <w:t xml:space="preserve"> </w:t>
      </w:r>
      <w:r>
        <w:rPr>
          <w:rFonts w:ascii="Times New Roman;Times;serif" w:hAnsi="Times New Roman;Times;serif"/>
          <w:sz w:val="24"/>
        </w:rPr>
        <w:t>day</w:t>
      </w:r>
      <w:r>
        <w:rPr>
          <w:rFonts w:ascii="Times New Roman;Times;serif" w:hAnsi="Times New Roman;Times;serif"/>
          <w:spacing w:val="-7"/>
          <w:sz w:val="24"/>
        </w:rPr>
        <w:t xml:space="preserve"> </w:t>
      </w:r>
      <w:r>
        <w:rPr>
          <w:rFonts w:ascii="Times New Roman;Times;serif" w:hAnsi="Times New Roman;Times;serif"/>
          <w:sz w:val="24"/>
        </w:rPr>
        <w:t>of</w:t>
      </w:r>
      <w:r>
        <w:rPr>
          <w:rFonts w:ascii="Times New Roman;Times;serif" w:hAnsi="Times New Roman;Times;serif"/>
          <w:spacing w:val="-7"/>
          <w:sz w:val="24"/>
        </w:rPr>
        <w:t xml:space="preserve"> </w:t>
      </w:r>
      <w:r>
        <w:rPr>
          <w:rFonts w:ascii="Times New Roman;Times;serif" w:hAnsi="Times New Roman;Times;serif"/>
          <w:sz w:val="24"/>
        </w:rPr>
        <w:t>each</w:t>
      </w:r>
      <w:r>
        <w:rPr>
          <w:rFonts w:ascii="Times New Roman;Times;serif" w:hAnsi="Times New Roman;Times;serif"/>
          <w:spacing w:val="-7"/>
          <w:sz w:val="24"/>
        </w:rPr>
        <w:t xml:space="preserve"> </w:t>
      </w:r>
      <w:r>
        <w:rPr>
          <w:rFonts w:ascii="Times New Roman;Times;serif" w:hAnsi="Times New Roman;Times;serif"/>
          <w:sz w:val="24"/>
        </w:rPr>
        <w:t>fiscal</w:t>
      </w:r>
      <w:r>
        <w:rPr>
          <w:rFonts w:ascii="Times New Roman;Times;serif" w:hAnsi="Times New Roman;Times;serif"/>
          <w:spacing w:val="-7"/>
          <w:sz w:val="24"/>
        </w:rPr>
        <w:t xml:space="preserve"> </w:t>
      </w:r>
      <w:r>
        <w:rPr>
          <w:rFonts w:ascii="Times New Roman;Times;serif" w:hAnsi="Times New Roman;Times;serif"/>
          <w:sz w:val="24"/>
        </w:rPr>
        <w:t>quarter</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which</w:t>
      </w:r>
      <w:r>
        <w:rPr>
          <w:rFonts w:ascii="Times New Roman;Times;serif" w:hAnsi="Times New Roman;Times;serif"/>
          <w:spacing w:val="-8"/>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pStyle w:val="TextBody"/>
        <w:bidi w:val="0"/>
        <w:spacing w:before="0" w:after="0"/>
        <w:ind w:left="0" w:right="0" w:hanging="0"/>
        <w:jc w:val="left"/>
        <w:rPr/>
      </w:pPr>
      <w:r>
        <w:rPr/>
        <w:t>​</w:t>
      </w:r>
    </w:p>
    <w:tbl>
      <w:tblPr>
        <w:tblW w:w="3236" w:type="dxa"/>
        <w:jc w:val="left"/>
        <w:tblInd w:w="0" w:type="dxa"/>
        <w:tblLayout w:type="fixed"/>
        <w:tblCellMar>
          <w:top w:w="0" w:type="dxa"/>
          <w:left w:w="0" w:type="dxa"/>
          <w:bottom w:w="0" w:type="dxa"/>
          <w:right w:w="0" w:type="dxa"/>
        </w:tblCellMar>
      </w:tblPr>
      <w:tblGrid>
        <w:gridCol w:w="200"/>
        <w:gridCol w:w="3036"/>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30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Annual</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Board</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Service</w:t>
            </w:r>
            <w:r>
              <w:rPr>
                <w:caps w:val="false"/>
                <w:smallCaps w:val="false"/>
                <w:spacing w:val="-1"/>
                <w:u w:val="single"/>
              </w:rPr>
              <w:t xml:space="preserve"> </w:t>
            </w:r>
            <w:r>
              <w:rPr>
                <w:rFonts w:ascii="Times New Roman;Times;serif" w:hAnsi="Times New Roman;Times;serif"/>
                <w:b w:val="false"/>
                <w:i w:val="false"/>
                <w:caps w:val="false"/>
                <w:smallCaps w:val="false"/>
                <w:spacing w:val="-2"/>
                <w:sz w:val="24"/>
                <w:u w:val="single"/>
              </w:rPr>
              <w:t>Retainer</w:t>
            </w:r>
            <w:r>
              <w:rPr>
                <w:rFonts w:ascii="Times New Roman;Times;serif" w:hAnsi="Times New Roman;Times;serif"/>
                <w:b w:val="false"/>
                <w:i w:val="false"/>
                <w:caps w:val="false"/>
                <w:smallCaps w:val="false"/>
                <w:spacing w:val="-2"/>
                <w:sz w:val="24"/>
              </w:rPr>
              <w:t>:</w:t>
            </w:r>
          </w:p>
        </w:tc>
      </w:tr>
    </w:tbl>
    <w:tbl>
      <w:tblPr>
        <w:tblW w:w="3141" w:type="dxa"/>
        <w:jc w:val="left"/>
        <w:tblInd w:w="0" w:type="dxa"/>
        <w:tblLayout w:type="fixed"/>
        <w:tblCellMar>
          <w:top w:w="0" w:type="dxa"/>
          <w:left w:w="0" w:type="dxa"/>
          <w:bottom w:w="0" w:type="dxa"/>
          <w:right w:w="0" w:type="dxa"/>
        </w:tblCellMar>
      </w:tblPr>
      <w:tblGrid>
        <w:gridCol w:w="23"/>
        <w:gridCol w:w="185"/>
        <w:gridCol w:w="293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29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All</w:t>
            </w:r>
            <w:r>
              <w:rPr>
                <w:caps w:val="false"/>
                <w:smallCaps w:val="false"/>
                <w:spacing w:val="-3"/>
              </w:rPr>
              <w:t xml:space="preserve"> </w:t>
            </w:r>
            <w:r>
              <w:rPr>
                <w:rFonts w:ascii="Times New Roman;Times;serif" w:hAnsi="Times New Roman;Times;serif"/>
                <w:b w:val="false"/>
                <w:i w:val="false"/>
                <w:caps w:val="false"/>
                <w:smallCaps w:val="false"/>
                <w:sz w:val="24"/>
              </w:rPr>
              <w:t>Eligible</w:t>
            </w:r>
            <w:r>
              <w:rPr>
                <w:caps w:val="false"/>
                <w:smallCaps w:val="false"/>
                <w:spacing w:val="-3"/>
              </w:rPr>
              <w:t xml:space="preserve"> </w:t>
            </w:r>
            <w:r>
              <w:rPr>
                <w:rFonts w:ascii="Times New Roman;Times;serif" w:hAnsi="Times New Roman;Times;serif"/>
                <w:b w:val="false"/>
                <w:i w:val="false"/>
                <w:caps w:val="false"/>
                <w:smallCaps w:val="false"/>
                <w:sz w:val="24"/>
              </w:rPr>
              <w:t>Directors:</w:t>
            </w:r>
            <w:r>
              <w:rPr>
                <w:caps w:val="false"/>
                <w:smallCaps w:val="false"/>
                <w:spacing w:val="-2"/>
              </w:rPr>
              <w:t xml:space="preserve"> </w:t>
            </w:r>
            <w:r>
              <w:rPr>
                <w:rFonts w:ascii="Times New Roman;Times;serif" w:hAnsi="Times New Roman;Times;serif"/>
                <w:b w:val="false"/>
                <w:i w:val="false"/>
                <w:caps w:val="false"/>
                <w:smallCaps w:val="false"/>
                <w:spacing w:val="-2"/>
                <w:sz w:val="24"/>
              </w:rPr>
              <w:t>$50,000</w:t>
            </w:r>
          </w:p>
        </w:tc>
      </w:tr>
    </w:tbl>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Non-Executive</w:t>
            </w:r>
            <w:r>
              <w:rPr>
                <w:caps w:val="false"/>
                <w:smallCaps w:val="false"/>
                <w:spacing w:val="-15"/>
              </w:rPr>
              <w:t xml:space="preserve"> </w:t>
            </w:r>
            <w:r>
              <w:rPr>
                <w:rFonts w:ascii="Times New Roman;Times;serif" w:hAnsi="Times New Roman;Times;serif"/>
                <w:b w:val="false"/>
                <w:i w:val="false"/>
                <w:caps w:val="false"/>
                <w:smallCaps w:val="false"/>
                <w:sz w:val="24"/>
              </w:rPr>
              <w:t>Chair</w:t>
            </w:r>
            <w:r>
              <w:rPr>
                <w:caps w:val="false"/>
                <w:smallCaps w:val="false"/>
                <w:spacing w:val="-15"/>
              </w:rPr>
              <w:t xml:space="preserve"> </w:t>
            </w:r>
            <w:r>
              <w:rPr>
                <w:rFonts w:ascii="Times New Roman;Times;serif" w:hAnsi="Times New Roman;Times;serif"/>
                <w:b w:val="false"/>
                <w:i w:val="false"/>
                <w:caps w:val="false"/>
                <w:smallCaps w:val="false"/>
                <w:sz w:val="24"/>
              </w:rPr>
              <w:t>of</w:t>
            </w:r>
            <w:r>
              <w:rPr>
                <w:caps w:val="false"/>
                <w:smallCaps w:val="false"/>
                <w:spacing w:val="-15"/>
              </w:rPr>
              <w:t xml:space="preserve"> </w:t>
            </w:r>
            <w:r>
              <w:rPr>
                <w:rFonts w:ascii="Times New Roman;Times;serif" w:hAnsi="Times New Roman;Times;serif"/>
                <w:b w:val="false"/>
                <w:i w:val="false"/>
                <w:caps w:val="false"/>
                <w:smallCaps w:val="false"/>
                <w:sz w:val="24"/>
              </w:rPr>
              <w:t>the</w:t>
            </w:r>
            <w:r>
              <w:rPr>
                <w:caps w:val="false"/>
                <w:smallCaps w:val="false"/>
                <w:spacing w:val="-15"/>
              </w:rPr>
              <w:t xml:space="preserve"> </w:t>
            </w:r>
            <w:r>
              <w:rPr>
                <w:rFonts w:ascii="Times New Roman;Times;serif" w:hAnsi="Times New Roman;Times;serif"/>
                <w:b w:val="false"/>
                <w:i w:val="false"/>
                <w:caps w:val="false"/>
                <w:smallCaps w:val="false"/>
                <w:sz w:val="24"/>
              </w:rPr>
              <w:t>Board</w:t>
            </w:r>
            <w:r>
              <w:rPr>
                <w:caps w:val="false"/>
                <w:smallCaps w:val="false"/>
                <w:spacing w:val="-15"/>
              </w:rPr>
              <w:t xml:space="preserve"> </w:t>
            </w:r>
            <w:r>
              <w:rPr>
                <w:rFonts w:ascii="Times New Roman;Times;serif" w:hAnsi="Times New Roman;Times;serif"/>
                <w:b w:val="false"/>
                <w:i w:val="false"/>
                <w:caps w:val="false"/>
                <w:smallCaps w:val="false"/>
                <w:sz w:val="24"/>
              </w:rPr>
              <w:t>Service</w:t>
            </w:r>
            <w:r>
              <w:rPr>
                <w:caps w:val="false"/>
                <w:smallCaps w:val="false"/>
                <w:spacing w:val="-15"/>
              </w:rPr>
              <w:t xml:space="preserve"> </w:t>
            </w:r>
            <w:r>
              <w:rPr>
                <w:rFonts w:ascii="Times New Roman;Times;serif" w:hAnsi="Times New Roman;Times;serif"/>
                <w:b w:val="false"/>
                <w:i w:val="false"/>
                <w:caps w:val="false"/>
                <w:smallCaps w:val="false"/>
                <w:sz w:val="24"/>
              </w:rPr>
              <w:t>Retainer</w:t>
            </w:r>
            <w:r>
              <w:rPr>
                <w:caps w:val="false"/>
                <w:smallCaps w:val="false"/>
                <w:spacing w:val="-15"/>
              </w:rPr>
              <w:t xml:space="preserve"> </w:t>
            </w:r>
            <w:r>
              <w:rPr>
                <w:rFonts w:ascii="Times New Roman;Times;serif" w:hAnsi="Times New Roman;Times;serif"/>
                <w:b w:val="false"/>
                <w:i w:val="false"/>
                <w:caps w:val="false"/>
                <w:smallCaps w:val="false"/>
                <w:sz w:val="24"/>
              </w:rPr>
              <w:t>(in</w:t>
            </w:r>
            <w:r>
              <w:rPr>
                <w:caps w:val="false"/>
                <w:smallCaps w:val="false"/>
                <w:spacing w:val="-15"/>
              </w:rPr>
              <w:t xml:space="preserve"> </w:t>
            </w:r>
            <w:r>
              <w:rPr>
                <w:rFonts w:ascii="Times New Roman;Times;serif" w:hAnsi="Times New Roman;Times;serif"/>
                <w:b w:val="false"/>
                <w:i w:val="false"/>
                <w:caps w:val="false"/>
                <w:smallCaps w:val="false"/>
                <w:sz w:val="24"/>
              </w:rPr>
              <w:t>addition</w:t>
            </w:r>
            <w:r>
              <w:rPr>
                <w:caps w:val="false"/>
                <w:smallCaps w:val="false"/>
                <w:spacing w:val="-15"/>
              </w:rPr>
              <w:t xml:space="preserve"> </w:t>
            </w:r>
            <w:r>
              <w:rPr>
                <w:rFonts w:ascii="Times New Roman;Times;serif" w:hAnsi="Times New Roman;Times;serif"/>
                <w:b w:val="false"/>
                <w:i w:val="false"/>
                <w:caps w:val="false"/>
                <w:smallCaps w:val="false"/>
                <w:sz w:val="24"/>
              </w:rPr>
              <w:t>to</w:t>
            </w:r>
            <w:r>
              <w:rPr>
                <w:caps w:val="false"/>
                <w:smallCaps w:val="false"/>
                <w:spacing w:val="-15"/>
              </w:rPr>
              <w:t xml:space="preserve"> </w:t>
            </w:r>
            <w:r>
              <w:rPr>
                <w:rFonts w:ascii="Times New Roman;Times;serif" w:hAnsi="Times New Roman;Times;serif"/>
                <w:b w:val="false"/>
                <w:i w:val="false"/>
                <w:caps w:val="false"/>
                <w:smallCaps w:val="false"/>
                <w:sz w:val="24"/>
              </w:rPr>
              <w:t>Eligible</w:t>
            </w:r>
            <w:r>
              <w:rPr>
                <w:caps w:val="false"/>
                <w:smallCaps w:val="false"/>
                <w:spacing w:val="-15"/>
              </w:rPr>
              <w:t xml:space="preserve"> </w:t>
            </w:r>
            <w:r>
              <w:rPr>
                <w:rFonts w:ascii="Times New Roman;Times;serif" w:hAnsi="Times New Roman;Times;serif"/>
                <w:b w:val="false"/>
                <w:i w:val="false"/>
                <w:caps w:val="false"/>
                <w:smallCaps w:val="false"/>
                <w:sz w:val="24"/>
              </w:rPr>
              <w:t>Director Service Retainer): $35,000</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Non-Executive</w:t>
            </w:r>
            <w:r>
              <w:rPr>
                <w:caps w:val="false"/>
                <w:smallCaps w:val="false"/>
                <w:spacing w:val="80"/>
              </w:rPr>
              <w:t xml:space="preserve"> </w:t>
            </w:r>
            <w:r>
              <w:rPr>
                <w:rFonts w:ascii="Times New Roman;Times;serif" w:hAnsi="Times New Roman;Times;serif"/>
                <w:b w:val="false"/>
                <w:i w:val="false"/>
                <w:caps w:val="false"/>
                <w:smallCaps w:val="false"/>
                <w:sz w:val="24"/>
              </w:rPr>
              <w:t>Lead</w:t>
            </w:r>
            <w:r>
              <w:rPr>
                <w:caps w:val="false"/>
                <w:smallCaps w:val="false"/>
                <w:spacing w:val="80"/>
              </w:rPr>
              <w:t xml:space="preserve"> </w:t>
            </w:r>
            <w:r>
              <w:rPr>
                <w:rFonts w:ascii="Times New Roman;Times;serif" w:hAnsi="Times New Roman;Times;serif"/>
                <w:b w:val="false"/>
                <w:i w:val="false"/>
                <w:caps w:val="false"/>
                <w:smallCaps w:val="false"/>
                <w:sz w:val="24"/>
              </w:rPr>
              <w:t>Independent</w:t>
            </w:r>
            <w:r>
              <w:rPr>
                <w:caps w:val="false"/>
                <w:smallCaps w:val="false"/>
                <w:spacing w:val="80"/>
              </w:rPr>
              <w:t xml:space="preserve"> </w:t>
            </w:r>
            <w:r>
              <w:rPr>
                <w:rFonts w:ascii="Times New Roman;Times;serif" w:hAnsi="Times New Roman;Times;serif"/>
                <w:b w:val="false"/>
                <w:i w:val="false"/>
                <w:caps w:val="false"/>
                <w:smallCaps w:val="false"/>
                <w:sz w:val="24"/>
              </w:rPr>
              <w:t>Director</w:t>
            </w:r>
            <w:r>
              <w:rPr>
                <w:caps w:val="false"/>
                <w:smallCaps w:val="false"/>
                <w:spacing w:val="80"/>
              </w:rPr>
              <w:t xml:space="preserve"> </w:t>
            </w:r>
            <w:r>
              <w:rPr>
                <w:rFonts w:ascii="Times New Roman;Times;serif" w:hAnsi="Times New Roman;Times;serif"/>
                <w:b w:val="false"/>
                <w:i w:val="false"/>
                <w:caps w:val="false"/>
                <w:smallCaps w:val="false"/>
                <w:sz w:val="24"/>
              </w:rPr>
              <w:t>Retainer</w:t>
            </w:r>
            <w:r>
              <w:rPr>
                <w:caps w:val="false"/>
                <w:smallCaps w:val="false"/>
                <w:spacing w:val="80"/>
              </w:rPr>
              <w:t xml:space="preserve"> </w:t>
            </w:r>
            <w:r>
              <w:rPr>
                <w:rFonts w:ascii="Times New Roman;Times;serif" w:hAnsi="Times New Roman;Times;serif"/>
                <w:b w:val="false"/>
                <w:i w:val="false"/>
                <w:caps w:val="false"/>
                <w:smallCaps w:val="false"/>
                <w:sz w:val="24"/>
              </w:rPr>
              <w:t>(in</w:t>
            </w:r>
            <w:r>
              <w:rPr>
                <w:caps w:val="false"/>
                <w:smallCaps w:val="false"/>
                <w:spacing w:val="80"/>
              </w:rPr>
              <w:t xml:space="preserve"> </w:t>
            </w:r>
            <w:r>
              <w:rPr>
                <w:rFonts w:ascii="Times New Roman;Times;serif" w:hAnsi="Times New Roman;Times;serif"/>
                <w:b w:val="false"/>
                <w:i w:val="false"/>
                <w:caps w:val="false"/>
                <w:smallCaps w:val="false"/>
                <w:sz w:val="24"/>
              </w:rPr>
              <w:t>addition</w:t>
            </w:r>
            <w:r>
              <w:rPr>
                <w:caps w:val="false"/>
                <w:smallCaps w:val="false"/>
                <w:spacing w:val="80"/>
              </w:rPr>
              <w:t xml:space="preserve"> </w:t>
            </w:r>
            <w:r>
              <w:rPr>
                <w:rFonts w:ascii="Times New Roman;Times;serif" w:hAnsi="Times New Roman;Times;serif"/>
                <w:b w:val="false"/>
                <w:i w:val="false"/>
                <w:caps w:val="false"/>
                <w:smallCaps w:val="false"/>
                <w:sz w:val="24"/>
              </w:rPr>
              <w:t>to</w:t>
            </w:r>
            <w:r>
              <w:rPr>
                <w:caps w:val="false"/>
                <w:smallCaps w:val="false"/>
                <w:spacing w:val="80"/>
              </w:rPr>
              <w:t xml:space="preserve"> </w:t>
            </w:r>
            <w:r>
              <w:rPr>
                <w:rFonts w:ascii="Times New Roman;Times;serif" w:hAnsi="Times New Roman;Times;serif"/>
                <w:b w:val="false"/>
                <w:i w:val="false"/>
                <w:caps w:val="false"/>
                <w:smallCaps w:val="false"/>
                <w:sz w:val="24"/>
              </w:rPr>
              <w:t>Eligible Director Service Retainer): $30,000</w:t>
            </w:r>
          </w:p>
        </w:tc>
        <w:tc>
          <w:tcPr>
            <w:tcW w:w="23" w:type="dxa"/>
            <w:tcBorders/>
            <w:vAlign w:val="center"/>
          </w:tcPr>
          <w:p>
            <w:pPr>
              <w:pStyle w:val="TableContents"/>
              <w:bidi w:val="0"/>
              <w:spacing w:before="0" w:after="283"/>
              <w:jc w:val="left"/>
              <w:rPr>
                <w:sz w:val="4"/>
                <w:szCs w:val="4"/>
              </w:rPr>
            </w:pPr>
            <w:r>
              <w:rPr>
                <w:sz w:val="4"/>
                <w:szCs w:val="4"/>
              </w:rPr>
            </w:r>
          </w:p>
        </w:tc>
      </w:tr>
    </w:tbl>
    <w:tbl>
      <w:tblPr>
        <w:tblW w:w="4271" w:type="dxa"/>
        <w:jc w:val="left"/>
        <w:tblInd w:w="0" w:type="dxa"/>
        <w:tblLayout w:type="fixed"/>
        <w:tblCellMar>
          <w:top w:w="0" w:type="dxa"/>
          <w:left w:w="0" w:type="dxa"/>
          <w:bottom w:w="0" w:type="dxa"/>
          <w:right w:w="0" w:type="dxa"/>
        </w:tblCellMar>
      </w:tblPr>
      <w:tblGrid>
        <w:gridCol w:w="200"/>
        <w:gridCol w:w="4071"/>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40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Annual</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Committee</w:t>
            </w:r>
            <w:r>
              <w:rPr>
                <w:caps w:val="false"/>
                <w:smallCaps w:val="false"/>
                <w:spacing w:val="-3"/>
                <w:u w:val="single"/>
              </w:rPr>
              <w:t xml:space="preserve"> </w:t>
            </w:r>
            <w:r>
              <w:rPr>
                <w:rFonts w:ascii="Times New Roman;Times;serif" w:hAnsi="Times New Roman;Times;serif"/>
                <w:b w:val="false"/>
                <w:i w:val="false"/>
                <w:caps w:val="false"/>
                <w:smallCaps w:val="false"/>
                <w:sz w:val="24"/>
                <w:u w:val="single"/>
              </w:rPr>
              <w:t>Chair</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Service</w:t>
            </w:r>
            <w:r>
              <w:rPr>
                <w:caps w:val="false"/>
                <w:smallCaps w:val="false"/>
                <w:spacing w:val="-2"/>
                <w:u w:val="single"/>
              </w:rPr>
              <w:t xml:space="preserve"> </w:t>
            </w:r>
            <w:r>
              <w:rPr>
                <w:rFonts w:ascii="Times New Roman;Times;serif" w:hAnsi="Times New Roman;Times;serif"/>
                <w:b w:val="false"/>
                <w:i w:val="false"/>
                <w:caps w:val="false"/>
                <w:smallCaps w:val="false"/>
                <w:spacing w:val="-2"/>
                <w:sz w:val="24"/>
                <w:u w:val="single"/>
              </w:rPr>
              <w:t>Retainer</w:t>
            </w:r>
            <w:r>
              <w:rPr>
                <w:rFonts w:ascii="Times New Roman;Times;serif" w:hAnsi="Times New Roman;Times;serif"/>
                <w:b w:val="false"/>
                <w:i w:val="false"/>
                <w:caps w:val="false"/>
                <w:smallCaps w:val="false"/>
                <w:spacing w:val="-2"/>
                <w:sz w:val="24"/>
              </w:rPr>
              <w:t>:</w:t>
            </w:r>
          </w:p>
        </w:tc>
      </w:tr>
    </w:tbl>
    <w:tbl>
      <w:tblPr>
        <w:tblW w:w="3936" w:type="dxa"/>
        <w:jc w:val="left"/>
        <w:tblInd w:w="0" w:type="dxa"/>
        <w:tblLayout w:type="fixed"/>
        <w:tblCellMar>
          <w:top w:w="0" w:type="dxa"/>
          <w:left w:w="0" w:type="dxa"/>
          <w:bottom w:w="0" w:type="dxa"/>
          <w:right w:w="0" w:type="dxa"/>
        </w:tblCellMar>
      </w:tblPr>
      <w:tblGrid>
        <w:gridCol w:w="23"/>
        <w:gridCol w:w="185"/>
        <w:gridCol w:w="3728"/>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37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Chair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Audit</w:t>
            </w:r>
            <w:r>
              <w:rPr>
                <w:caps w:val="false"/>
                <w:smallCaps w:val="false"/>
                <w:spacing w:val="-1"/>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$20,000</w:t>
            </w:r>
          </w:p>
        </w:tc>
      </w:tr>
    </w:tbl>
    <w:tbl>
      <w:tblPr>
        <w:tblW w:w="4776" w:type="dxa"/>
        <w:jc w:val="left"/>
        <w:tblInd w:w="0" w:type="dxa"/>
        <w:tblLayout w:type="fixed"/>
        <w:tblCellMar>
          <w:top w:w="0" w:type="dxa"/>
          <w:left w:w="0" w:type="dxa"/>
          <w:bottom w:w="0" w:type="dxa"/>
          <w:right w:w="0" w:type="dxa"/>
        </w:tblCellMar>
      </w:tblPr>
      <w:tblGrid>
        <w:gridCol w:w="23"/>
        <w:gridCol w:w="200"/>
        <w:gridCol w:w="455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45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Chair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Compensation</w:t>
            </w:r>
            <w:r>
              <w:rPr>
                <w:caps w:val="false"/>
                <w:smallCaps w:val="false"/>
                <w:spacing w:val="-2"/>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$15,000</w:t>
            </w:r>
          </w:p>
        </w:tc>
      </w:tr>
    </w:tbl>
    <w:tbl>
      <w:tblPr>
        <w:tblW w:w="7146" w:type="dxa"/>
        <w:jc w:val="left"/>
        <w:tblInd w:w="0" w:type="dxa"/>
        <w:tblLayout w:type="fixed"/>
        <w:tblCellMar>
          <w:top w:w="0" w:type="dxa"/>
          <w:left w:w="0" w:type="dxa"/>
          <w:bottom w:w="0" w:type="dxa"/>
          <w:right w:w="0" w:type="dxa"/>
        </w:tblCellMar>
      </w:tblPr>
      <w:tblGrid>
        <w:gridCol w:w="23"/>
        <w:gridCol w:w="185"/>
        <w:gridCol w:w="6938"/>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6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Chair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Nominating</w:t>
            </w:r>
            <w:r>
              <w:rPr>
                <w:caps w:val="false"/>
                <w:smallCaps w:val="false"/>
                <w:spacing w:val="-3"/>
              </w:rPr>
              <w:t xml:space="preserve"> </w:t>
            </w:r>
            <w:r>
              <w:rPr>
                <w:rFonts w:ascii="Times New Roman;Times;serif" w:hAnsi="Times New Roman;Times;serif"/>
                <w:b w:val="false"/>
                <w:i w:val="false"/>
                <w:caps w:val="false"/>
                <w:smallCaps w:val="false"/>
                <w:sz w:val="24"/>
              </w:rPr>
              <w:t>and</w:t>
            </w:r>
            <w:r>
              <w:rPr>
                <w:caps w:val="false"/>
                <w:smallCaps w:val="false"/>
                <w:spacing w:val="-1"/>
              </w:rPr>
              <w:t xml:space="preserve"> </w:t>
            </w:r>
            <w:r>
              <w:rPr>
                <w:rFonts w:ascii="Times New Roman;Times;serif" w:hAnsi="Times New Roman;Times;serif"/>
                <w:b w:val="false"/>
                <w:i w:val="false"/>
                <w:caps w:val="false"/>
                <w:smallCaps w:val="false"/>
                <w:sz w:val="24"/>
              </w:rPr>
              <w:t>Corporate</w:t>
            </w:r>
            <w:r>
              <w:rPr>
                <w:caps w:val="false"/>
                <w:smallCaps w:val="false"/>
                <w:spacing w:val="-2"/>
              </w:rPr>
              <w:t xml:space="preserve"> </w:t>
            </w:r>
            <w:r>
              <w:rPr>
                <w:rFonts w:ascii="Times New Roman;Times;serif" w:hAnsi="Times New Roman;Times;serif"/>
                <w:b w:val="false"/>
                <w:i w:val="false"/>
                <w:caps w:val="false"/>
                <w:smallCaps w:val="false"/>
                <w:sz w:val="24"/>
              </w:rPr>
              <w:t>Governance</w:t>
            </w:r>
            <w:r>
              <w:rPr>
                <w:caps w:val="false"/>
                <w:smallCaps w:val="false"/>
                <w:spacing w:val="-1"/>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$10,000</w:t>
            </w:r>
          </w:p>
        </w:tc>
      </w:tr>
    </w:tbl>
    <w:tbl>
      <w:tblPr>
        <w:tblW w:w="4296" w:type="dxa"/>
        <w:jc w:val="left"/>
        <w:tblInd w:w="0" w:type="dxa"/>
        <w:tblLayout w:type="fixed"/>
        <w:tblCellMar>
          <w:top w:w="0" w:type="dxa"/>
          <w:left w:w="0" w:type="dxa"/>
          <w:bottom w:w="0" w:type="dxa"/>
          <w:right w:w="0" w:type="dxa"/>
        </w:tblCellMar>
      </w:tblPr>
      <w:tblGrid>
        <w:gridCol w:w="23"/>
        <w:gridCol w:w="200"/>
        <w:gridCol w:w="407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407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Chair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Scientific</w:t>
            </w:r>
            <w:r>
              <w:rPr>
                <w:caps w:val="false"/>
                <w:smallCaps w:val="false"/>
                <w:spacing w:val="-1"/>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$10,000</w:t>
            </w:r>
          </w:p>
        </w:tc>
      </w:tr>
    </w:tbl>
    <w:p>
      <w:pPr>
        <w:pStyle w:val="TextBody"/>
        <w:bidi w:val="0"/>
        <w:spacing w:before="0" w:after="0"/>
        <w:ind w:left="0" w:right="0" w:hanging="0"/>
        <w:jc w:val="left"/>
        <w:rPr/>
      </w:pPr>
      <w:r>
        <w:rPr/>
        <w:t>​</w:t>
      </w:r>
    </w:p>
    <w:tbl>
      <w:tblPr>
        <w:tblW w:w="8085" w:type="dxa"/>
        <w:jc w:val="left"/>
        <w:tblInd w:w="0" w:type="dxa"/>
        <w:tblLayout w:type="fixed"/>
        <w:tblCellMar>
          <w:top w:w="0" w:type="dxa"/>
          <w:left w:w="0" w:type="dxa"/>
          <w:bottom w:w="0" w:type="dxa"/>
          <w:right w:w="0" w:type="dxa"/>
        </w:tblCellMar>
      </w:tblPr>
      <w:tblGrid>
        <w:gridCol w:w="200"/>
        <w:gridCol w:w="788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78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Annual</w:t>
            </w:r>
            <w:r>
              <w:rPr>
                <w:caps w:val="false"/>
                <w:smallCaps w:val="false"/>
                <w:spacing w:val="-5"/>
                <w:u w:val="single"/>
              </w:rPr>
              <w:t xml:space="preserve"> </w:t>
            </w:r>
            <w:r>
              <w:rPr>
                <w:rFonts w:ascii="Times New Roman;Times;serif" w:hAnsi="Times New Roman;Times;serif"/>
                <w:b w:val="false"/>
                <w:i w:val="false"/>
                <w:caps w:val="false"/>
                <w:smallCaps w:val="false"/>
                <w:sz w:val="24"/>
                <w:u w:val="single"/>
              </w:rPr>
              <w:t>Committee</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Member</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Service</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Retainer</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(not</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applicable</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to</w:t>
            </w:r>
            <w:r>
              <w:rPr>
                <w:caps w:val="false"/>
                <w:smallCaps w:val="false"/>
                <w:spacing w:val="-2"/>
                <w:u w:val="single"/>
              </w:rPr>
              <w:t xml:space="preserve"> </w:t>
            </w:r>
            <w:r>
              <w:rPr>
                <w:rFonts w:ascii="Times New Roman;Times;serif" w:hAnsi="Times New Roman;Times;serif"/>
                <w:b w:val="false"/>
                <w:i w:val="false"/>
                <w:caps w:val="false"/>
                <w:smallCaps w:val="false"/>
                <w:sz w:val="24"/>
                <w:u w:val="single"/>
              </w:rPr>
              <w:t>Committee</w:t>
            </w:r>
            <w:r>
              <w:rPr>
                <w:caps w:val="false"/>
                <w:smallCaps w:val="false"/>
                <w:spacing w:val="-2"/>
                <w:u w:val="single"/>
              </w:rPr>
              <w:t xml:space="preserve"> </w:t>
            </w:r>
            <w:r>
              <w:rPr>
                <w:rFonts w:ascii="Times New Roman;Times;serif" w:hAnsi="Times New Roman;Times;serif"/>
                <w:b w:val="false"/>
                <w:i w:val="false"/>
                <w:caps w:val="false"/>
                <w:smallCaps w:val="false"/>
                <w:spacing w:val="-2"/>
                <w:sz w:val="24"/>
                <w:u w:val="single"/>
              </w:rPr>
              <w:t>Chairs)</w:t>
            </w:r>
            <w:r>
              <w:rPr>
                <w:rFonts w:ascii="Times New Roman;Times;serif" w:hAnsi="Times New Roman;Times;serif"/>
                <w:b w:val="false"/>
                <w:i w:val="false"/>
                <w:caps w:val="false"/>
                <w:smallCaps w:val="false"/>
                <w:spacing w:val="-2"/>
                <w:sz w:val="24"/>
              </w:rPr>
              <w:t>:</w:t>
            </w:r>
          </w:p>
        </w:tc>
      </w:tr>
    </w:tbl>
    <w:tbl>
      <w:tblPr>
        <w:tblW w:w="4206" w:type="dxa"/>
        <w:jc w:val="left"/>
        <w:tblInd w:w="0" w:type="dxa"/>
        <w:tblLayout w:type="fixed"/>
        <w:tblCellMar>
          <w:top w:w="0" w:type="dxa"/>
          <w:left w:w="0" w:type="dxa"/>
          <w:bottom w:w="0" w:type="dxa"/>
          <w:right w:w="0" w:type="dxa"/>
        </w:tblCellMar>
      </w:tblPr>
      <w:tblGrid>
        <w:gridCol w:w="23"/>
        <w:gridCol w:w="185"/>
        <w:gridCol w:w="3998"/>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39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Member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Audit</w:t>
            </w:r>
            <w:r>
              <w:rPr>
                <w:caps w:val="false"/>
                <w:smallCaps w:val="false"/>
                <w:spacing w:val="-1"/>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$10,000</w:t>
            </w:r>
          </w:p>
        </w:tc>
      </w:tr>
    </w:tbl>
    <w:tbl>
      <w:tblPr>
        <w:tblW w:w="4928" w:type="dxa"/>
        <w:jc w:val="left"/>
        <w:tblInd w:w="0" w:type="dxa"/>
        <w:tblLayout w:type="fixed"/>
        <w:tblCellMar>
          <w:top w:w="0" w:type="dxa"/>
          <w:left w:w="0" w:type="dxa"/>
          <w:bottom w:w="0" w:type="dxa"/>
          <w:right w:w="0" w:type="dxa"/>
        </w:tblCellMar>
      </w:tblPr>
      <w:tblGrid>
        <w:gridCol w:w="23"/>
        <w:gridCol w:w="200"/>
        <w:gridCol w:w="47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47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Member</w:t>
            </w:r>
            <w:r>
              <w:rPr>
                <w:caps w:val="false"/>
                <w:smallCaps w:val="false"/>
                <w:spacing w:val="-4"/>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Compensation</w:t>
            </w:r>
            <w:r>
              <w:rPr>
                <w:caps w:val="false"/>
                <w:smallCaps w:val="false"/>
                <w:spacing w:val="-2"/>
              </w:rPr>
              <w:t xml:space="preserve"> </w:t>
            </w:r>
            <w:r>
              <w:rPr>
                <w:rFonts w:ascii="Times New Roman;Times;serif" w:hAnsi="Times New Roman;Times;serif"/>
                <w:b w:val="false"/>
                <w:i w:val="false"/>
                <w:caps w:val="false"/>
                <w:smallCaps w:val="false"/>
                <w:sz w:val="24"/>
              </w:rPr>
              <w:t>Committee:</w:t>
            </w:r>
            <w:r>
              <w:rPr>
                <w:caps w:val="false"/>
                <w:smallCaps w:val="false"/>
                <w:spacing w:val="-2"/>
              </w:rPr>
              <w:t xml:space="preserve"> </w:t>
            </w:r>
            <w:r>
              <w:rPr>
                <w:rFonts w:ascii="Times New Roman;Times;serif" w:hAnsi="Times New Roman;Times;serif"/>
                <w:b w:val="false"/>
                <w:i w:val="false"/>
                <w:caps w:val="false"/>
                <w:smallCaps w:val="false"/>
                <w:spacing w:val="-2"/>
                <w:sz w:val="24"/>
              </w:rPr>
              <w:t>$7,500</w:t>
            </w:r>
          </w:p>
        </w:tc>
      </w:tr>
    </w:tbl>
    <w:tbl>
      <w:tblPr>
        <w:tblW w:w="7298" w:type="dxa"/>
        <w:jc w:val="left"/>
        <w:tblInd w:w="0" w:type="dxa"/>
        <w:tblLayout w:type="fixed"/>
        <w:tblCellMar>
          <w:top w:w="0" w:type="dxa"/>
          <w:left w:w="0" w:type="dxa"/>
          <w:bottom w:w="0" w:type="dxa"/>
          <w:right w:w="0" w:type="dxa"/>
        </w:tblCellMar>
      </w:tblPr>
      <w:tblGrid>
        <w:gridCol w:w="23"/>
        <w:gridCol w:w="185"/>
        <w:gridCol w:w="70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70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Member</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Nominating</w:t>
            </w:r>
            <w:r>
              <w:rPr>
                <w:caps w:val="false"/>
                <w:smallCaps w:val="false"/>
                <w:spacing w:val="-1"/>
              </w:rPr>
              <w:t xml:space="preserve"> </w:t>
            </w:r>
            <w:r>
              <w:rPr>
                <w:rFonts w:ascii="Times New Roman;Times;serif" w:hAnsi="Times New Roman;Times;serif"/>
                <w:b w:val="false"/>
                <w:i w:val="false"/>
                <w:caps w:val="false"/>
                <w:smallCaps w:val="false"/>
                <w:sz w:val="24"/>
              </w:rPr>
              <w:t>and</w:t>
            </w:r>
            <w:r>
              <w:rPr>
                <w:caps w:val="false"/>
                <w:smallCaps w:val="false"/>
                <w:spacing w:val="-2"/>
              </w:rPr>
              <w:t xml:space="preserve"> </w:t>
            </w:r>
            <w:r>
              <w:rPr>
                <w:rFonts w:ascii="Times New Roman;Times;serif" w:hAnsi="Times New Roman;Times;serif"/>
                <w:b w:val="false"/>
                <w:i w:val="false"/>
                <w:caps w:val="false"/>
                <w:smallCaps w:val="false"/>
                <w:sz w:val="24"/>
              </w:rPr>
              <w:t>Corporate</w:t>
            </w:r>
            <w:r>
              <w:rPr>
                <w:caps w:val="false"/>
                <w:smallCaps w:val="false"/>
                <w:spacing w:val="-2"/>
              </w:rPr>
              <w:t xml:space="preserve"> </w:t>
            </w:r>
            <w:r>
              <w:rPr>
                <w:rFonts w:ascii="Times New Roman;Times;serif" w:hAnsi="Times New Roman;Times;serif"/>
                <w:b w:val="false"/>
                <w:i w:val="false"/>
                <w:caps w:val="false"/>
                <w:smallCaps w:val="false"/>
                <w:sz w:val="24"/>
              </w:rPr>
              <w:t>Governance</w:t>
            </w:r>
            <w:r>
              <w:rPr>
                <w:caps w:val="false"/>
                <w:smallCaps w:val="false"/>
                <w:spacing w:val="-2"/>
              </w:rPr>
              <w:t xml:space="preserve"> </w:t>
            </w:r>
            <w:r>
              <w:rPr>
                <w:rFonts w:ascii="Times New Roman;Times;serif" w:hAnsi="Times New Roman;Times;serif"/>
                <w:b w:val="false"/>
                <w:i w:val="false"/>
                <w:caps w:val="false"/>
                <w:smallCaps w:val="false"/>
                <w:sz w:val="24"/>
              </w:rPr>
              <w:t>Committee:</w:t>
            </w:r>
            <w:r>
              <w:rPr>
                <w:caps w:val="false"/>
                <w:smallCaps w:val="false"/>
                <w:spacing w:val="-1"/>
              </w:rPr>
              <w:t xml:space="preserve"> </w:t>
            </w:r>
            <w:r>
              <w:rPr>
                <w:rFonts w:ascii="Times New Roman;Times;serif" w:hAnsi="Times New Roman;Times;serif"/>
                <w:b w:val="false"/>
                <w:i w:val="false"/>
                <w:caps w:val="false"/>
                <w:smallCaps w:val="false"/>
                <w:spacing w:val="-2"/>
                <w:sz w:val="24"/>
              </w:rPr>
              <w:t>$5,000</w:t>
            </w:r>
          </w:p>
        </w:tc>
      </w:tr>
    </w:tbl>
    <w:tbl>
      <w:tblPr>
        <w:tblW w:w="4448" w:type="dxa"/>
        <w:jc w:val="left"/>
        <w:tblInd w:w="0" w:type="dxa"/>
        <w:tblLayout w:type="fixed"/>
        <w:tblCellMar>
          <w:top w:w="0" w:type="dxa"/>
          <w:left w:w="0" w:type="dxa"/>
          <w:bottom w:w="0" w:type="dxa"/>
          <w:right w:w="0" w:type="dxa"/>
        </w:tblCellMar>
      </w:tblPr>
      <w:tblGrid>
        <w:gridCol w:w="23"/>
        <w:gridCol w:w="200"/>
        <w:gridCol w:w="42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42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Member</w:t>
            </w:r>
            <w:r>
              <w:rPr>
                <w:caps w:val="false"/>
                <w:smallCaps w:val="false"/>
                <w:spacing w:val="-4"/>
              </w:rPr>
              <w:t xml:space="preserve"> </w:t>
            </w:r>
            <w:r>
              <w:rPr>
                <w:rFonts w:ascii="Times New Roman;Times;serif" w:hAnsi="Times New Roman;Times;serif"/>
                <w:b w:val="false"/>
                <w:i w:val="false"/>
                <w:caps w:val="false"/>
                <w:smallCaps w:val="false"/>
                <w:sz w:val="24"/>
              </w:rPr>
              <w:t>of</w:t>
            </w:r>
            <w:r>
              <w:rPr>
                <w:caps w:val="false"/>
                <w:smallCaps w:val="false"/>
                <w:spacing w:val="-2"/>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Scientific</w:t>
            </w:r>
            <w:r>
              <w:rPr>
                <w:caps w:val="false"/>
                <w:smallCaps w:val="false"/>
                <w:spacing w:val="-3"/>
              </w:rPr>
              <w:t xml:space="preserve"> </w:t>
            </w:r>
            <w:r>
              <w:rPr>
                <w:rFonts w:ascii="Times New Roman;Times;serif" w:hAnsi="Times New Roman;Times;serif"/>
                <w:b w:val="false"/>
                <w:i w:val="false"/>
                <w:caps w:val="false"/>
                <w:smallCaps w:val="false"/>
                <w:sz w:val="24"/>
              </w:rPr>
              <w:t>Committee:</w:t>
            </w:r>
            <w:r>
              <w:rPr>
                <w:caps w:val="false"/>
                <w:smallCaps w:val="false"/>
                <w:spacing w:val="-2"/>
              </w:rPr>
              <w:t xml:space="preserve"> </w:t>
            </w:r>
            <w:r>
              <w:rPr>
                <w:rFonts w:ascii="Times New Roman;Times;serif" w:hAnsi="Times New Roman;Times;serif"/>
                <w:b w:val="false"/>
                <w:i w:val="false"/>
                <w:caps w:val="false"/>
                <w:smallCaps w:val="false"/>
                <w:spacing w:val="-2"/>
                <w:sz w:val="24"/>
              </w:rPr>
              <w:t>$5,000</w:t>
            </w:r>
          </w:p>
        </w:tc>
      </w:tr>
    </w:tbl>
    <w:p>
      <w:pPr>
        <w:pStyle w:val="TextBody"/>
        <w:bidi w:val="0"/>
        <w:spacing w:before="276" w:after="0"/>
        <w:ind w:left="0" w:right="0" w:hanging="0"/>
        <w:jc w:val="left"/>
        <w:rPr>
          <w:rFonts w:ascii="Times New Roman;Times;serif" w:hAnsi="Times New Roman;Times;serif"/>
          <w:b/>
          <w:spacing w:val="-2"/>
          <w:sz w:val="24"/>
        </w:rPr>
      </w:pPr>
      <w:r>
        <w:rPr>
          <w:rFonts w:ascii="Times New Roman;Times;serif" w:hAnsi="Times New Roman;Times;serif"/>
          <w:b/>
          <w:spacing w:val="-2"/>
          <w:sz w:val="24"/>
        </w:rPr>
        <w:t>Expenses</w:t>
      </w:r>
    </w:p>
    <w:p>
      <w:pPr>
        <w:pStyle w:val="TextBody"/>
        <w:bidi w:val="0"/>
        <w:spacing w:before="276" w:after="0"/>
        <w:ind w:left="0" w:right="0" w:hanging="0"/>
        <w:jc w:val="left"/>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22"/>
          <w:sz w:val="24"/>
        </w:rPr>
        <w:t xml:space="preserve"> </w:t>
      </w:r>
      <w:r>
        <w:rPr>
          <w:rFonts w:ascii="Times New Roman;Times;serif" w:hAnsi="Times New Roman;Times;serif"/>
          <w:sz w:val="24"/>
        </w:rPr>
        <w:t>Company</w:t>
      </w:r>
      <w:r>
        <w:rPr>
          <w:rFonts w:ascii="Times New Roman;Times;serif" w:hAnsi="Times New Roman;Times;serif"/>
          <w:spacing w:val="22"/>
          <w:sz w:val="24"/>
        </w:rPr>
        <w:t xml:space="preserve"> </w:t>
      </w:r>
      <w:r>
        <w:rPr>
          <w:rFonts w:ascii="Times New Roman;Times;serif" w:hAnsi="Times New Roman;Times;serif"/>
          <w:sz w:val="24"/>
        </w:rPr>
        <w:t>will</w:t>
      </w:r>
      <w:r>
        <w:rPr>
          <w:rFonts w:ascii="Times New Roman;Times;serif" w:hAnsi="Times New Roman;Times;serif"/>
          <w:spacing w:val="22"/>
          <w:sz w:val="24"/>
        </w:rPr>
        <w:t xml:space="preserve"> </w:t>
      </w:r>
      <w:r>
        <w:rPr>
          <w:rFonts w:ascii="Times New Roman;Times;serif" w:hAnsi="Times New Roman;Times;serif"/>
          <w:sz w:val="24"/>
        </w:rPr>
        <w:t>reimburse</w:t>
      </w:r>
      <w:r>
        <w:rPr>
          <w:rFonts w:ascii="Times New Roman;Times;serif" w:hAnsi="Times New Roman;Times;serif"/>
          <w:spacing w:val="22"/>
          <w:sz w:val="24"/>
        </w:rPr>
        <w:t xml:space="preserve"> </w:t>
      </w:r>
      <w:r>
        <w:rPr>
          <w:rFonts w:ascii="Times New Roman;Times;serif" w:hAnsi="Times New Roman;Times;serif"/>
          <w:sz w:val="24"/>
        </w:rPr>
        <w:t>Eligible</w:t>
      </w:r>
      <w:r>
        <w:rPr>
          <w:rFonts w:ascii="Times New Roman;Times;serif" w:hAnsi="Times New Roman;Times;serif"/>
          <w:spacing w:val="22"/>
          <w:sz w:val="24"/>
        </w:rPr>
        <w:t xml:space="preserve"> </w:t>
      </w:r>
      <w:r>
        <w:rPr>
          <w:rFonts w:ascii="Times New Roman;Times;serif" w:hAnsi="Times New Roman;Times;serif"/>
          <w:sz w:val="24"/>
        </w:rPr>
        <w:t>Directors</w:t>
      </w:r>
      <w:r>
        <w:rPr>
          <w:rFonts w:ascii="Times New Roman;Times;serif" w:hAnsi="Times New Roman;Times;serif"/>
          <w:spacing w:val="21"/>
          <w:sz w:val="24"/>
        </w:rPr>
        <w:t xml:space="preserve"> </w:t>
      </w:r>
      <w:r>
        <w:rPr>
          <w:rFonts w:ascii="Times New Roman;Times;serif" w:hAnsi="Times New Roman;Times;serif"/>
          <w:sz w:val="24"/>
        </w:rPr>
        <w:t>for</w:t>
      </w:r>
      <w:r>
        <w:rPr>
          <w:rFonts w:ascii="Times New Roman;Times;serif" w:hAnsi="Times New Roman;Times;serif"/>
          <w:spacing w:val="22"/>
          <w:sz w:val="24"/>
        </w:rPr>
        <w:t xml:space="preserve"> </w:t>
      </w:r>
      <w:r>
        <w:rPr>
          <w:rFonts w:ascii="Times New Roman;Times;serif" w:hAnsi="Times New Roman;Times;serif"/>
          <w:sz w:val="24"/>
        </w:rPr>
        <w:t>ordinary,</w:t>
      </w:r>
      <w:r>
        <w:rPr>
          <w:rFonts w:ascii="Times New Roman;Times;serif" w:hAnsi="Times New Roman;Times;serif"/>
          <w:spacing w:val="22"/>
          <w:sz w:val="24"/>
        </w:rPr>
        <w:t xml:space="preserve"> </w:t>
      </w:r>
      <w:r>
        <w:rPr>
          <w:rFonts w:ascii="Times New Roman;Times;serif" w:hAnsi="Times New Roman;Times;serif"/>
          <w:sz w:val="24"/>
        </w:rPr>
        <w:t>necessary</w:t>
      </w:r>
      <w:r>
        <w:rPr>
          <w:rFonts w:ascii="Times New Roman;Times;serif" w:hAnsi="Times New Roman;Times;serif"/>
          <w:spacing w:val="21"/>
          <w:sz w:val="24"/>
        </w:rPr>
        <w:t xml:space="preserve"> </w:t>
      </w:r>
      <w:r>
        <w:rPr>
          <w:rFonts w:ascii="Times New Roman;Times;serif" w:hAnsi="Times New Roman;Times;serif"/>
          <w:sz w:val="24"/>
        </w:rPr>
        <w:t>and</w:t>
      </w:r>
      <w:r>
        <w:rPr>
          <w:rFonts w:ascii="Times New Roman;Times;serif" w:hAnsi="Times New Roman;Times;serif"/>
          <w:spacing w:val="22"/>
          <w:sz w:val="24"/>
        </w:rPr>
        <w:t xml:space="preserve"> </w:t>
      </w:r>
      <w:r>
        <w:rPr>
          <w:rFonts w:ascii="Times New Roman;Times;serif" w:hAnsi="Times New Roman;Times;serif"/>
          <w:sz w:val="24"/>
        </w:rPr>
        <w:t>reasonable</w:t>
      </w:r>
      <w:r>
        <w:rPr>
          <w:rFonts w:ascii="Times New Roman;Times;serif" w:hAnsi="Times New Roman;Times;serif"/>
          <w:spacing w:val="22"/>
          <w:sz w:val="24"/>
        </w:rPr>
        <w:t xml:space="preserve"> </w:t>
      </w:r>
      <w:r>
        <w:rPr>
          <w:rFonts w:ascii="Times New Roman;Times;serif" w:hAnsi="Times New Roman;Times;serif"/>
          <w:sz w:val="24"/>
        </w:rPr>
        <w:t>out-of-pocket</w:t>
      </w:r>
      <w:r>
        <w:rPr>
          <w:rFonts w:ascii="Times New Roman;Times;serif" w:hAnsi="Times New Roman;Times;serif"/>
          <w:spacing w:val="-4"/>
          <w:sz w:val="24"/>
        </w:rPr>
        <w:t xml:space="preserve"> </w:t>
      </w:r>
      <w:r>
        <w:rPr>
          <w:rFonts w:ascii="Times New Roman;Times;serif" w:hAnsi="Times New Roman;Times;serif"/>
          <w:sz w:val="24"/>
        </w:rPr>
        <w:t>travel expenses</w:t>
      </w:r>
      <w:r>
        <w:rPr>
          <w:rFonts w:ascii="Times New Roman;Times;serif" w:hAnsi="Times New Roman;Times;serif"/>
          <w:spacing w:val="-2"/>
          <w:sz w:val="24"/>
        </w:rPr>
        <w:t xml:space="preserve"> </w:t>
      </w:r>
      <w:r>
        <w:rPr>
          <w:rFonts w:ascii="Times New Roman;Times;serif" w:hAnsi="Times New Roman;Times;serif"/>
          <w:sz w:val="24"/>
        </w:rPr>
        <w:t>to cover</w:t>
      </w:r>
      <w:r>
        <w:rPr>
          <w:rFonts w:ascii="Times New Roman;Times;serif" w:hAnsi="Times New Roman;Times;serif"/>
          <w:spacing w:val="-2"/>
          <w:sz w:val="24"/>
        </w:rPr>
        <w:t xml:space="preserve"> </w:t>
      </w:r>
      <w:r>
        <w:rPr>
          <w:rFonts w:ascii="Times New Roman;Times;serif" w:hAnsi="Times New Roman;Times;serif"/>
          <w:sz w:val="24"/>
        </w:rPr>
        <w:t>in-person attendance</w:t>
      </w:r>
      <w:r>
        <w:rPr>
          <w:rFonts w:ascii="Times New Roman;Times;serif" w:hAnsi="Times New Roman;Times;serif"/>
          <w:spacing w:val="-1"/>
          <w:sz w:val="24"/>
        </w:rPr>
        <w:t xml:space="preserve"> </w:t>
      </w:r>
      <w:r>
        <w:rPr>
          <w:rFonts w:ascii="Times New Roman;Times;serif" w:hAnsi="Times New Roman;Times;serif"/>
          <w:sz w:val="24"/>
        </w:rPr>
        <w:t>at and</w:t>
      </w:r>
      <w:r>
        <w:rPr>
          <w:rFonts w:ascii="Times New Roman;Times;serif" w:hAnsi="Times New Roman;Times;serif"/>
          <w:spacing w:val="-4"/>
          <w:sz w:val="24"/>
        </w:rPr>
        <w:t xml:space="preserve"> </w:t>
      </w:r>
      <w:r>
        <w:rPr>
          <w:rFonts w:ascii="Times New Roman;Times;serif" w:hAnsi="Times New Roman;Times;serif"/>
          <w:sz w:val="24"/>
        </w:rPr>
        <w:t>participation</w:t>
      </w:r>
      <w:r>
        <w:rPr>
          <w:rFonts w:ascii="Times New Roman;Times;serif" w:hAnsi="Times New Roman;Times;serif"/>
          <w:spacing w:val="-2"/>
          <w:sz w:val="24"/>
        </w:rPr>
        <w:t xml:space="preserve"> </w:t>
      </w:r>
      <w:r>
        <w:rPr>
          <w:rFonts w:ascii="Times New Roman;Times;serif" w:hAnsi="Times New Roman;Times;serif"/>
          <w:sz w:val="24"/>
        </w:rPr>
        <w:t>in</w:t>
      </w:r>
      <w:r>
        <w:rPr>
          <w:rFonts w:ascii="Times New Roman;Times;serif" w:hAnsi="Times New Roman;Times;serif"/>
          <w:spacing w:val="-1"/>
          <w:sz w:val="24"/>
        </w:rPr>
        <w:t xml:space="preserve"> </w:t>
      </w:r>
      <w:r>
        <w:rPr>
          <w:rFonts w:ascii="Times New Roman;Times;serif" w:hAnsi="Times New Roman;Times;serif"/>
          <w:sz w:val="24"/>
        </w:rPr>
        <w:t>Board</w:t>
      </w:r>
      <w:r>
        <w:rPr>
          <w:rFonts w:ascii="Times New Roman;Times;serif" w:hAnsi="Times New Roman;Times;serif"/>
          <w:spacing w:val="-1"/>
          <w:sz w:val="24"/>
        </w:rPr>
        <w:t xml:space="preserve"> </w:t>
      </w:r>
      <w:r>
        <w:rPr>
          <w:rFonts w:ascii="Times New Roman;Times;serif" w:hAnsi="Times New Roman;Times;serif"/>
          <w:sz w:val="24"/>
        </w:rPr>
        <w:t xml:space="preserve">and </w:t>
      </w:r>
      <w:r>
        <w:rPr>
          <w:rFonts w:ascii="Times New Roman;Times;serif" w:hAnsi="Times New Roman;Times;serif"/>
          <w:spacing w:val="-2"/>
          <w:sz w:val="24"/>
        </w:rPr>
        <w:t>committee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357" w:hanging="0"/>
        <w:jc w:val="both"/>
        <w:rPr>
          <w:rFonts w:ascii="Times New Roman;Times;serif" w:hAnsi="Times New Roman;Times;serif"/>
          <w:sz w:val="24"/>
        </w:rPr>
      </w:pPr>
      <w:r>
        <w:rPr>
          <w:rFonts w:ascii="Times New Roman;Times;serif" w:hAnsi="Times New Roman;Times;serif"/>
          <w:sz w:val="24"/>
        </w:rPr>
        <w:t>meetings; provided, that the Eligible Director timely submit to the Company appropriate documentation</w:t>
      </w:r>
      <w:r>
        <w:rPr>
          <w:rFonts w:ascii="Times New Roman;Times;serif" w:hAnsi="Times New Roman;Times;serif"/>
          <w:spacing w:val="-15"/>
          <w:sz w:val="24"/>
        </w:rPr>
        <w:t xml:space="preserve"> </w:t>
      </w:r>
      <w:r>
        <w:rPr>
          <w:rFonts w:ascii="Times New Roman;Times;serif" w:hAnsi="Times New Roman;Times;serif"/>
          <w:sz w:val="24"/>
        </w:rPr>
        <w:t>substantiating</w:t>
      </w:r>
      <w:r>
        <w:rPr>
          <w:rFonts w:ascii="Times New Roman;Times;serif" w:hAnsi="Times New Roman;Times;serif"/>
          <w:spacing w:val="-15"/>
          <w:sz w:val="24"/>
        </w:rPr>
        <w:t xml:space="preserve"> </w:t>
      </w:r>
      <w:r>
        <w:rPr>
          <w:rFonts w:ascii="Times New Roman;Times;serif" w:hAnsi="Times New Roman;Times;serif"/>
          <w:sz w:val="24"/>
        </w:rPr>
        <w:t>such</w:t>
      </w:r>
      <w:r>
        <w:rPr>
          <w:rFonts w:ascii="Times New Roman;Times;serif" w:hAnsi="Times New Roman;Times;serif"/>
          <w:spacing w:val="-15"/>
          <w:sz w:val="24"/>
        </w:rPr>
        <w:t xml:space="preserve"> </w:t>
      </w:r>
      <w:r>
        <w:rPr>
          <w:rFonts w:ascii="Times New Roman;Times;serif" w:hAnsi="Times New Roman;Times;serif"/>
          <w:sz w:val="24"/>
        </w:rPr>
        <w:t>expenses</w:t>
      </w:r>
      <w:r>
        <w:rPr>
          <w:rFonts w:ascii="Times New Roman;Times;serif" w:hAnsi="Times New Roman;Times;serif"/>
          <w:spacing w:val="-15"/>
          <w:sz w:val="24"/>
        </w:rPr>
        <w:t xml:space="preserve"> </w:t>
      </w:r>
      <w:r>
        <w:rPr>
          <w:rFonts w:ascii="Times New Roman;Times;serif" w:hAnsi="Times New Roman;Times;serif"/>
          <w:sz w:val="24"/>
        </w:rPr>
        <w:t>in</w:t>
      </w:r>
      <w:r>
        <w:rPr>
          <w:rFonts w:ascii="Times New Roman;Times;serif" w:hAnsi="Times New Roman;Times;serif"/>
          <w:spacing w:val="-14"/>
          <w:sz w:val="24"/>
        </w:rPr>
        <w:t xml:space="preserve"> </w:t>
      </w:r>
      <w:r>
        <w:rPr>
          <w:rFonts w:ascii="Times New Roman;Times;serif" w:hAnsi="Times New Roman;Times;serif"/>
          <w:sz w:val="24"/>
        </w:rPr>
        <w:t>accordance</w:t>
      </w:r>
      <w:r>
        <w:rPr>
          <w:rFonts w:ascii="Times New Roman;Times;serif" w:hAnsi="Times New Roman;Times;serif"/>
          <w:spacing w:val="-15"/>
          <w:sz w:val="24"/>
        </w:rPr>
        <w:t xml:space="preserve"> </w:t>
      </w:r>
      <w:r>
        <w:rPr>
          <w:rFonts w:ascii="Times New Roman;Times;serif" w:hAnsi="Times New Roman;Times;serif"/>
          <w:sz w:val="24"/>
        </w:rPr>
        <w:t>with</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4"/>
          <w:sz w:val="24"/>
        </w:rPr>
        <w:t xml:space="preserve"> </w:t>
      </w:r>
      <w:r>
        <w:rPr>
          <w:rFonts w:ascii="Times New Roman;Times;serif" w:hAnsi="Times New Roman;Times;serif"/>
          <w:sz w:val="24"/>
        </w:rPr>
        <w:t>Company’s</w:t>
      </w:r>
      <w:r>
        <w:rPr>
          <w:rFonts w:ascii="Times New Roman;Times;serif" w:hAnsi="Times New Roman;Times;serif"/>
          <w:spacing w:val="-15"/>
          <w:sz w:val="24"/>
        </w:rPr>
        <w:t xml:space="preserve"> </w:t>
      </w:r>
      <w:r>
        <w:rPr>
          <w:rFonts w:ascii="Times New Roman;Times;serif" w:hAnsi="Times New Roman;Times;serif"/>
          <w:sz w:val="24"/>
        </w:rPr>
        <w:t>travel</w:t>
      </w:r>
      <w:r>
        <w:rPr>
          <w:rFonts w:ascii="Times New Roman;Times;serif" w:hAnsi="Times New Roman;Times;serif"/>
          <w:spacing w:val="-15"/>
          <w:sz w:val="24"/>
        </w:rPr>
        <w:t xml:space="preserve"> </w:t>
      </w:r>
      <w:r>
        <w:rPr>
          <w:rFonts w:ascii="Times New Roman;Times;serif" w:hAnsi="Times New Roman;Times;serif"/>
          <w:sz w:val="24"/>
        </w:rPr>
        <w:t>and</w:t>
      </w:r>
      <w:r>
        <w:rPr>
          <w:rFonts w:ascii="Times New Roman;Times;serif" w:hAnsi="Times New Roman;Times;serif"/>
          <w:spacing w:val="-15"/>
          <w:sz w:val="24"/>
        </w:rPr>
        <w:t xml:space="preserve"> </w:t>
      </w:r>
      <w:r>
        <w:rPr>
          <w:rFonts w:ascii="Times New Roman;Times;serif" w:hAnsi="Times New Roman;Times;serif"/>
          <w:sz w:val="24"/>
        </w:rPr>
        <w:t>expense policy, as in effect from time to time.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Equity</w:t>
      </w:r>
      <w:r>
        <w:rPr>
          <w:rFonts w:ascii="Times New Roman;Times;serif" w:hAnsi="Times New Roman;Times;serif"/>
          <w:b/>
          <w:spacing w:val="-3"/>
          <w:sz w:val="24"/>
        </w:rPr>
        <w:t xml:space="preserve"> </w:t>
      </w:r>
      <w:r>
        <w:rPr>
          <w:rFonts w:ascii="Times New Roman;Times;serif" w:hAnsi="Times New Roman;Times;serif"/>
          <w:b/>
          <w:spacing w:val="-2"/>
          <w:sz w:val="24"/>
        </w:rPr>
        <w:t>Compensation</w:t>
      </w:r>
    </w:p>
    <w:p>
      <w:pPr>
        <w:pStyle w:val="TextBody"/>
        <w:bidi w:val="0"/>
        <w:spacing w:before="0" w:after="0"/>
        <w:ind w:left="0" w:right="0" w:hanging="0"/>
        <w:jc w:val="left"/>
        <w:rPr/>
      </w:pPr>
      <w:r>
        <w:rPr/>
        <w:t>​</w:t>
      </w:r>
    </w:p>
    <w:p>
      <w:pPr>
        <w:pStyle w:val="TextBody"/>
        <w:bidi w:val="0"/>
        <w:spacing w:before="0" w:after="0"/>
        <w:ind w:left="0" w:right="356" w:hanging="0"/>
        <w:jc w:val="both"/>
        <w:rPr>
          <w:rFonts w:ascii="Times New Roman;Times;serif" w:hAnsi="Times New Roman;Times;serif"/>
          <w:sz w:val="24"/>
        </w:rPr>
      </w:pPr>
      <w:r>
        <w:rPr>
          <w:rFonts w:ascii="Times New Roman;Times;serif" w:hAnsi="Times New Roman;Times;serif"/>
          <w:sz w:val="24"/>
        </w:rPr>
        <w:t>The equity compensation set forth below will be granted under the Company’s 2024 Equity Incentive Plan (the “</w:t>
      </w:r>
      <w:r>
        <w:rPr>
          <w:rFonts w:ascii="Times New Roman;Times;serif" w:hAnsi="Times New Roman;Times;serif"/>
          <w:b/>
          <w:i/>
          <w:sz w:val="24"/>
        </w:rPr>
        <w:t>Plan</w:t>
      </w:r>
      <w:r>
        <w:rPr>
          <w:rFonts w:ascii="Times New Roman;Times;serif" w:hAnsi="Times New Roman;Times;serif"/>
          <w:sz w:val="24"/>
        </w:rPr>
        <w:t>”), subject to the approval of the Plan by the Company’s stockholders. All stock options granted under this policy will be nonstatutory stock options, with an exercise price per share equal to 100% of the Fair Market Value (as defined in the Plan) of a share of the Company’s common stock (the “</w:t>
      </w:r>
      <w:r>
        <w:rPr>
          <w:rFonts w:ascii="Times New Roman;Times;serif" w:hAnsi="Times New Roman;Times;serif"/>
          <w:b/>
          <w:i/>
          <w:sz w:val="24"/>
        </w:rPr>
        <w:t>Common Stock</w:t>
      </w:r>
      <w:r>
        <w:rPr>
          <w:rFonts w:ascii="Times New Roman;Times;serif" w:hAnsi="Times New Roman;Times;serif"/>
          <w:sz w:val="24"/>
        </w:rPr>
        <w:t>”) on the date of grant, and a term of ten years from</w:t>
      </w:r>
      <w:r>
        <w:rPr>
          <w:rFonts w:ascii="Times New Roman;Times;serif" w:hAnsi="Times New Roman;Times;serif"/>
          <w:spacing w:val="-8"/>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date</w:t>
      </w:r>
      <w:r>
        <w:rPr>
          <w:rFonts w:ascii="Times New Roman;Times;serif" w:hAnsi="Times New Roman;Times;serif"/>
          <w:spacing w:val="-7"/>
          <w:sz w:val="24"/>
        </w:rPr>
        <w:t xml:space="preserve"> </w:t>
      </w:r>
      <w:r>
        <w:rPr>
          <w:rFonts w:ascii="Times New Roman;Times;serif" w:hAnsi="Times New Roman;Times;serif"/>
          <w:sz w:val="24"/>
        </w:rPr>
        <w:t>of</w:t>
      </w:r>
      <w:r>
        <w:rPr>
          <w:rFonts w:ascii="Times New Roman;Times;serif" w:hAnsi="Times New Roman;Times;serif"/>
          <w:spacing w:val="-7"/>
          <w:sz w:val="24"/>
        </w:rPr>
        <w:t xml:space="preserve"> </w:t>
      </w:r>
      <w:r>
        <w:rPr>
          <w:rFonts w:ascii="Times New Roman;Times;serif" w:hAnsi="Times New Roman;Times;serif"/>
          <w:sz w:val="24"/>
        </w:rPr>
        <w:t>grant</w:t>
      </w:r>
      <w:r>
        <w:rPr>
          <w:rFonts w:ascii="Times New Roman;Times;serif" w:hAnsi="Times New Roman;Times;serif"/>
          <w:spacing w:val="-7"/>
          <w:sz w:val="24"/>
        </w:rPr>
        <w:t xml:space="preserve"> </w:t>
      </w:r>
      <w:r>
        <w:rPr>
          <w:rFonts w:ascii="Times New Roman;Times;serif" w:hAnsi="Times New Roman;Times;serif"/>
          <w:sz w:val="24"/>
        </w:rPr>
        <w:t>(subject</w:t>
      </w:r>
      <w:r>
        <w:rPr>
          <w:rFonts w:ascii="Times New Roman;Times;serif" w:hAnsi="Times New Roman;Times;serif"/>
          <w:spacing w:val="-8"/>
          <w:sz w:val="24"/>
        </w:rPr>
        <w:t xml:space="preserve"> </w:t>
      </w:r>
      <w:r>
        <w:rPr>
          <w:rFonts w:ascii="Times New Roman;Times;serif" w:hAnsi="Times New Roman;Times;serif"/>
          <w:sz w:val="24"/>
        </w:rPr>
        <w:t>to</w:t>
      </w:r>
      <w:r>
        <w:rPr>
          <w:rFonts w:ascii="Times New Roman;Times;serif" w:hAnsi="Times New Roman;Times;serif"/>
          <w:spacing w:val="-7"/>
          <w:sz w:val="24"/>
        </w:rPr>
        <w:t xml:space="preserve"> </w:t>
      </w:r>
      <w:r>
        <w:rPr>
          <w:rFonts w:ascii="Times New Roman;Times;serif" w:hAnsi="Times New Roman;Times;serif"/>
          <w:sz w:val="24"/>
        </w:rPr>
        <w:t>earlier</w:t>
      </w:r>
      <w:r>
        <w:rPr>
          <w:rFonts w:ascii="Times New Roman;Times;serif" w:hAnsi="Times New Roman;Times;serif"/>
          <w:spacing w:val="-7"/>
          <w:sz w:val="24"/>
        </w:rPr>
        <w:t xml:space="preserve"> </w:t>
      </w:r>
      <w:r>
        <w:rPr>
          <w:rFonts w:ascii="Times New Roman;Times;serif" w:hAnsi="Times New Roman;Times;serif"/>
          <w:sz w:val="24"/>
        </w:rPr>
        <w:t>termination</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connection</w:t>
      </w:r>
      <w:r>
        <w:rPr>
          <w:rFonts w:ascii="Times New Roman;Times;serif" w:hAnsi="Times New Roman;Times;serif"/>
          <w:spacing w:val="-7"/>
          <w:sz w:val="24"/>
        </w:rPr>
        <w:t xml:space="preserve"> </w:t>
      </w:r>
      <w:r>
        <w:rPr>
          <w:rFonts w:ascii="Times New Roman;Times;serif" w:hAnsi="Times New Roman;Times;serif"/>
          <w:sz w:val="24"/>
        </w:rPr>
        <w:t>with</w:t>
      </w:r>
      <w:r>
        <w:rPr>
          <w:rFonts w:ascii="Times New Roman;Times;serif" w:hAnsi="Times New Roman;Times;serif"/>
          <w:spacing w:val="-7"/>
          <w:sz w:val="24"/>
        </w:rPr>
        <w:t xml:space="preserve"> </w:t>
      </w:r>
      <w:r>
        <w:rPr>
          <w:rFonts w:ascii="Times New Roman;Times;serif" w:hAnsi="Times New Roman;Times;serif"/>
          <w:sz w:val="24"/>
        </w:rPr>
        <w:t>a</w:t>
      </w:r>
      <w:r>
        <w:rPr>
          <w:rFonts w:ascii="Times New Roman;Times;serif" w:hAnsi="Times New Roman;Times;serif"/>
          <w:spacing w:val="-8"/>
          <w:sz w:val="24"/>
        </w:rPr>
        <w:t xml:space="preserve"> </w:t>
      </w:r>
      <w:r>
        <w:rPr>
          <w:rFonts w:ascii="Times New Roman;Times;serif" w:hAnsi="Times New Roman;Times;serif"/>
          <w:sz w:val="24"/>
        </w:rPr>
        <w:t>termination</w:t>
      </w:r>
      <w:r>
        <w:rPr>
          <w:rFonts w:ascii="Times New Roman;Times;serif" w:hAnsi="Times New Roman;Times;serif"/>
          <w:spacing w:val="-8"/>
          <w:sz w:val="24"/>
        </w:rPr>
        <w:t xml:space="preserve"> </w:t>
      </w:r>
      <w:r>
        <w:rPr>
          <w:rFonts w:ascii="Times New Roman;Times;serif" w:hAnsi="Times New Roman;Times;serif"/>
          <w:sz w:val="24"/>
        </w:rPr>
        <w:t>of</w:t>
      </w:r>
      <w:r>
        <w:rPr>
          <w:rFonts w:ascii="Times New Roman;Times;serif" w:hAnsi="Times New Roman;Times;serif"/>
          <w:spacing w:val="-7"/>
          <w:sz w:val="24"/>
        </w:rPr>
        <w:t xml:space="preserve"> </w:t>
      </w:r>
      <w:r>
        <w:rPr>
          <w:rFonts w:ascii="Times New Roman;Times;serif" w:hAnsi="Times New Roman;Times;serif"/>
          <w:sz w:val="24"/>
        </w:rPr>
        <w:t>service</w:t>
      </w:r>
      <w:r>
        <w:rPr>
          <w:rFonts w:ascii="Times New Roman;Times;serif" w:hAnsi="Times New Roman;Times;serif"/>
          <w:spacing w:val="-7"/>
          <w:sz w:val="24"/>
        </w:rPr>
        <w:t xml:space="preserve"> </w:t>
      </w:r>
      <w:r>
        <w:rPr>
          <w:rFonts w:ascii="Times New Roman;Times;serif" w:hAnsi="Times New Roman;Times;serif"/>
          <w:sz w:val="24"/>
        </w:rPr>
        <w:t>as provided in the Plan).</w:t>
      </w:r>
    </w:p>
    <w:p>
      <w:pPr>
        <w:pStyle w:val="TextBody"/>
        <w:bidi w:val="0"/>
        <w:spacing w:before="0" w:after="0"/>
        <w:ind w:left="0" w:right="0" w:hanging="0"/>
        <w:jc w:val="left"/>
        <w:rPr/>
      </w:pPr>
      <w:r>
        <w:rPr/>
        <w:t>​</w:t>
      </w:r>
    </w:p>
    <w:p>
      <w:pPr>
        <w:pStyle w:val="TextBody"/>
        <w:bidi w:val="0"/>
        <w:spacing w:before="0" w:after="0"/>
        <w:ind w:left="0" w:right="356" w:hanging="0"/>
        <w:jc w:val="both"/>
        <w:rPr>
          <w:rFonts w:ascii="Times New Roman;Times;serif" w:hAnsi="Times New Roman;Times;serif"/>
          <w:sz w:val="22"/>
        </w:rPr>
      </w:pPr>
      <w:r>
        <w:rPr>
          <w:rFonts w:ascii="Times New Roman;Times;serif" w:hAnsi="Times New Roman;Times;serif"/>
          <w:sz w:val="24"/>
        </w:rPr>
        <w:t>1.</w:t>
      </w:r>
      <w:r>
        <w:rPr>
          <w:rFonts w:ascii="Times New Roman;Times;serif" w:hAnsi="Times New Roman;Times;serif"/>
          <w:sz w:val="24"/>
          <w:u w:val="single"/>
        </w:rPr>
        <w:t>Initial Grants</w:t>
      </w:r>
      <w:r>
        <w:rPr>
          <w:rFonts w:ascii="Times New Roman;Times;serif" w:hAnsi="Times New Roman;Times;serif"/>
          <w:sz w:val="24"/>
        </w:rPr>
        <w:t>: For each Eligible Director who is first elected or appointed to the Board following</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Effective</w:t>
      </w:r>
      <w:r>
        <w:rPr>
          <w:rFonts w:ascii="Times New Roman;Times;serif" w:hAnsi="Times New Roman;Times;serif"/>
          <w:spacing w:val="-12"/>
          <w:sz w:val="22"/>
        </w:rPr>
        <w:t xml:space="preserve"> </w:t>
      </w:r>
      <w:r>
        <w:rPr>
          <w:rFonts w:ascii="Times New Roman;Times;serif" w:hAnsi="Times New Roman;Times;serif"/>
          <w:sz w:val="24"/>
        </w:rPr>
        <w:t>Date,</w:t>
      </w:r>
      <w:r>
        <w:rPr>
          <w:rFonts w:ascii="Times New Roman;Times;serif" w:hAnsi="Times New Roman;Times;serif"/>
          <w:spacing w:val="-11"/>
          <w:sz w:val="22"/>
        </w:rPr>
        <w:t xml:space="preserve"> </w:t>
      </w:r>
      <w:r>
        <w:rPr>
          <w:rFonts w:ascii="Times New Roman;Times;serif" w:hAnsi="Times New Roman;Times;serif"/>
          <w:sz w:val="24"/>
        </w:rPr>
        <w:t>on</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date</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0"/>
          <w:sz w:val="22"/>
        </w:rPr>
        <w:t xml:space="preserve"> </w:t>
      </w:r>
      <w:r>
        <w:rPr>
          <w:rFonts w:ascii="Times New Roman;Times;serif" w:hAnsi="Times New Roman;Times;serif"/>
          <w:sz w:val="24"/>
        </w:rPr>
        <w:t>such</w:t>
      </w:r>
      <w:r>
        <w:rPr>
          <w:rFonts w:ascii="Times New Roman;Times;serif" w:hAnsi="Times New Roman;Times;serif"/>
          <w:spacing w:val="-13"/>
          <w:sz w:val="22"/>
        </w:rPr>
        <w:t xml:space="preserve"> </w:t>
      </w:r>
      <w:r>
        <w:rPr>
          <w:rFonts w:ascii="Times New Roman;Times;serif" w:hAnsi="Times New Roman;Times;serif"/>
          <w:sz w:val="24"/>
        </w:rPr>
        <w:t>Eligible</w:t>
      </w:r>
      <w:r>
        <w:rPr>
          <w:rFonts w:ascii="Times New Roman;Times;serif" w:hAnsi="Times New Roman;Times;serif"/>
          <w:spacing w:val="-11"/>
          <w:sz w:val="22"/>
        </w:rPr>
        <w:t xml:space="preserve"> </w:t>
      </w:r>
      <w:r>
        <w:rPr>
          <w:rFonts w:ascii="Times New Roman;Times;serif" w:hAnsi="Times New Roman;Times;serif"/>
          <w:sz w:val="24"/>
        </w:rPr>
        <w:t>Director’s</w:t>
      </w:r>
      <w:r>
        <w:rPr>
          <w:rFonts w:ascii="Times New Roman;Times;serif" w:hAnsi="Times New Roman;Times;serif"/>
          <w:spacing w:val="-12"/>
          <w:sz w:val="22"/>
        </w:rPr>
        <w:t xml:space="preserve"> </w:t>
      </w:r>
      <w:r>
        <w:rPr>
          <w:rFonts w:ascii="Times New Roman;Times;serif" w:hAnsi="Times New Roman;Times;serif"/>
          <w:sz w:val="24"/>
        </w:rPr>
        <w:t>initial</w:t>
      </w:r>
      <w:r>
        <w:rPr>
          <w:rFonts w:ascii="Times New Roman;Times;serif" w:hAnsi="Times New Roman;Times;serif"/>
          <w:spacing w:val="-10"/>
          <w:sz w:val="22"/>
        </w:rPr>
        <w:t xml:space="preserve"> </w:t>
      </w:r>
      <w:r>
        <w:rPr>
          <w:rFonts w:ascii="Times New Roman;Times;serif" w:hAnsi="Times New Roman;Times;serif"/>
          <w:sz w:val="24"/>
        </w:rPr>
        <w:t>election</w:t>
      </w:r>
      <w:r>
        <w:rPr>
          <w:rFonts w:ascii="Times New Roman;Times;serif" w:hAnsi="Times New Roman;Times;serif"/>
          <w:spacing w:val="-11"/>
          <w:sz w:val="22"/>
        </w:rPr>
        <w:t xml:space="preserve"> </w:t>
      </w:r>
      <w:r>
        <w:rPr>
          <w:rFonts w:ascii="Times New Roman;Times;serif" w:hAnsi="Times New Roman;Times;serif"/>
          <w:sz w:val="24"/>
        </w:rPr>
        <w:t>or</w:t>
      </w:r>
      <w:r>
        <w:rPr>
          <w:rFonts w:ascii="Times New Roman;Times;serif" w:hAnsi="Times New Roman;Times;serif"/>
          <w:spacing w:val="-12"/>
          <w:sz w:val="22"/>
        </w:rPr>
        <w:t xml:space="preserve"> </w:t>
      </w:r>
      <w:r>
        <w:rPr>
          <w:rFonts w:ascii="Times New Roman;Times;serif" w:hAnsi="Times New Roman;Times;serif"/>
          <w:sz w:val="24"/>
        </w:rPr>
        <w:t>appointment to the Board (or, if such date is not a market trading day, the first market trading day thereafter), the Eligible Director will automatically, and without further action by the Board or the Compensation</w:t>
      </w:r>
      <w:r>
        <w:rPr>
          <w:rFonts w:ascii="Times New Roman;Times;serif" w:hAnsi="Times New Roman;Times;serif"/>
          <w:spacing w:val="-2"/>
          <w:sz w:val="22"/>
        </w:rPr>
        <w:t xml:space="preserve"> </w:t>
      </w:r>
      <w:r>
        <w:rPr>
          <w:rFonts w:ascii="Times New Roman;Times;serif" w:hAnsi="Times New Roman;Times;serif"/>
          <w:sz w:val="24"/>
        </w:rPr>
        <w:t>Committee</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Board,</w:t>
      </w:r>
      <w:r>
        <w:rPr>
          <w:rFonts w:ascii="Times New Roman;Times;serif" w:hAnsi="Times New Roman;Times;serif"/>
          <w:spacing w:val="-2"/>
          <w:sz w:val="22"/>
        </w:rPr>
        <w:t xml:space="preserve"> </w:t>
      </w:r>
      <w:r>
        <w:rPr>
          <w:rFonts w:ascii="Times New Roman;Times;serif" w:hAnsi="Times New Roman;Times;serif"/>
          <w:sz w:val="24"/>
        </w:rPr>
        <w:t>be</w:t>
      </w:r>
      <w:r>
        <w:rPr>
          <w:rFonts w:ascii="Times New Roman;Times;serif" w:hAnsi="Times New Roman;Times;serif"/>
          <w:spacing w:val="-2"/>
          <w:sz w:val="22"/>
        </w:rPr>
        <w:t xml:space="preserve"> </w:t>
      </w:r>
      <w:r>
        <w:rPr>
          <w:rFonts w:ascii="Times New Roman;Times;serif" w:hAnsi="Times New Roman;Times;serif"/>
          <w:sz w:val="24"/>
        </w:rPr>
        <w:t>granted</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2"/>
          <w:sz w:val="22"/>
        </w:rPr>
        <w:t xml:space="preserve"> </w:t>
      </w:r>
      <w:r>
        <w:rPr>
          <w:rFonts w:ascii="Times New Roman;Times;serif" w:hAnsi="Times New Roman;Times;serif"/>
          <w:sz w:val="24"/>
        </w:rPr>
        <w:t>stock</w:t>
      </w:r>
      <w:r>
        <w:rPr>
          <w:rFonts w:ascii="Times New Roman;Times;serif" w:hAnsi="Times New Roman;Times;serif"/>
          <w:spacing w:val="-2"/>
          <w:sz w:val="22"/>
        </w:rPr>
        <w:t xml:space="preserve"> </w:t>
      </w:r>
      <w:r>
        <w:rPr>
          <w:rFonts w:ascii="Times New Roman;Times;serif" w:hAnsi="Times New Roman;Times;serif"/>
          <w:sz w:val="24"/>
        </w:rPr>
        <w:t>option</w:t>
      </w:r>
      <w:r>
        <w:rPr>
          <w:rFonts w:ascii="Times New Roman;Times;serif" w:hAnsi="Times New Roman;Times;serif"/>
          <w:spacing w:val="-2"/>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purchase</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2"/>
          <w:sz w:val="22"/>
        </w:rPr>
        <w:t xml:space="preserve"> </w:t>
      </w:r>
      <w:r>
        <w:rPr>
          <w:rFonts w:ascii="Times New Roman;Times;serif" w:hAnsi="Times New Roman;Times;serif"/>
          <w:sz w:val="24"/>
        </w:rPr>
        <w:t>number</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2"/>
          <w:sz w:val="22"/>
        </w:rPr>
        <w:t xml:space="preserve"> </w:t>
      </w:r>
      <w:r>
        <w:rPr>
          <w:rFonts w:ascii="Times New Roman;Times;serif" w:hAnsi="Times New Roman;Times;serif"/>
          <w:sz w:val="24"/>
        </w:rPr>
        <w:t>shares of Common Stock equal to the lesser of (i) the number of shares that results in such stock option having</w:t>
      </w:r>
      <w:r>
        <w:rPr>
          <w:rFonts w:ascii="Times New Roman;Times;serif" w:hAnsi="Times New Roman;Times;serif"/>
          <w:spacing w:val="-10"/>
          <w:sz w:val="22"/>
        </w:rPr>
        <w:t xml:space="preserve"> </w:t>
      </w:r>
      <w:r>
        <w:rPr>
          <w:rFonts w:ascii="Times New Roman;Times;serif" w:hAnsi="Times New Roman;Times;serif"/>
          <w:sz w:val="24"/>
        </w:rPr>
        <w:t>a</w:t>
      </w:r>
      <w:r>
        <w:rPr>
          <w:rFonts w:ascii="Times New Roman;Times;serif" w:hAnsi="Times New Roman;Times;serif"/>
          <w:spacing w:val="-9"/>
          <w:sz w:val="22"/>
        </w:rPr>
        <w:t xml:space="preserve"> </w:t>
      </w:r>
      <w:r>
        <w:rPr>
          <w:rFonts w:ascii="Times New Roman;Times;serif" w:hAnsi="Times New Roman;Times;serif"/>
          <w:sz w:val="24"/>
        </w:rPr>
        <w:t>grant</w:t>
      </w:r>
      <w:r>
        <w:rPr>
          <w:rFonts w:ascii="Times New Roman;Times;serif" w:hAnsi="Times New Roman;Times;serif"/>
          <w:spacing w:val="-9"/>
          <w:sz w:val="22"/>
        </w:rPr>
        <w:t xml:space="preserve"> </w:t>
      </w:r>
      <w:r>
        <w:rPr>
          <w:rFonts w:ascii="Times New Roman;Times;serif" w:hAnsi="Times New Roman;Times;serif"/>
          <w:sz w:val="24"/>
        </w:rPr>
        <w:t>date</w:t>
      </w:r>
      <w:r>
        <w:rPr>
          <w:rFonts w:ascii="Times New Roman;Times;serif" w:hAnsi="Times New Roman;Times;serif"/>
          <w:spacing w:val="-9"/>
          <w:sz w:val="22"/>
        </w:rPr>
        <w:t xml:space="preserve"> </w:t>
      </w:r>
      <w:r>
        <w:rPr>
          <w:rFonts w:ascii="Times New Roman;Times;serif" w:hAnsi="Times New Roman;Times;serif"/>
          <w:sz w:val="24"/>
        </w:rPr>
        <w:t>fair</w:t>
      </w:r>
      <w:r>
        <w:rPr>
          <w:rFonts w:ascii="Times New Roman;Times;serif" w:hAnsi="Times New Roman;Times;serif"/>
          <w:spacing w:val="-9"/>
          <w:sz w:val="22"/>
        </w:rPr>
        <w:t xml:space="preserve"> </w:t>
      </w:r>
      <w:r>
        <w:rPr>
          <w:rFonts w:ascii="Times New Roman;Times;serif" w:hAnsi="Times New Roman;Times;serif"/>
          <w:sz w:val="24"/>
        </w:rPr>
        <w:t>value</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9"/>
          <w:sz w:val="22"/>
        </w:rPr>
        <w:t xml:space="preserve"> </w:t>
      </w:r>
      <w:r>
        <w:rPr>
          <w:rFonts w:ascii="Times New Roman;Times;serif" w:hAnsi="Times New Roman;Times;serif"/>
          <w:sz w:val="24"/>
        </w:rPr>
        <w:t>$700,000,</w:t>
      </w:r>
      <w:r>
        <w:rPr>
          <w:rFonts w:ascii="Times New Roman;Times;serif" w:hAnsi="Times New Roman;Times;serif"/>
          <w:spacing w:val="-10"/>
          <w:sz w:val="22"/>
        </w:rPr>
        <w:t xml:space="preserve"> </w:t>
      </w:r>
      <w:r>
        <w:rPr>
          <w:rFonts w:ascii="Times New Roman;Times;serif" w:hAnsi="Times New Roman;Times;serif"/>
          <w:sz w:val="24"/>
        </w:rPr>
        <w:t>rounded</w:t>
      </w:r>
      <w:r>
        <w:rPr>
          <w:rFonts w:ascii="Times New Roman;Times;serif" w:hAnsi="Times New Roman;Times;serif"/>
          <w:spacing w:val="-10"/>
          <w:sz w:val="22"/>
        </w:rPr>
        <w:t xml:space="preserve"> </w:t>
      </w:r>
      <w:r>
        <w:rPr>
          <w:rFonts w:ascii="Times New Roman;Times;serif" w:hAnsi="Times New Roman;Times;serif"/>
          <w:sz w:val="24"/>
        </w:rPr>
        <w:t>down</w:t>
      </w:r>
      <w:r>
        <w:rPr>
          <w:rFonts w:ascii="Times New Roman;Times;serif" w:hAnsi="Times New Roman;Times;serif"/>
          <w:spacing w:val="-10"/>
          <w:sz w:val="22"/>
        </w:rPr>
        <w:t xml:space="preserve"> </w:t>
      </w:r>
      <w:r>
        <w:rPr>
          <w:rFonts w:ascii="Times New Roman;Times;serif" w:hAnsi="Times New Roman;Times;serif"/>
          <w:sz w:val="24"/>
        </w:rPr>
        <w:t>to</w:t>
      </w:r>
      <w:r>
        <w:rPr>
          <w:rFonts w:ascii="Times New Roman;Times;serif" w:hAnsi="Times New Roman;Times;serif"/>
          <w:spacing w:val="-10"/>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nearest</w:t>
      </w:r>
      <w:r>
        <w:rPr>
          <w:rFonts w:ascii="Times New Roman;Times;serif" w:hAnsi="Times New Roman;Times;serif"/>
          <w:spacing w:val="-9"/>
          <w:sz w:val="22"/>
        </w:rPr>
        <w:t xml:space="preserve"> </w:t>
      </w:r>
      <w:r>
        <w:rPr>
          <w:rFonts w:ascii="Times New Roman;Times;serif" w:hAnsi="Times New Roman;Times;serif"/>
          <w:sz w:val="24"/>
        </w:rPr>
        <w:t>whole</w:t>
      </w:r>
      <w:r>
        <w:rPr>
          <w:rFonts w:ascii="Times New Roman;Times;serif" w:hAnsi="Times New Roman;Times;serif"/>
          <w:spacing w:val="-9"/>
          <w:sz w:val="22"/>
        </w:rPr>
        <w:t xml:space="preserve"> </w:t>
      </w:r>
      <w:r>
        <w:rPr>
          <w:rFonts w:ascii="Times New Roman;Times;serif" w:hAnsi="Times New Roman;Times;serif"/>
          <w:sz w:val="24"/>
        </w:rPr>
        <w:t>share,</w:t>
      </w:r>
      <w:r>
        <w:rPr>
          <w:rFonts w:ascii="Times New Roman;Times;serif" w:hAnsi="Times New Roman;Times;serif"/>
          <w:spacing w:val="-10"/>
          <w:sz w:val="22"/>
        </w:rPr>
        <w:t xml:space="preserve"> </w:t>
      </w:r>
      <w:r>
        <w:rPr>
          <w:rFonts w:ascii="Times New Roman;Times;serif" w:hAnsi="Times New Roman;Times;serif"/>
          <w:sz w:val="24"/>
        </w:rPr>
        <w:t>or</w:t>
      </w:r>
      <w:r>
        <w:rPr>
          <w:rFonts w:ascii="Times New Roman;Times;serif" w:hAnsi="Times New Roman;Times;serif"/>
          <w:spacing w:val="-9"/>
          <w:sz w:val="22"/>
        </w:rPr>
        <w:t xml:space="preserve"> </w:t>
      </w:r>
      <w:r>
        <w:rPr>
          <w:rFonts w:ascii="Times New Roman;Times;serif" w:hAnsi="Times New Roman;Times;serif"/>
          <w:sz w:val="24"/>
        </w:rPr>
        <w:t>(ii)</w:t>
      </w:r>
      <w:r>
        <w:rPr>
          <w:rFonts w:ascii="Times New Roman;Times;serif" w:hAnsi="Times New Roman;Times;serif"/>
          <w:spacing w:val="-2"/>
          <w:sz w:val="22"/>
        </w:rPr>
        <w:t xml:space="preserve"> </w:t>
      </w:r>
      <w:r>
        <w:rPr>
          <w:rFonts w:ascii="Times New Roman;Times;serif" w:hAnsi="Times New Roman;Times;serif"/>
          <w:sz w:val="24"/>
        </w:rPr>
        <w:t>94,500 shares (the “</w:t>
      </w:r>
      <w:r>
        <w:rPr>
          <w:rFonts w:ascii="Times New Roman;Times;serif" w:hAnsi="Times New Roman;Times;serif"/>
          <w:b/>
          <w:i/>
          <w:sz w:val="24"/>
        </w:rPr>
        <w:t>Initial Grant</w:t>
      </w:r>
      <w:r>
        <w:rPr>
          <w:rFonts w:ascii="Times New Roman;Times;serif" w:hAnsi="Times New Roman;Times;serif"/>
          <w:sz w:val="22"/>
        </w:rPr>
        <w:t>”</w:t>
      </w:r>
      <w:r>
        <w:rPr>
          <w:rFonts w:ascii="Times New Roman;Times;serif" w:hAnsi="Times New Roman;Times;serif"/>
          <w:sz w:val="24"/>
        </w:rPr>
        <w:t>). The shares subject to each Initial Grant will vest over a three-year period, with 1/36</w:t>
      </w:r>
      <w:r>
        <w:rPr>
          <w:rFonts w:ascii="Times New Roman;Times;serif" w:hAnsi="Times New Roman;Times;serif"/>
          <w:sz w:val="18"/>
        </w:rPr>
        <w:t>th</w:t>
      </w:r>
      <w:r>
        <w:rPr>
          <w:rFonts w:ascii="Times New Roman;Times;serif" w:hAnsi="Times New Roman;Times;serif"/>
          <w:sz w:val="22"/>
        </w:rPr>
        <w:t xml:space="preserve"> </w:t>
      </w:r>
      <w:r>
        <w:rPr>
          <w:rFonts w:ascii="Times New Roman;Times;serif" w:hAnsi="Times New Roman;Times;serif"/>
          <w:sz w:val="24"/>
        </w:rPr>
        <w:t>of the shares subject to the Initial Grant vesting in equal monthly installments following</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date</w:t>
      </w:r>
      <w:r>
        <w:rPr>
          <w:rFonts w:ascii="Times New Roman;Times;serif" w:hAnsi="Times New Roman;Times;serif"/>
          <w:spacing w:val="-3"/>
          <w:sz w:val="22"/>
        </w:rPr>
        <w:t xml:space="preserve"> </w:t>
      </w:r>
      <w:r>
        <w:rPr>
          <w:rFonts w:ascii="Times New Roman;Times;serif" w:hAnsi="Times New Roman;Times;serif"/>
          <w:sz w:val="24"/>
        </w:rPr>
        <w:t>of</w:t>
      </w:r>
      <w:r>
        <w:rPr>
          <w:rFonts w:ascii="Times New Roman;Times;serif" w:hAnsi="Times New Roman;Times;serif"/>
          <w:spacing w:val="-4"/>
          <w:sz w:val="22"/>
        </w:rPr>
        <w:t xml:space="preserve"> </w:t>
      </w:r>
      <w:r>
        <w:rPr>
          <w:rFonts w:ascii="Times New Roman;Times;serif" w:hAnsi="Times New Roman;Times;serif"/>
          <w:sz w:val="24"/>
        </w:rPr>
        <w:t>grant,</w:t>
      </w:r>
      <w:r>
        <w:rPr>
          <w:rFonts w:ascii="Times New Roman;Times;serif" w:hAnsi="Times New Roman;Times;serif"/>
          <w:spacing w:val="-4"/>
          <w:sz w:val="22"/>
        </w:rPr>
        <w:t xml:space="preserve"> </w:t>
      </w:r>
      <w:r>
        <w:rPr>
          <w:rFonts w:ascii="Times New Roman;Times;serif" w:hAnsi="Times New Roman;Times;serif"/>
          <w:sz w:val="24"/>
        </w:rPr>
        <w:t>such</w:t>
      </w:r>
      <w:r>
        <w:rPr>
          <w:rFonts w:ascii="Times New Roman;Times;serif" w:hAnsi="Times New Roman;Times;serif"/>
          <w:spacing w:val="-5"/>
          <w:sz w:val="22"/>
        </w:rPr>
        <w:t xml:space="preserve"> </w:t>
      </w:r>
      <w:r>
        <w:rPr>
          <w:rFonts w:ascii="Times New Roman;Times;serif" w:hAnsi="Times New Roman;Times;serif"/>
          <w:sz w:val="24"/>
        </w:rPr>
        <w:t>that</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option</w:t>
      </w:r>
      <w:r>
        <w:rPr>
          <w:rFonts w:ascii="Times New Roman;Times;serif" w:hAnsi="Times New Roman;Times;serif"/>
          <w:spacing w:val="-5"/>
          <w:sz w:val="22"/>
        </w:rPr>
        <w:t xml:space="preserve"> </w:t>
      </w:r>
      <w:r>
        <w:rPr>
          <w:rFonts w:ascii="Times New Roman;Times;serif" w:hAnsi="Times New Roman;Times;serif"/>
          <w:sz w:val="24"/>
        </w:rPr>
        <w:t>is</w:t>
      </w:r>
      <w:r>
        <w:rPr>
          <w:rFonts w:ascii="Times New Roman;Times;serif" w:hAnsi="Times New Roman;Times;serif"/>
          <w:spacing w:val="-5"/>
          <w:sz w:val="22"/>
        </w:rPr>
        <w:t xml:space="preserve"> </w:t>
      </w:r>
      <w:r>
        <w:rPr>
          <w:rFonts w:ascii="Times New Roman;Times;serif" w:hAnsi="Times New Roman;Times;serif"/>
          <w:sz w:val="24"/>
        </w:rPr>
        <w:t>fully</w:t>
      </w:r>
      <w:r>
        <w:rPr>
          <w:rFonts w:ascii="Times New Roman;Times;serif" w:hAnsi="Times New Roman;Times;serif"/>
          <w:spacing w:val="-4"/>
          <w:sz w:val="22"/>
        </w:rPr>
        <w:t xml:space="preserve"> </w:t>
      </w:r>
      <w:r>
        <w:rPr>
          <w:rFonts w:ascii="Times New Roman;Times;serif" w:hAnsi="Times New Roman;Times;serif"/>
          <w:sz w:val="24"/>
        </w:rPr>
        <w:t>vested</w:t>
      </w:r>
      <w:r>
        <w:rPr>
          <w:rFonts w:ascii="Times New Roman;Times;serif" w:hAnsi="Times New Roman;Times;serif"/>
          <w:spacing w:val="-5"/>
          <w:sz w:val="22"/>
        </w:rPr>
        <w:t xml:space="preserve"> </w:t>
      </w:r>
      <w:r>
        <w:rPr>
          <w:rFonts w:ascii="Times New Roman;Times;serif" w:hAnsi="Times New Roman;Times;serif"/>
          <w:sz w:val="24"/>
        </w:rPr>
        <w:t>on</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third</w:t>
      </w:r>
      <w:r>
        <w:rPr>
          <w:rFonts w:ascii="Times New Roman;Times;serif" w:hAnsi="Times New Roman;Times;serif"/>
          <w:spacing w:val="-6"/>
          <w:sz w:val="22"/>
        </w:rPr>
        <w:t xml:space="preserve"> </w:t>
      </w:r>
      <w:r>
        <w:rPr>
          <w:rFonts w:ascii="Times New Roman;Times;serif" w:hAnsi="Times New Roman;Times;serif"/>
          <w:sz w:val="24"/>
        </w:rPr>
        <w:t>anniversary</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date of grant, subject to the Eligible Director’s Continuous Service (as defined in the Plan) through each such vesting date, and will vest in full upon a Change in Control (as defined in the Plan), subject to the Eligible Director’s Continuous Service through such date.</w:t>
      </w:r>
    </w:p>
    <w:p>
      <w:pPr>
        <w:pStyle w:val="TextBody"/>
        <w:bidi w:val="0"/>
        <w:spacing w:before="275" w:after="283"/>
        <w:ind w:left="0" w:right="355" w:hanging="0"/>
        <w:jc w:val="both"/>
        <w:rPr>
          <w:rFonts w:ascii="Times New Roman;Times;serif" w:hAnsi="Times New Roman;Times;serif"/>
          <w:sz w:val="22"/>
        </w:rPr>
      </w:pPr>
      <w:r>
        <w:rPr>
          <w:rFonts w:ascii="Times New Roman;Times;serif" w:hAnsi="Times New Roman;Times;serif"/>
          <w:sz w:val="24"/>
        </w:rPr>
        <w:t>2.</w:t>
      </w:r>
      <w:r>
        <w:rPr>
          <w:rFonts w:ascii="Times New Roman;Times;serif" w:hAnsi="Times New Roman;Times;serif"/>
          <w:sz w:val="24"/>
          <w:u w:val="single"/>
        </w:rPr>
        <w:t>Annual</w:t>
      </w:r>
      <w:r>
        <w:rPr>
          <w:rFonts w:ascii="Times New Roman;Times;serif" w:hAnsi="Times New Roman;Times;serif"/>
          <w:spacing w:val="-6"/>
          <w:sz w:val="22"/>
          <w:u w:val="single"/>
        </w:rPr>
        <w:t xml:space="preserve"> </w:t>
      </w:r>
      <w:r>
        <w:rPr>
          <w:rFonts w:ascii="Times New Roman;Times;serif" w:hAnsi="Times New Roman;Times;serif"/>
          <w:sz w:val="24"/>
          <w:u w:val="single"/>
        </w:rPr>
        <w:t>Grants</w:t>
      </w:r>
      <w:r>
        <w:rPr>
          <w:rFonts w:ascii="Times New Roman;Times;serif" w:hAnsi="Times New Roman;Times;serif"/>
          <w:sz w:val="24"/>
        </w:rPr>
        <w:t>:</w:t>
      </w:r>
      <w:r>
        <w:rPr>
          <w:rFonts w:ascii="Times New Roman;Times;serif" w:hAnsi="Times New Roman;Times;serif"/>
          <w:spacing w:val="-6"/>
          <w:sz w:val="22"/>
        </w:rPr>
        <w:t xml:space="preserve"> </w:t>
      </w:r>
      <w:r>
        <w:rPr>
          <w:rFonts w:ascii="Times New Roman;Times;serif" w:hAnsi="Times New Roman;Times;serif"/>
          <w:sz w:val="24"/>
        </w:rPr>
        <w:t>On</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date</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7"/>
          <w:sz w:val="22"/>
        </w:rPr>
        <w:t xml:space="preserve"> </w:t>
      </w:r>
      <w:r>
        <w:rPr>
          <w:rFonts w:ascii="Times New Roman;Times;serif" w:hAnsi="Times New Roman;Times;serif"/>
          <w:sz w:val="24"/>
        </w:rPr>
        <w:t>each</w:t>
      </w:r>
      <w:r>
        <w:rPr>
          <w:rFonts w:ascii="Times New Roman;Times;serif" w:hAnsi="Times New Roman;Times;serif"/>
          <w:spacing w:val="-6"/>
          <w:sz w:val="22"/>
        </w:rPr>
        <w:t xml:space="preserve"> </w:t>
      </w:r>
      <w:r>
        <w:rPr>
          <w:rFonts w:ascii="Times New Roman;Times;serif" w:hAnsi="Times New Roman;Times;serif"/>
          <w:sz w:val="24"/>
        </w:rPr>
        <w:t>annual</w:t>
      </w:r>
      <w:r>
        <w:rPr>
          <w:rFonts w:ascii="Times New Roman;Times;serif" w:hAnsi="Times New Roman;Times;serif"/>
          <w:spacing w:val="-6"/>
          <w:sz w:val="22"/>
        </w:rPr>
        <w:t xml:space="preserve"> </w:t>
      </w:r>
      <w:r>
        <w:rPr>
          <w:rFonts w:ascii="Times New Roman;Times;serif" w:hAnsi="Times New Roman;Times;serif"/>
          <w:sz w:val="24"/>
        </w:rPr>
        <w:t>stockholder</w:t>
      </w:r>
      <w:r>
        <w:rPr>
          <w:rFonts w:ascii="Times New Roman;Times;serif" w:hAnsi="Times New Roman;Times;serif"/>
          <w:spacing w:val="-7"/>
          <w:sz w:val="22"/>
        </w:rPr>
        <w:t xml:space="preserve"> </w:t>
      </w:r>
      <w:r>
        <w:rPr>
          <w:rFonts w:ascii="Times New Roman;Times;serif" w:hAnsi="Times New Roman;Times;serif"/>
          <w:sz w:val="24"/>
        </w:rPr>
        <w:t>meeting</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Company</w:t>
      </w:r>
      <w:r>
        <w:rPr>
          <w:rFonts w:ascii="Times New Roman;Times;serif" w:hAnsi="Times New Roman;Times;serif"/>
          <w:spacing w:val="-6"/>
          <w:sz w:val="22"/>
        </w:rPr>
        <w:t xml:space="preserve"> </w:t>
      </w:r>
      <w:r>
        <w:rPr>
          <w:rFonts w:ascii="Times New Roman;Times;serif" w:hAnsi="Times New Roman;Times;serif"/>
          <w:sz w:val="24"/>
        </w:rPr>
        <w:t>held</w:t>
      </w:r>
      <w:r>
        <w:rPr>
          <w:rFonts w:ascii="Times New Roman;Times;serif" w:hAnsi="Times New Roman;Times;serif"/>
          <w:spacing w:val="-7"/>
          <w:sz w:val="22"/>
        </w:rPr>
        <w:t xml:space="preserve"> </w:t>
      </w:r>
      <w:r>
        <w:rPr>
          <w:rFonts w:ascii="Times New Roman;Times;serif" w:hAnsi="Times New Roman;Times;serif"/>
          <w:sz w:val="24"/>
        </w:rPr>
        <w:t>after the Effective Date, each Eligible Director who continues to serve as a non-employee member of the Board following such stockholder meeting (excluding any Eligible Director who is first appointed or elected by the Board at such meeting) will automatically, and without further action by</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Board</w:t>
      </w:r>
      <w:r>
        <w:rPr>
          <w:rFonts w:ascii="Times New Roman;Times;serif" w:hAnsi="Times New Roman;Times;serif"/>
          <w:spacing w:val="-15"/>
          <w:sz w:val="22"/>
        </w:rPr>
        <w:t xml:space="preserve"> </w:t>
      </w:r>
      <w:r>
        <w:rPr>
          <w:rFonts w:ascii="Times New Roman;Times;serif" w:hAnsi="Times New Roman;Times;serif"/>
          <w:sz w:val="24"/>
        </w:rPr>
        <w:t>or</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Compensation</w:t>
      </w:r>
      <w:r>
        <w:rPr>
          <w:rFonts w:ascii="Times New Roman;Times;serif" w:hAnsi="Times New Roman;Times;serif"/>
          <w:spacing w:val="-15"/>
          <w:sz w:val="22"/>
        </w:rPr>
        <w:t xml:space="preserve"> </w:t>
      </w:r>
      <w:r>
        <w:rPr>
          <w:rFonts w:ascii="Times New Roman;Times;serif" w:hAnsi="Times New Roman;Times;serif"/>
          <w:sz w:val="24"/>
        </w:rPr>
        <w:t>Committee</w:t>
      </w:r>
      <w:r>
        <w:rPr>
          <w:rFonts w:ascii="Times New Roman;Times;serif" w:hAnsi="Times New Roman;Times;serif"/>
          <w:spacing w:val="-15"/>
          <w:sz w:val="22"/>
        </w:rPr>
        <w:t xml:space="preserve"> </w:t>
      </w:r>
      <w:r>
        <w:rPr>
          <w:rFonts w:ascii="Times New Roman;Times;serif" w:hAnsi="Times New Roman;Times;serif"/>
          <w:sz w:val="24"/>
        </w:rPr>
        <w:t>of</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Board,</w:t>
      </w:r>
      <w:r>
        <w:rPr>
          <w:rFonts w:ascii="Times New Roman;Times;serif" w:hAnsi="Times New Roman;Times;serif"/>
          <w:spacing w:val="-15"/>
          <w:sz w:val="22"/>
        </w:rPr>
        <w:t xml:space="preserve"> </w:t>
      </w:r>
      <w:r>
        <w:rPr>
          <w:rFonts w:ascii="Times New Roman;Times;serif" w:hAnsi="Times New Roman;Times;serif"/>
          <w:sz w:val="24"/>
        </w:rPr>
        <w:t>be</w:t>
      </w:r>
      <w:r>
        <w:rPr>
          <w:rFonts w:ascii="Times New Roman;Times;serif" w:hAnsi="Times New Roman;Times;serif"/>
          <w:spacing w:val="-15"/>
          <w:sz w:val="22"/>
        </w:rPr>
        <w:t xml:space="preserve"> </w:t>
      </w:r>
      <w:r>
        <w:rPr>
          <w:rFonts w:ascii="Times New Roman;Times;serif" w:hAnsi="Times New Roman;Times;serif"/>
          <w:sz w:val="24"/>
        </w:rPr>
        <w:t>granted</w:t>
      </w:r>
      <w:r>
        <w:rPr>
          <w:rFonts w:ascii="Times New Roman;Times;serif" w:hAnsi="Times New Roman;Times;serif"/>
          <w:spacing w:val="-15"/>
          <w:sz w:val="22"/>
        </w:rPr>
        <w:t xml:space="preserve"> </w:t>
      </w:r>
      <w:r>
        <w:rPr>
          <w:rFonts w:ascii="Times New Roman;Times;serif" w:hAnsi="Times New Roman;Times;serif"/>
          <w:sz w:val="24"/>
        </w:rPr>
        <w:t>the</w:t>
      </w:r>
      <w:r>
        <w:rPr>
          <w:rFonts w:ascii="Times New Roman;Times;serif" w:hAnsi="Times New Roman;Times;serif"/>
          <w:spacing w:val="-15"/>
          <w:sz w:val="22"/>
        </w:rPr>
        <w:t xml:space="preserve"> </w:t>
      </w:r>
      <w:r>
        <w:rPr>
          <w:rFonts w:ascii="Times New Roman;Times;serif" w:hAnsi="Times New Roman;Times;serif"/>
          <w:sz w:val="24"/>
        </w:rPr>
        <w:t>following</w:t>
      </w:r>
      <w:r>
        <w:rPr>
          <w:rFonts w:ascii="Times New Roman;Times;serif" w:hAnsi="Times New Roman;Times;serif"/>
          <w:spacing w:val="-15"/>
          <w:sz w:val="22"/>
        </w:rPr>
        <w:t xml:space="preserve"> </w:t>
      </w:r>
      <w:r>
        <w:rPr>
          <w:rFonts w:ascii="Times New Roman;Times;serif" w:hAnsi="Times New Roman;Times;serif"/>
          <w:sz w:val="24"/>
        </w:rPr>
        <w:t>equity</w:t>
      </w:r>
      <w:r>
        <w:rPr>
          <w:rFonts w:ascii="Times New Roman;Times;serif" w:hAnsi="Times New Roman;Times;serif"/>
          <w:spacing w:val="-15"/>
          <w:sz w:val="22"/>
        </w:rPr>
        <w:t xml:space="preserve"> </w:t>
      </w:r>
      <w:r>
        <w:rPr>
          <w:rFonts w:ascii="Times New Roman;Times;serif" w:hAnsi="Times New Roman;Times;serif"/>
          <w:sz w:val="24"/>
        </w:rPr>
        <w:t>awards (each, an “</w:t>
      </w:r>
      <w:r>
        <w:rPr>
          <w:rFonts w:ascii="Times New Roman;Times;serif" w:hAnsi="Times New Roman;Times;serif"/>
          <w:b/>
          <w:i/>
          <w:sz w:val="24"/>
        </w:rPr>
        <w:t>Annual Grant</w:t>
      </w:r>
      <w:r>
        <w:rPr>
          <w:rFonts w:ascii="Times New Roman;Times;serif" w:hAnsi="Times New Roman;Times;serif"/>
          <w:sz w:val="22"/>
        </w:rPr>
        <w:t>”</w:t>
      </w:r>
      <w:r>
        <w:rPr>
          <w:rFonts w:ascii="Times New Roman;Times;serif" w:hAnsi="Times New Roman;Times;serif"/>
          <w:sz w:val="24"/>
        </w:rPr>
        <w:t>):</w:t>
      </w:r>
    </w:p>
    <w:p>
      <w:pPr>
        <w:pStyle w:val="TextBody"/>
        <w:bidi w:val="0"/>
        <w:spacing w:before="0" w:after="0"/>
        <w:ind w:left="0" w:right="0" w:hanging="0"/>
        <w:jc w:val="left"/>
        <w:rPr/>
      </w:pPr>
      <w:r>
        <w:rPr/>
        <w:t>​</w:t>
      </w:r>
    </w:p>
    <w:tbl>
      <w:tblPr>
        <w:tblW w:w="8308" w:type="dxa"/>
        <w:jc w:val="left"/>
        <w:tblInd w:w="0" w:type="dxa"/>
        <w:tblLayout w:type="fixed"/>
        <w:tblCellMar>
          <w:top w:w="0" w:type="dxa"/>
          <w:left w:w="0" w:type="dxa"/>
          <w:bottom w:w="0" w:type="dxa"/>
          <w:right w:w="0" w:type="dxa"/>
        </w:tblCellMar>
      </w:tblPr>
      <w:tblGrid>
        <w:gridCol w:w="23"/>
        <w:gridCol w:w="170"/>
        <w:gridCol w:w="8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 stock</w:t>
            </w:r>
            <w:r>
              <w:rPr>
                <w:caps w:val="false"/>
                <w:smallCaps w:val="false"/>
                <w:spacing w:val="1"/>
              </w:rPr>
              <w:t xml:space="preserve"> </w:t>
            </w:r>
            <w:r>
              <w:rPr>
                <w:rFonts w:ascii="Times New Roman;Times;serif" w:hAnsi="Times New Roman;Times;serif"/>
                <w:b w:val="false"/>
                <w:i w:val="false"/>
                <w:caps w:val="false"/>
                <w:smallCaps w:val="false"/>
                <w:sz w:val="24"/>
              </w:rPr>
              <w:t>option</w:t>
            </w:r>
            <w:r>
              <w:rPr>
                <w:caps w:val="false"/>
                <w:smallCaps w:val="false"/>
                <w:spacing w:val="1"/>
              </w:rPr>
              <w:t xml:space="preserve"> </w:t>
            </w:r>
            <w:r>
              <w:rPr>
                <w:rFonts w:ascii="Times New Roman;Times;serif" w:hAnsi="Times New Roman;Times;serif"/>
                <w:b w:val="false"/>
                <w:i w:val="false"/>
                <w:caps w:val="false"/>
                <w:smallCaps w:val="false"/>
                <w:sz w:val="24"/>
              </w:rPr>
              <w:t>to</w:t>
            </w:r>
            <w:r>
              <w:rPr>
                <w:caps w:val="false"/>
                <w:smallCaps w:val="false"/>
                <w:spacing w:val="1"/>
              </w:rPr>
              <w:t xml:space="preserve"> </w:t>
            </w:r>
            <w:r>
              <w:rPr>
                <w:rFonts w:ascii="Times New Roman;Times;serif" w:hAnsi="Times New Roman;Times;serif"/>
                <w:b w:val="false"/>
                <w:i w:val="false"/>
                <w:caps w:val="false"/>
                <w:smallCaps w:val="false"/>
                <w:sz w:val="24"/>
              </w:rPr>
              <w:t>purchase</w:t>
            </w:r>
            <w:r>
              <w:rPr>
                <w:caps w:val="false"/>
                <w:smallCaps w:val="false"/>
                <w:spacing w:val="1"/>
              </w:rPr>
              <w:t xml:space="preserve"> </w:t>
            </w:r>
            <w:r>
              <w:rPr>
                <w:rFonts w:ascii="Times New Roman;Times;serif" w:hAnsi="Times New Roman;Times;serif"/>
                <w:b w:val="false"/>
                <w:i w:val="false"/>
                <w:caps w:val="false"/>
                <w:smallCaps w:val="false"/>
                <w:sz w:val="24"/>
              </w:rPr>
              <w:t>a number</w:t>
            </w:r>
            <w:r>
              <w:rPr>
                <w:caps w:val="false"/>
                <w:smallCaps w:val="false"/>
                <w:spacing w:val="1"/>
              </w:rPr>
              <w:t xml:space="preserve"> </w:t>
            </w:r>
            <w:r>
              <w:rPr>
                <w:rFonts w:ascii="Times New Roman;Times;serif" w:hAnsi="Times New Roman;Times;serif"/>
                <w:b w:val="false"/>
                <w:i w:val="false"/>
                <w:caps w:val="false"/>
                <w:smallCaps w:val="false"/>
                <w:sz w:val="24"/>
              </w:rPr>
              <w:t>of</w:t>
            </w:r>
            <w:r>
              <w:rPr>
                <w:caps w:val="false"/>
                <w:smallCaps w:val="false"/>
                <w:spacing w:val="1"/>
              </w:rPr>
              <w:t xml:space="preserve"> </w:t>
            </w:r>
            <w:r>
              <w:rPr>
                <w:rFonts w:ascii="Times New Roman;Times;serif" w:hAnsi="Times New Roman;Times;serif"/>
                <w:b w:val="false"/>
                <w:i w:val="false"/>
                <w:caps w:val="false"/>
                <w:smallCaps w:val="false"/>
                <w:sz w:val="24"/>
              </w:rPr>
              <w:t>shares</w:t>
            </w:r>
            <w:r>
              <w:rPr>
                <w:caps w:val="false"/>
                <w:smallCaps w:val="false"/>
                <w:spacing w:val="1"/>
              </w:rPr>
              <w:t xml:space="preserve"> </w:t>
            </w:r>
            <w:r>
              <w:rPr>
                <w:rFonts w:ascii="Times New Roman;Times;serif" w:hAnsi="Times New Roman;Times;serif"/>
                <w:b w:val="false"/>
                <w:i w:val="false"/>
                <w:caps w:val="false"/>
                <w:smallCaps w:val="false"/>
                <w:sz w:val="24"/>
              </w:rPr>
              <w:t>of Common Stock equal</w:t>
            </w:r>
            <w:r>
              <w:rPr>
                <w:caps w:val="false"/>
                <w:smallCaps w:val="false"/>
                <w:spacing w:val="1"/>
              </w:rPr>
              <w:t xml:space="preserve"> </w:t>
            </w:r>
            <w:r>
              <w:rPr>
                <w:rFonts w:ascii="Times New Roman;Times;serif" w:hAnsi="Times New Roman;Times;serif"/>
                <w:b w:val="false"/>
                <w:i w:val="false"/>
                <w:caps w:val="false"/>
                <w:smallCaps w:val="false"/>
                <w:sz w:val="24"/>
              </w:rPr>
              <w:t>to the</w:t>
            </w:r>
            <w:r>
              <w:rPr>
                <w:caps w:val="false"/>
                <w:smallCaps w:val="false"/>
                <w:spacing w:val="1"/>
              </w:rPr>
              <w:t xml:space="preserve"> </w:t>
            </w:r>
            <w:r>
              <w:rPr>
                <w:rFonts w:ascii="Times New Roman;Times;serif" w:hAnsi="Times New Roman;Times;serif"/>
                <w:b w:val="false"/>
                <w:i w:val="false"/>
                <w:caps w:val="false"/>
                <w:smallCaps w:val="false"/>
                <w:sz w:val="24"/>
              </w:rPr>
              <w:t>lesser</w:t>
            </w:r>
            <w:r>
              <w:rPr>
                <w:caps w:val="false"/>
                <w:smallCaps w:val="false"/>
                <w:spacing w:val="1"/>
              </w:rPr>
              <w:t xml:space="preserve"> </w:t>
            </w:r>
            <w:r>
              <w:rPr>
                <w:rFonts w:ascii="Times New Roman;Times;serif" w:hAnsi="Times New Roman;Times;serif"/>
                <w:b w:val="false"/>
                <w:i w:val="false"/>
                <w:caps w:val="false"/>
                <w:smallCaps w:val="false"/>
                <w:spacing w:val="-5"/>
                <w:sz w:val="24"/>
              </w:rPr>
              <w:t>of</w:t>
            </w:r>
          </w:p>
        </w:tc>
      </w:tr>
    </w:tbl>
    <w:p>
      <w:pPr>
        <w:pStyle w:val="TextBody"/>
        <w:bidi w:val="0"/>
        <w:spacing w:before="1" w:after="0"/>
        <w:ind w:left="1079" w:right="358"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1"/>
          <w:sz w:val="24"/>
        </w:rPr>
        <w:t xml:space="preserve"> </w:t>
      </w:r>
      <w:r>
        <w:rPr>
          <w:rFonts w:ascii="Times New Roman;Times;serif" w:hAnsi="Times New Roman;Times;serif"/>
          <w:sz w:val="24"/>
        </w:rPr>
        <w:t>number of shares</w:t>
      </w:r>
      <w:r>
        <w:rPr>
          <w:rFonts w:ascii="Times New Roman;Times;serif" w:hAnsi="Times New Roman;Times;serif"/>
          <w:spacing w:val="-2"/>
          <w:sz w:val="24"/>
        </w:rPr>
        <w:t xml:space="preserve"> </w:t>
      </w:r>
      <w:r>
        <w:rPr>
          <w:rFonts w:ascii="Times New Roman;Times;serif" w:hAnsi="Times New Roman;Times;serif"/>
          <w:sz w:val="24"/>
        </w:rPr>
        <w:t>that</w:t>
      </w:r>
      <w:r>
        <w:rPr>
          <w:rFonts w:ascii="Times New Roman;Times;serif" w:hAnsi="Times New Roman;Times;serif"/>
          <w:spacing w:val="-1"/>
          <w:sz w:val="24"/>
        </w:rPr>
        <w:t xml:space="preserve"> </w:t>
      </w:r>
      <w:r>
        <w:rPr>
          <w:rFonts w:ascii="Times New Roman;Times;serif" w:hAnsi="Times New Roman;Times;serif"/>
          <w:sz w:val="24"/>
        </w:rPr>
        <w:t>results</w:t>
      </w:r>
      <w:r>
        <w:rPr>
          <w:rFonts w:ascii="Times New Roman;Times;serif" w:hAnsi="Times New Roman;Times;serif"/>
          <w:spacing w:val="-1"/>
          <w:sz w:val="24"/>
        </w:rPr>
        <w:t xml:space="preserve"> </w:t>
      </w:r>
      <w:r>
        <w:rPr>
          <w:rFonts w:ascii="Times New Roman;Times;serif" w:hAnsi="Times New Roman;Times;serif"/>
          <w:sz w:val="24"/>
        </w:rPr>
        <w:t>in such</w:t>
      </w:r>
      <w:r>
        <w:rPr>
          <w:rFonts w:ascii="Times New Roman;Times;serif" w:hAnsi="Times New Roman;Times;serif"/>
          <w:spacing w:val="-1"/>
          <w:sz w:val="24"/>
        </w:rPr>
        <w:t xml:space="preserve"> </w:t>
      </w:r>
      <w:r>
        <w:rPr>
          <w:rFonts w:ascii="Times New Roman;Times;serif" w:hAnsi="Times New Roman;Times;serif"/>
          <w:sz w:val="24"/>
        </w:rPr>
        <w:t>stock</w:t>
      </w:r>
      <w:r>
        <w:rPr>
          <w:rFonts w:ascii="Times New Roman;Times;serif" w:hAnsi="Times New Roman;Times;serif"/>
          <w:spacing w:val="-1"/>
          <w:sz w:val="24"/>
        </w:rPr>
        <w:t xml:space="preserve"> </w:t>
      </w:r>
      <w:r>
        <w:rPr>
          <w:rFonts w:ascii="Times New Roman;Times;serif" w:hAnsi="Times New Roman;Times;serif"/>
          <w:sz w:val="24"/>
        </w:rPr>
        <w:t>option</w:t>
      </w:r>
      <w:r>
        <w:rPr>
          <w:rFonts w:ascii="Times New Roman;Times;serif" w:hAnsi="Times New Roman;Times;serif"/>
          <w:spacing w:val="-1"/>
          <w:sz w:val="24"/>
        </w:rPr>
        <w:t xml:space="preserve"> </w:t>
      </w:r>
      <w:r>
        <w:rPr>
          <w:rFonts w:ascii="Times New Roman;Times;serif" w:hAnsi="Times New Roman;Times;serif"/>
          <w:sz w:val="24"/>
        </w:rPr>
        <w:t>having a grant</w:t>
      </w:r>
      <w:r>
        <w:rPr>
          <w:rFonts w:ascii="Times New Roman;Times;serif" w:hAnsi="Times New Roman;Times;serif"/>
          <w:spacing w:val="-1"/>
          <w:sz w:val="24"/>
        </w:rPr>
        <w:t xml:space="preserve"> </w:t>
      </w:r>
      <w:r>
        <w:rPr>
          <w:rFonts w:ascii="Times New Roman;Times;serif" w:hAnsi="Times New Roman;Times;serif"/>
          <w:sz w:val="24"/>
        </w:rPr>
        <w:t>date</w:t>
      </w:r>
      <w:r>
        <w:rPr>
          <w:rFonts w:ascii="Times New Roman;Times;serif" w:hAnsi="Times New Roman;Times;serif"/>
          <w:spacing w:val="-1"/>
          <w:sz w:val="24"/>
        </w:rPr>
        <w:t xml:space="preserve"> </w:t>
      </w:r>
      <w:r>
        <w:rPr>
          <w:rFonts w:ascii="Times New Roman;Times;serif" w:hAnsi="Times New Roman;Times;serif"/>
          <w:sz w:val="24"/>
        </w:rPr>
        <w:t>fair value of</w:t>
      </w:r>
      <w:r>
        <w:rPr>
          <w:rFonts w:ascii="Times New Roman;Times;serif" w:hAnsi="Times New Roman;Times;serif"/>
          <w:spacing w:val="80"/>
          <w:sz w:val="24"/>
        </w:rPr>
        <w:t xml:space="preserve"> </w:t>
      </w:r>
      <w:r>
        <w:rPr>
          <w:rFonts w:ascii="Times New Roman;Times;serif" w:hAnsi="Times New Roman;Times;serif"/>
          <w:sz w:val="24"/>
        </w:rPr>
        <w:t>$300,000,</w:t>
      </w:r>
      <w:r>
        <w:rPr>
          <w:rFonts w:ascii="Times New Roman;Times;serif" w:hAnsi="Times New Roman;Times;serif"/>
          <w:spacing w:val="80"/>
          <w:sz w:val="24"/>
        </w:rPr>
        <w:t xml:space="preserve"> </w:t>
      </w:r>
      <w:r>
        <w:rPr>
          <w:rFonts w:ascii="Times New Roman;Times;serif" w:hAnsi="Times New Roman;Times;serif"/>
          <w:sz w:val="24"/>
        </w:rPr>
        <w:t>rounded</w:t>
      </w:r>
      <w:r>
        <w:rPr>
          <w:rFonts w:ascii="Times New Roman;Times;serif" w:hAnsi="Times New Roman;Times;serif"/>
          <w:spacing w:val="80"/>
          <w:sz w:val="24"/>
        </w:rPr>
        <w:t xml:space="preserve"> </w:t>
      </w:r>
      <w:r>
        <w:rPr>
          <w:rFonts w:ascii="Times New Roman;Times;serif" w:hAnsi="Times New Roman;Times;serif"/>
          <w:sz w:val="24"/>
        </w:rPr>
        <w:t>down</w:t>
      </w:r>
      <w:r>
        <w:rPr>
          <w:rFonts w:ascii="Times New Roman;Times;serif" w:hAnsi="Times New Roman;Times;serif"/>
          <w:spacing w:val="80"/>
          <w:sz w:val="24"/>
        </w:rPr>
        <w:t xml:space="preserve"> </w:t>
      </w:r>
      <w:r>
        <w:rPr>
          <w:rFonts w:ascii="Times New Roman;Times;serif" w:hAnsi="Times New Roman;Times;serif"/>
          <w:sz w:val="24"/>
        </w:rPr>
        <w:t>to</w:t>
      </w:r>
      <w:r>
        <w:rPr>
          <w:rFonts w:ascii="Times New Roman;Times;serif" w:hAnsi="Times New Roman;Times;serif"/>
          <w:spacing w:val="80"/>
          <w:sz w:val="24"/>
        </w:rPr>
        <w:t xml:space="preserve"> </w:t>
      </w:r>
      <w:r>
        <w:rPr>
          <w:rFonts w:ascii="Times New Roman;Times;serif" w:hAnsi="Times New Roman;Times;serif"/>
          <w:sz w:val="24"/>
        </w:rPr>
        <w:t>the</w:t>
      </w:r>
      <w:r>
        <w:rPr>
          <w:rFonts w:ascii="Times New Roman;Times;serif" w:hAnsi="Times New Roman;Times;serif"/>
          <w:spacing w:val="80"/>
          <w:sz w:val="24"/>
        </w:rPr>
        <w:t xml:space="preserve"> </w:t>
      </w:r>
      <w:r>
        <w:rPr>
          <w:rFonts w:ascii="Times New Roman;Times;serif" w:hAnsi="Times New Roman;Times;serif"/>
          <w:sz w:val="24"/>
        </w:rPr>
        <w:t>nearest</w:t>
      </w:r>
      <w:r>
        <w:rPr>
          <w:rFonts w:ascii="Times New Roman;Times;serif" w:hAnsi="Times New Roman;Times;serif"/>
          <w:spacing w:val="80"/>
          <w:sz w:val="24"/>
        </w:rPr>
        <w:t xml:space="preserve"> </w:t>
      </w:r>
      <w:r>
        <w:rPr>
          <w:rFonts w:ascii="Times New Roman;Times;serif" w:hAnsi="Times New Roman;Times;serif"/>
          <w:sz w:val="24"/>
        </w:rPr>
        <w:t>whole</w:t>
      </w:r>
      <w:r>
        <w:rPr>
          <w:rFonts w:ascii="Times New Roman;Times;serif" w:hAnsi="Times New Roman;Times;serif"/>
          <w:spacing w:val="80"/>
          <w:sz w:val="24"/>
        </w:rPr>
        <w:t xml:space="preserve"> </w:t>
      </w:r>
      <w:r>
        <w:rPr>
          <w:rFonts w:ascii="Times New Roman;Times;serif" w:hAnsi="Times New Roman;Times;serif"/>
          <w:sz w:val="24"/>
        </w:rPr>
        <w:t>share,</w:t>
      </w:r>
      <w:r>
        <w:rPr>
          <w:rFonts w:ascii="Times New Roman;Times;serif" w:hAnsi="Times New Roman;Times;serif"/>
          <w:spacing w:val="80"/>
          <w:sz w:val="24"/>
        </w:rPr>
        <w:t xml:space="preserve"> </w:t>
      </w:r>
      <w:r>
        <w:rPr>
          <w:rFonts w:ascii="Times New Roman;Times;serif" w:hAnsi="Times New Roman;Times;serif"/>
          <w:sz w:val="24"/>
        </w:rPr>
        <w:t>or</w:t>
      </w:r>
      <w:r>
        <w:rPr>
          <w:rFonts w:ascii="Times New Roman;Times;serif" w:hAnsi="Times New Roman;Times;serif"/>
          <w:spacing w:val="80"/>
          <w:sz w:val="24"/>
        </w:rPr>
        <w:t xml:space="preserve"> </w:t>
      </w:r>
      <w:r>
        <w:rPr>
          <w:rFonts w:ascii="Times New Roman;Times;serif" w:hAnsi="Times New Roman;Times;serif"/>
          <w:sz w:val="24"/>
        </w:rPr>
        <w:t>(ii)</w:t>
      </w:r>
      <w:r>
        <w:rPr>
          <w:rFonts w:ascii="Times New Roman;Times;serif" w:hAnsi="Times New Roman;Times;serif"/>
          <w:spacing w:val="80"/>
          <w:sz w:val="24"/>
        </w:rPr>
        <w:t xml:space="preserve"> </w:t>
      </w:r>
      <w:r>
        <w:rPr>
          <w:rFonts w:ascii="Times New Roman;Times;serif" w:hAnsi="Times New Roman;Times;serif"/>
          <w:sz w:val="24"/>
        </w:rPr>
        <w:t>40,500</w:t>
      </w:r>
      <w:r>
        <w:rPr>
          <w:rFonts w:ascii="Times New Roman;Times;serif" w:hAnsi="Times New Roman;Times;serif"/>
          <w:spacing w:val="80"/>
          <w:sz w:val="24"/>
        </w:rPr>
        <w:t xml:space="preserve"> </w:t>
      </w:r>
      <w:r>
        <w:rPr>
          <w:rFonts w:ascii="Times New Roman;Times;serif" w:hAnsi="Times New Roman;Times;serif"/>
          <w:sz w:val="24"/>
        </w:rPr>
        <w:t>shares (the “</w:t>
      </w:r>
      <w:r>
        <w:rPr>
          <w:rFonts w:ascii="Times New Roman;Times;serif" w:hAnsi="Times New Roman;Times;serif"/>
          <w:b/>
          <w:i/>
          <w:sz w:val="24"/>
        </w:rPr>
        <w:t>Annual Option Grant</w:t>
      </w:r>
      <w:r>
        <w:rPr>
          <w:rFonts w:ascii="Times New Roman;Times;serif" w:hAnsi="Times New Roman;Times;serif"/>
          <w:sz w:val="24"/>
        </w:rPr>
        <w:t>”); and</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 restricted stock unit award covering a number of shares of Common Stock equal to the</w:t>
            </w:r>
            <w:r>
              <w:rPr>
                <w:caps w:val="false"/>
                <w:smallCaps w:val="false"/>
                <w:spacing w:val="-3"/>
              </w:rPr>
              <w:t xml:space="preserve"> </w:t>
            </w:r>
            <w:r>
              <w:rPr>
                <w:rFonts w:ascii="Times New Roman;Times;serif" w:hAnsi="Times New Roman;Times;serif"/>
                <w:b w:val="false"/>
                <w:i w:val="false"/>
                <w:caps w:val="false"/>
                <w:smallCaps w:val="false"/>
                <w:sz w:val="24"/>
              </w:rPr>
              <w:t>lesser</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(i)</w:t>
            </w:r>
            <w:r>
              <w:rPr>
                <w:caps w:val="false"/>
                <w:smallCaps w:val="false"/>
                <w:spacing w:val="-4"/>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number</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shares</w:t>
            </w:r>
            <w:r>
              <w:rPr>
                <w:caps w:val="false"/>
                <w:smallCaps w:val="false"/>
                <w:spacing w:val="-5"/>
              </w:rPr>
              <w:t xml:space="preserve"> </w:t>
            </w:r>
            <w:r>
              <w:rPr>
                <w:rFonts w:ascii="Times New Roman;Times;serif" w:hAnsi="Times New Roman;Times;serif"/>
                <w:b w:val="false"/>
                <w:i w:val="false"/>
                <w:caps w:val="false"/>
                <w:smallCaps w:val="false"/>
                <w:sz w:val="24"/>
              </w:rPr>
              <w:t>that</w:t>
            </w:r>
            <w:r>
              <w:rPr>
                <w:caps w:val="false"/>
                <w:smallCaps w:val="false"/>
                <w:spacing w:val="-3"/>
              </w:rPr>
              <w:t xml:space="preserve"> </w:t>
            </w:r>
            <w:r>
              <w:rPr>
                <w:rFonts w:ascii="Times New Roman;Times;serif" w:hAnsi="Times New Roman;Times;serif"/>
                <w:b w:val="false"/>
                <w:i w:val="false"/>
                <w:caps w:val="false"/>
                <w:smallCaps w:val="false"/>
                <w:sz w:val="24"/>
              </w:rPr>
              <w:t>results</w:t>
            </w:r>
            <w:r>
              <w:rPr>
                <w:caps w:val="false"/>
                <w:smallCaps w:val="false"/>
                <w:spacing w:val="-3"/>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such</w:t>
            </w:r>
            <w:r>
              <w:rPr>
                <w:caps w:val="false"/>
                <w:smallCaps w:val="false"/>
                <w:spacing w:val="-4"/>
              </w:rPr>
              <w:t xml:space="preserve"> </w:t>
            </w:r>
            <w:r>
              <w:rPr>
                <w:rFonts w:ascii="Times New Roman;Times;serif" w:hAnsi="Times New Roman;Times;serif"/>
                <w:b w:val="false"/>
                <w:i w:val="false"/>
                <w:caps w:val="false"/>
                <w:smallCaps w:val="false"/>
                <w:sz w:val="24"/>
              </w:rPr>
              <w:t>award</w:t>
            </w:r>
            <w:r>
              <w:rPr>
                <w:caps w:val="false"/>
                <w:smallCaps w:val="false"/>
                <w:spacing w:val="-4"/>
              </w:rPr>
              <w:t xml:space="preserve"> </w:t>
            </w:r>
            <w:r>
              <w:rPr>
                <w:rFonts w:ascii="Times New Roman;Times;serif" w:hAnsi="Times New Roman;Times;serif"/>
                <w:b w:val="false"/>
                <w:i w:val="false"/>
                <w:caps w:val="false"/>
                <w:smallCaps w:val="false"/>
                <w:sz w:val="24"/>
              </w:rPr>
              <w:t>having</w:t>
            </w:r>
            <w:r>
              <w:rPr>
                <w:caps w:val="false"/>
                <w:smallCaps w:val="false"/>
                <w:spacing w:val="-4"/>
              </w:rPr>
              <w:t xml:space="preserve"> </w:t>
            </w:r>
            <w:r>
              <w:rPr>
                <w:rFonts w:ascii="Times New Roman;Times;serif" w:hAnsi="Times New Roman;Times;serif"/>
                <w:b w:val="false"/>
                <w:i w:val="false"/>
                <w:caps w:val="false"/>
                <w:smallCaps w:val="false"/>
                <w:sz w:val="24"/>
              </w:rPr>
              <w:t>a</w:t>
            </w:r>
            <w:r>
              <w:rPr>
                <w:caps w:val="false"/>
                <w:smallCaps w:val="false"/>
                <w:spacing w:val="-3"/>
              </w:rPr>
              <w:t xml:space="preserve"> </w:t>
            </w:r>
            <w:r>
              <w:rPr>
                <w:rFonts w:ascii="Times New Roman;Times;serif" w:hAnsi="Times New Roman;Times;serif"/>
                <w:b w:val="false"/>
                <w:i w:val="false"/>
                <w:caps w:val="false"/>
                <w:smallCaps w:val="false"/>
                <w:sz w:val="24"/>
              </w:rPr>
              <w:t>grant</w:t>
            </w:r>
            <w:r>
              <w:rPr>
                <w:caps w:val="false"/>
                <w:smallCaps w:val="false"/>
                <w:spacing w:val="-3"/>
              </w:rPr>
              <w:t xml:space="preserve"> </w:t>
            </w:r>
            <w:r>
              <w:rPr>
                <w:rFonts w:ascii="Times New Roman;Times;serif" w:hAnsi="Times New Roman;Times;serif"/>
                <w:b w:val="false"/>
                <w:i w:val="false"/>
                <w:caps w:val="false"/>
                <w:smallCaps w:val="false"/>
                <w:sz w:val="24"/>
              </w:rPr>
              <w:t>date</w:t>
            </w:r>
            <w:r>
              <w:rPr>
                <w:caps w:val="false"/>
                <w:smallCaps w:val="false"/>
                <w:spacing w:val="-3"/>
              </w:rPr>
              <w:t xml:space="preserve"> </w:t>
            </w:r>
            <w:r>
              <w:rPr>
                <w:rFonts w:ascii="Times New Roman;Times;serif" w:hAnsi="Times New Roman;Times;serif"/>
                <w:b w:val="false"/>
                <w:i w:val="false"/>
                <w:caps w:val="false"/>
                <w:smallCaps w:val="false"/>
                <w:sz w:val="24"/>
              </w:rPr>
              <w:t>fair value</w:t>
            </w:r>
            <w:r>
              <w:rPr>
                <w:caps w:val="false"/>
                <w:smallCaps w:val="false"/>
                <w:spacing w:val="40"/>
              </w:rPr>
              <w:t xml:space="preserve"> </w:t>
            </w:r>
            <w:r>
              <w:rPr>
                <w:rFonts w:ascii="Times New Roman;Times;serif" w:hAnsi="Times New Roman;Times;serif"/>
                <w:b w:val="false"/>
                <w:i w:val="false"/>
                <w:caps w:val="false"/>
                <w:smallCaps w:val="false"/>
                <w:sz w:val="24"/>
              </w:rPr>
              <w:t>of</w:t>
            </w:r>
            <w:r>
              <w:rPr>
                <w:caps w:val="false"/>
                <w:smallCaps w:val="false"/>
                <w:spacing w:val="40"/>
              </w:rPr>
              <w:t xml:space="preserve"> </w:t>
            </w:r>
            <w:r>
              <w:rPr>
                <w:rFonts w:ascii="Times New Roman;Times;serif" w:hAnsi="Times New Roman;Times;serif"/>
                <w:b w:val="false"/>
                <w:i w:val="false"/>
                <w:caps w:val="false"/>
                <w:smallCaps w:val="false"/>
                <w:sz w:val="24"/>
              </w:rPr>
              <w:t>$100,000,</w:t>
            </w:r>
            <w:r>
              <w:rPr>
                <w:caps w:val="false"/>
                <w:smallCaps w:val="false"/>
                <w:spacing w:val="40"/>
              </w:rPr>
              <w:t xml:space="preserve"> </w:t>
            </w:r>
            <w:r>
              <w:rPr>
                <w:rFonts w:ascii="Times New Roman;Times;serif" w:hAnsi="Times New Roman;Times;serif"/>
                <w:b w:val="false"/>
                <w:i w:val="false"/>
                <w:caps w:val="false"/>
                <w:smallCaps w:val="false"/>
                <w:sz w:val="24"/>
              </w:rPr>
              <w:t>rounded</w:t>
            </w:r>
            <w:r>
              <w:rPr>
                <w:caps w:val="false"/>
                <w:smallCaps w:val="false"/>
                <w:spacing w:val="40"/>
              </w:rPr>
              <w:t xml:space="preserve"> </w:t>
            </w:r>
            <w:r>
              <w:rPr>
                <w:rFonts w:ascii="Times New Roman;Times;serif" w:hAnsi="Times New Roman;Times;serif"/>
                <w:b w:val="false"/>
                <w:i w:val="false"/>
                <w:caps w:val="false"/>
                <w:smallCaps w:val="false"/>
                <w:sz w:val="24"/>
              </w:rPr>
              <w:t>down</w:t>
            </w:r>
            <w:r>
              <w:rPr>
                <w:caps w:val="false"/>
                <w:smallCaps w:val="false"/>
                <w:spacing w:val="39"/>
              </w:rPr>
              <w:t xml:space="preserve"> </w:t>
            </w:r>
            <w:r>
              <w:rPr>
                <w:rFonts w:ascii="Times New Roman;Times;serif" w:hAnsi="Times New Roman;Times;serif"/>
                <w:b w:val="false"/>
                <w:i w:val="false"/>
                <w:caps w:val="false"/>
                <w:smallCaps w:val="false"/>
                <w:sz w:val="24"/>
              </w:rPr>
              <w:t>to</w:t>
            </w:r>
            <w:r>
              <w:rPr>
                <w:caps w:val="false"/>
                <w:smallCaps w:val="false"/>
                <w:spacing w:val="40"/>
              </w:rPr>
              <w:t xml:space="preserve"> </w:t>
            </w:r>
            <w:r>
              <w:rPr>
                <w:rFonts w:ascii="Times New Roman;Times;serif" w:hAnsi="Times New Roman;Times;serif"/>
                <w:b w:val="false"/>
                <w:i w:val="false"/>
                <w:caps w:val="false"/>
                <w:smallCaps w:val="false"/>
                <w:sz w:val="24"/>
              </w:rPr>
              <w:t>the</w:t>
            </w:r>
            <w:r>
              <w:rPr>
                <w:caps w:val="false"/>
                <w:smallCaps w:val="false"/>
                <w:spacing w:val="40"/>
              </w:rPr>
              <w:t xml:space="preserve"> </w:t>
            </w:r>
            <w:r>
              <w:rPr>
                <w:rFonts w:ascii="Times New Roman;Times;serif" w:hAnsi="Times New Roman;Times;serif"/>
                <w:b w:val="false"/>
                <w:i w:val="false"/>
                <w:caps w:val="false"/>
                <w:smallCaps w:val="false"/>
                <w:sz w:val="24"/>
              </w:rPr>
              <w:t>nearest</w:t>
            </w:r>
            <w:r>
              <w:rPr>
                <w:caps w:val="false"/>
                <w:smallCaps w:val="false"/>
                <w:spacing w:val="40"/>
              </w:rPr>
              <w:t xml:space="preserve"> </w:t>
            </w:r>
            <w:r>
              <w:rPr>
                <w:rFonts w:ascii="Times New Roman;Times;serif" w:hAnsi="Times New Roman;Times;serif"/>
                <w:b w:val="false"/>
                <w:i w:val="false"/>
                <w:caps w:val="false"/>
                <w:smallCaps w:val="false"/>
                <w:sz w:val="24"/>
              </w:rPr>
              <w:t>whole</w:t>
            </w:r>
            <w:r>
              <w:rPr>
                <w:caps w:val="false"/>
                <w:smallCaps w:val="false"/>
                <w:spacing w:val="39"/>
              </w:rPr>
              <w:t xml:space="preserve"> </w:t>
            </w:r>
            <w:r>
              <w:rPr>
                <w:rFonts w:ascii="Times New Roman;Times;serif" w:hAnsi="Times New Roman;Times;serif"/>
                <w:b w:val="false"/>
                <w:i w:val="false"/>
                <w:caps w:val="false"/>
                <w:smallCaps w:val="false"/>
                <w:sz w:val="24"/>
              </w:rPr>
              <w:t>share,</w:t>
            </w:r>
            <w:r>
              <w:rPr>
                <w:caps w:val="false"/>
                <w:smallCaps w:val="false"/>
                <w:spacing w:val="40"/>
              </w:rPr>
              <w:t xml:space="preserve"> </w:t>
            </w:r>
            <w:r>
              <w:rPr>
                <w:rFonts w:ascii="Times New Roman;Times;serif" w:hAnsi="Times New Roman;Times;serif"/>
                <w:b w:val="false"/>
                <w:i w:val="false"/>
                <w:caps w:val="false"/>
                <w:smallCaps w:val="false"/>
                <w:sz w:val="24"/>
              </w:rPr>
              <w:t>or</w:t>
            </w:r>
            <w:r>
              <w:rPr>
                <w:caps w:val="false"/>
                <w:smallCaps w:val="false"/>
                <w:spacing w:val="40"/>
              </w:rPr>
              <w:t xml:space="preserve"> </w:t>
            </w:r>
            <w:r>
              <w:rPr>
                <w:rFonts w:ascii="Times New Roman;Times;serif" w:hAnsi="Times New Roman;Times;serif"/>
                <w:b w:val="false"/>
                <w:i w:val="false"/>
                <w:caps w:val="false"/>
                <w:smallCaps w:val="false"/>
                <w:sz w:val="24"/>
              </w:rPr>
              <w:t>(ii)</w:t>
            </w:r>
            <w:r>
              <w:rPr>
                <w:caps w:val="false"/>
                <w:smallCaps w:val="false"/>
                <w:spacing w:val="39"/>
              </w:rPr>
              <w:t xml:space="preserve"> </w:t>
            </w:r>
            <w:r>
              <w:rPr>
                <w:rFonts w:ascii="Times New Roman;Times;serif" w:hAnsi="Times New Roman;Times;serif"/>
                <w:b w:val="false"/>
                <w:i w:val="false"/>
                <w:caps w:val="false"/>
                <w:smallCaps w:val="false"/>
                <w:sz w:val="24"/>
              </w:rPr>
              <w:t>9,000</w:t>
            </w:r>
            <w:r>
              <w:rPr>
                <w:caps w:val="false"/>
                <w:smallCaps w:val="false"/>
                <w:spacing w:val="40"/>
              </w:rPr>
              <w:t xml:space="preserve"> </w:t>
            </w:r>
            <w:r>
              <w:rPr>
                <w:rFonts w:ascii="Times New Roman;Times;serif" w:hAnsi="Times New Roman;Times;serif"/>
                <w:b w:val="false"/>
                <w:i w:val="false"/>
                <w:caps w:val="false"/>
                <w:smallCaps w:val="false"/>
                <w:sz w:val="24"/>
              </w:rPr>
              <w:t>shares (the “</w:t>
            </w:r>
            <w:r>
              <w:rPr>
                <w:rFonts w:ascii="Times New Roman;Times;serif" w:hAnsi="Times New Roman;Times;serif"/>
                <w:b/>
                <w:i/>
                <w:sz w:val="24"/>
              </w:rPr>
              <w:t>Annual RSU Grant</w:t>
            </w:r>
            <w:r>
              <w:rPr>
                <w:caps w:val="false"/>
                <w:smallCaps w:val="false"/>
              </w:rPr>
              <w:t>”</w:t>
            </w:r>
            <w:r>
              <w:rPr>
                <w:rFonts w:ascii="Times New Roman;Times;serif" w:hAnsi="Times New Roman;Times;serif"/>
                <w:b w:val="false"/>
                <w:i w:val="false"/>
                <w:caps w:val="false"/>
                <w:smallCaps w:val="false"/>
                <w:sz w:val="24"/>
              </w:rPr>
              <w: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356" w:hanging="0"/>
        <w:jc w:val="both"/>
        <w:rPr>
          <w:rFonts w:ascii="Times New Roman;Times;serif" w:hAnsi="Times New Roman;Times;serif"/>
          <w:sz w:val="24"/>
        </w:rPr>
      </w:pPr>
      <w:r>
        <w:rPr>
          <w:rFonts w:ascii="Times New Roman;Times;serif" w:hAnsi="Times New Roman;Times;serif"/>
          <w:sz w:val="24"/>
        </w:rPr>
        <w:t>The shares subject to each Annual Grant will vest in full on the first anniversary of the date of grant, subject to the Eligible Director’s Continuous Service through such vesting date; provided, that the Annual Grant will in any case be fully vested on the date of Company’s next annual stockholder meeting, subject to the Eligible Director’s Continuous Service through such vesting date; provided, further, that the Annual Grant will vest in full upon a Change in Control, subject to the Eligible Director’s Continuous Service through such date. With respect to an Eligible Director who, following the Effective Date, was first elected or appointed to the Board on a date other</w:t>
      </w:r>
      <w:r>
        <w:rPr>
          <w:rFonts w:ascii="Times New Roman;Times;serif" w:hAnsi="Times New Roman;Times;serif"/>
          <w:spacing w:val="-15"/>
          <w:sz w:val="24"/>
        </w:rPr>
        <w:t xml:space="preserve"> </w:t>
      </w:r>
      <w:r>
        <w:rPr>
          <w:rFonts w:ascii="Times New Roman;Times;serif" w:hAnsi="Times New Roman;Times;serif"/>
          <w:sz w:val="24"/>
        </w:rPr>
        <w:t>than</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date</w:t>
      </w:r>
      <w:r>
        <w:rPr>
          <w:rFonts w:ascii="Times New Roman;Times;serif" w:hAnsi="Times New Roman;Times;serif"/>
          <w:spacing w:val="-15"/>
          <w:sz w:val="24"/>
        </w:rPr>
        <w:t xml:space="preserve"> </w:t>
      </w:r>
      <w:r>
        <w:rPr>
          <w:rFonts w:ascii="Times New Roman;Times;serif" w:hAnsi="Times New Roman;Times;serif"/>
          <w:sz w:val="24"/>
        </w:rPr>
        <w:t>of</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Company’s</w:t>
      </w:r>
      <w:r>
        <w:rPr>
          <w:rFonts w:ascii="Times New Roman;Times;serif" w:hAnsi="Times New Roman;Times;serif"/>
          <w:spacing w:val="-15"/>
          <w:sz w:val="24"/>
        </w:rPr>
        <w:t xml:space="preserve"> </w:t>
      </w:r>
      <w:r>
        <w:rPr>
          <w:rFonts w:ascii="Times New Roman;Times;serif" w:hAnsi="Times New Roman;Times;serif"/>
          <w:sz w:val="24"/>
        </w:rPr>
        <w:t>annual</w:t>
      </w:r>
      <w:r>
        <w:rPr>
          <w:rFonts w:ascii="Times New Roman;Times;serif" w:hAnsi="Times New Roman;Times;serif"/>
          <w:spacing w:val="-15"/>
          <w:sz w:val="24"/>
        </w:rPr>
        <w:t xml:space="preserve"> </w:t>
      </w:r>
      <w:r>
        <w:rPr>
          <w:rFonts w:ascii="Times New Roman;Times;serif" w:hAnsi="Times New Roman;Times;serif"/>
          <w:sz w:val="24"/>
        </w:rPr>
        <w:t>stockholder</w:t>
      </w:r>
      <w:r>
        <w:rPr>
          <w:rFonts w:ascii="Times New Roman;Times;serif" w:hAnsi="Times New Roman;Times;serif"/>
          <w:spacing w:val="-15"/>
          <w:sz w:val="24"/>
        </w:rPr>
        <w:t xml:space="preserve"> </w:t>
      </w:r>
      <w:r>
        <w:rPr>
          <w:rFonts w:ascii="Times New Roman;Times;serif" w:hAnsi="Times New Roman;Times;serif"/>
          <w:sz w:val="24"/>
        </w:rPr>
        <w:t>meeting,</w:t>
      </w:r>
      <w:r>
        <w:rPr>
          <w:rFonts w:ascii="Times New Roman;Times;serif" w:hAnsi="Times New Roman;Times;serif"/>
          <w:spacing w:val="-15"/>
          <w:sz w:val="24"/>
        </w:rPr>
        <w:t xml:space="preserve"> </w:t>
      </w:r>
      <w:r>
        <w:rPr>
          <w:rFonts w:ascii="Times New Roman;Times;serif" w:hAnsi="Times New Roman;Times;serif"/>
          <w:sz w:val="24"/>
        </w:rPr>
        <w:t>upon</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Company’s</w:t>
      </w:r>
      <w:r>
        <w:rPr>
          <w:rFonts w:ascii="Times New Roman;Times;serif" w:hAnsi="Times New Roman;Times;serif"/>
          <w:spacing w:val="-15"/>
          <w:sz w:val="24"/>
        </w:rPr>
        <w:t xml:space="preserve"> </w:t>
      </w:r>
      <w:r>
        <w:rPr>
          <w:rFonts w:ascii="Times New Roman;Times;serif" w:hAnsi="Times New Roman;Times;serif"/>
          <w:sz w:val="24"/>
        </w:rPr>
        <w:t>first</w:t>
      </w:r>
      <w:r>
        <w:rPr>
          <w:rFonts w:ascii="Times New Roman;Times;serif" w:hAnsi="Times New Roman;Times;serif"/>
          <w:spacing w:val="-15"/>
          <w:sz w:val="24"/>
        </w:rPr>
        <w:t xml:space="preserve"> </w:t>
      </w:r>
      <w:r>
        <w:rPr>
          <w:rFonts w:ascii="Times New Roman;Times;serif" w:hAnsi="Times New Roman;Times;serif"/>
          <w:sz w:val="24"/>
        </w:rPr>
        <w:t>annual stockholder meeting following such Eligible Director’s first joining the Board, such Eligible Director’s first Annual Option Grant and first Annual RSU Grant will be pro-rated to reflect the time</w:t>
      </w:r>
      <w:r>
        <w:rPr>
          <w:rFonts w:ascii="Times New Roman;Times;serif" w:hAnsi="Times New Roman;Times;serif"/>
          <w:spacing w:val="-15"/>
          <w:sz w:val="24"/>
        </w:rPr>
        <w:t xml:space="preserve"> </w:t>
      </w:r>
      <w:r>
        <w:rPr>
          <w:rFonts w:ascii="Times New Roman;Times;serif" w:hAnsi="Times New Roman;Times;serif"/>
          <w:sz w:val="24"/>
        </w:rPr>
        <w:t>between</w:t>
      </w:r>
      <w:r>
        <w:rPr>
          <w:rFonts w:ascii="Times New Roman;Times;serif" w:hAnsi="Times New Roman;Times;serif"/>
          <w:spacing w:val="-15"/>
          <w:sz w:val="24"/>
        </w:rPr>
        <w:t xml:space="preserve"> </w:t>
      </w:r>
      <w:r>
        <w:rPr>
          <w:rFonts w:ascii="Times New Roman;Times;serif" w:hAnsi="Times New Roman;Times;serif"/>
          <w:sz w:val="24"/>
        </w:rPr>
        <w:t>such</w:t>
      </w:r>
      <w:r>
        <w:rPr>
          <w:rFonts w:ascii="Times New Roman;Times;serif" w:hAnsi="Times New Roman;Times;serif"/>
          <w:spacing w:val="-15"/>
          <w:sz w:val="24"/>
        </w:rPr>
        <w:t xml:space="preserve"> </w:t>
      </w:r>
      <w:r>
        <w:rPr>
          <w:rFonts w:ascii="Times New Roman;Times;serif" w:hAnsi="Times New Roman;Times;serif"/>
          <w:sz w:val="24"/>
        </w:rPr>
        <w:t>Eligible</w:t>
      </w:r>
      <w:r>
        <w:rPr>
          <w:rFonts w:ascii="Times New Roman;Times;serif" w:hAnsi="Times New Roman;Times;serif"/>
          <w:spacing w:val="-15"/>
          <w:sz w:val="24"/>
        </w:rPr>
        <w:t xml:space="preserve"> </w:t>
      </w:r>
      <w:r>
        <w:rPr>
          <w:rFonts w:ascii="Times New Roman;Times;serif" w:hAnsi="Times New Roman;Times;serif"/>
          <w:sz w:val="24"/>
        </w:rPr>
        <w:t>Director’s</w:t>
      </w:r>
      <w:r>
        <w:rPr>
          <w:rFonts w:ascii="Times New Roman;Times;serif" w:hAnsi="Times New Roman;Times;serif"/>
          <w:spacing w:val="-15"/>
          <w:sz w:val="24"/>
        </w:rPr>
        <w:t xml:space="preserve"> </w:t>
      </w:r>
      <w:r>
        <w:rPr>
          <w:rFonts w:ascii="Times New Roman;Times;serif" w:hAnsi="Times New Roman;Times;serif"/>
          <w:sz w:val="24"/>
        </w:rPr>
        <w:t>election</w:t>
      </w:r>
      <w:r>
        <w:rPr>
          <w:rFonts w:ascii="Times New Roman;Times;serif" w:hAnsi="Times New Roman;Times;serif"/>
          <w:spacing w:val="-15"/>
          <w:sz w:val="24"/>
        </w:rPr>
        <w:t xml:space="preserve"> </w:t>
      </w:r>
      <w:r>
        <w:rPr>
          <w:rFonts w:ascii="Times New Roman;Times;serif" w:hAnsi="Times New Roman;Times;serif"/>
          <w:sz w:val="24"/>
        </w:rPr>
        <w:t>or</w:t>
      </w:r>
      <w:r>
        <w:rPr>
          <w:rFonts w:ascii="Times New Roman;Times;serif" w:hAnsi="Times New Roman;Times;serif"/>
          <w:spacing w:val="-15"/>
          <w:sz w:val="24"/>
        </w:rPr>
        <w:t xml:space="preserve"> </w:t>
      </w:r>
      <w:r>
        <w:rPr>
          <w:rFonts w:ascii="Times New Roman;Times;serif" w:hAnsi="Times New Roman;Times;serif"/>
          <w:sz w:val="24"/>
        </w:rPr>
        <w:t>appointment</w:t>
      </w:r>
      <w:r>
        <w:rPr>
          <w:rFonts w:ascii="Times New Roman;Times;serif" w:hAnsi="Times New Roman;Times;serif"/>
          <w:spacing w:val="-15"/>
          <w:sz w:val="24"/>
        </w:rPr>
        <w:t xml:space="preserve"> </w:t>
      </w:r>
      <w:r>
        <w:rPr>
          <w:rFonts w:ascii="Times New Roman;Times;serif" w:hAnsi="Times New Roman;Times;serif"/>
          <w:sz w:val="24"/>
        </w:rPr>
        <w:t>date</w:t>
      </w:r>
      <w:r>
        <w:rPr>
          <w:rFonts w:ascii="Times New Roman;Times;serif" w:hAnsi="Times New Roman;Times;serif"/>
          <w:spacing w:val="-15"/>
          <w:sz w:val="24"/>
        </w:rPr>
        <w:t xml:space="preserve"> </w:t>
      </w:r>
      <w:r>
        <w:rPr>
          <w:rFonts w:ascii="Times New Roman;Times;serif" w:hAnsi="Times New Roman;Times;serif"/>
          <w:sz w:val="24"/>
        </w:rPr>
        <w:t>and</w:t>
      </w:r>
      <w:r>
        <w:rPr>
          <w:rFonts w:ascii="Times New Roman;Times;serif" w:hAnsi="Times New Roman;Times;serif"/>
          <w:spacing w:val="-15"/>
          <w:sz w:val="24"/>
        </w:rPr>
        <w:t xml:space="preserve"> </w:t>
      </w:r>
      <w:r>
        <w:rPr>
          <w:rFonts w:ascii="Times New Roman;Times;serif" w:hAnsi="Times New Roman;Times;serif"/>
          <w:sz w:val="24"/>
        </w:rPr>
        <w:t>the</w:t>
      </w:r>
      <w:r>
        <w:rPr>
          <w:rFonts w:ascii="Times New Roman;Times;serif" w:hAnsi="Times New Roman;Times;serif"/>
          <w:spacing w:val="-15"/>
          <w:sz w:val="24"/>
        </w:rPr>
        <w:t xml:space="preserve"> </w:t>
      </w:r>
      <w:r>
        <w:rPr>
          <w:rFonts w:ascii="Times New Roman;Times;serif" w:hAnsi="Times New Roman;Times;serif"/>
          <w:sz w:val="24"/>
        </w:rPr>
        <w:t>date</w:t>
      </w:r>
      <w:r>
        <w:rPr>
          <w:rFonts w:ascii="Times New Roman;Times;serif" w:hAnsi="Times New Roman;Times;serif"/>
          <w:spacing w:val="-15"/>
          <w:sz w:val="24"/>
        </w:rPr>
        <w:t xml:space="preserve"> </w:t>
      </w:r>
      <w:r>
        <w:rPr>
          <w:rFonts w:ascii="Times New Roman;Times;serif" w:hAnsi="Times New Roman;Times;serif"/>
          <w:sz w:val="24"/>
        </w:rPr>
        <w:t>of</w:t>
      </w:r>
      <w:r>
        <w:rPr>
          <w:rFonts w:ascii="Times New Roman;Times;serif" w:hAnsi="Times New Roman;Times;serif"/>
          <w:spacing w:val="-15"/>
          <w:sz w:val="24"/>
        </w:rPr>
        <w:t xml:space="preserve"> </w:t>
      </w:r>
      <w:r>
        <w:rPr>
          <w:rFonts w:ascii="Times New Roman;Times;serif" w:hAnsi="Times New Roman;Times;serif"/>
          <w:sz w:val="24"/>
        </w:rPr>
        <w:t>such</w:t>
      </w:r>
      <w:r>
        <w:rPr>
          <w:rFonts w:ascii="Times New Roman;Times;serif" w:hAnsi="Times New Roman;Times;serif"/>
          <w:spacing w:val="-15"/>
          <w:sz w:val="24"/>
        </w:rPr>
        <w:t xml:space="preserve"> </w:t>
      </w:r>
      <w:r>
        <w:rPr>
          <w:rFonts w:ascii="Times New Roman;Times;serif" w:hAnsi="Times New Roman;Times;serif"/>
          <w:sz w:val="24"/>
        </w:rPr>
        <w:t>first</w:t>
      </w:r>
      <w:r>
        <w:rPr>
          <w:rFonts w:ascii="Times New Roman;Times;serif" w:hAnsi="Times New Roman;Times;serif"/>
          <w:spacing w:val="-15"/>
          <w:sz w:val="24"/>
        </w:rPr>
        <w:t xml:space="preserve"> </w:t>
      </w:r>
      <w:r>
        <w:rPr>
          <w:rFonts w:ascii="Times New Roman;Times;serif" w:hAnsi="Times New Roman;Times;serif"/>
          <w:sz w:val="24"/>
        </w:rPr>
        <w:t>annual stockholder meeting.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4"/>
        </w:rPr>
      </w:pPr>
      <w:bookmarkStart w:id="1508" w:name="Non-Employee_Director_Compensation_Limit"/>
      <w:bookmarkEnd w:id="1508"/>
      <w:r>
        <w:rPr>
          <w:rFonts w:ascii="Times New Roman;Times;serif" w:hAnsi="Times New Roman;Times;serif"/>
          <w:b/>
          <w:sz w:val="24"/>
        </w:rPr>
        <w:t>Non-Employee</w:t>
      </w:r>
      <w:r>
        <w:rPr>
          <w:rFonts w:ascii="Times New Roman;Times;serif" w:hAnsi="Times New Roman;Times;serif"/>
          <w:b/>
          <w:spacing w:val="-4"/>
          <w:sz w:val="24"/>
        </w:rPr>
        <w:t xml:space="preserve"> </w:t>
      </w:r>
      <w:r>
        <w:rPr>
          <w:rFonts w:ascii="Times New Roman;Times;serif" w:hAnsi="Times New Roman;Times;serif"/>
          <w:b/>
          <w:sz w:val="24"/>
        </w:rPr>
        <w:t>Director</w:t>
      </w:r>
      <w:r>
        <w:rPr>
          <w:rFonts w:ascii="Times New Roman;Times;serif" w:hAnsi="Times New Roman;Times;serif"/>
          <w:b/>
          <w:spacing w:val="-4"/>
          <w:sz w:val="24"/>
        </w:rPr>
        <w:t xml:space="preserve"> </w:t>
      </w:r>
      <w:r>
        <w:rPr>
          <w:rFonts w:ascii="Times New Roman;Times;serif" w:hAnsi="Times New Roman;Times;serif"/>
          <w:b/>
          <w:sz w:val="24"/>
        </w:rPr>
        <w:t>Compensation</w:t>
      </w:r>
      <w:r>
        <w:rPr>
          <w:rFonts w:ascii="Times New Roman;Times;serif" w:hAnsi="Times New Roman;Times;serif"/>
          <w:b/>
          <w:spacing w:val="-4"/>
          <w:sz w:val="24"/>
        </w:rPr>
        <w:t xml:space="preserve"> Limit</w:t>
      </w:r>
    </w:p>
    <w:p>
      <w:pPr>
        <w:pStyle w:val="TextBody"/>
        <w:bidi w:val="0"/>
        <w:spacing w:before="240" w:after="0"/>
        <w:ind w:left="0" w:right="357" w:hanging="0"/>
        <w:jc w:val="both"/>
        <w:rPr>
          <w:rFonts w:ascii="Times New Roman;Times;serif" w:hAnsi="Times New Roman;Times;serif"/>
          <w:sz w:val="24"/>
        </w:rPr>
      </w:pPr>
      <w:r>
        <w:rPr>
          <w:rFonts w:ascii="Times New Roman;Times;serif" w:hAnsi="Times New Roman;Times;serif"/>
          <w:sz w:val="24"/>
        </w:rPr>
        <w:t>Notwithstanding the foregoing, the aggregate value of all compensation granted or paid, as applicable,</w:t>
      </w:r>
      <w:r>
        <w:rPr>
          <w:rFonts w:ascii="Times New Roman;Times;serif" w:hAnsi="Times New Roman;Times;serif"/>
          <w:spacing w:val="-7"/>
          <w:sz w:val="24"/>
        </w:rPr>
        <w:t xml:space="preserve"> </w:t>
      </w:r>
      <w:r>
        <w:rPr>
          <w:rFonts w:ascii="Times New Roman;Times;serif" w:hAnsi="Times New Roman;Times;serif"/>
          <w:sz w:val="24"/>
        </w:rPr>
        <w:t>to</w:t>
      </w:r>
      <w:r>
        <w:rPr>
          <w:rFonts w:ascii="Times New Roman;Times;serif" w:hAnsi="Times New Roman;Times;serif"/>
          <w:spacing w:val="-7"/>
          <w:sz w:val="24"/>
        </w:rPr>
        <w:t xml:space="preserve"> </w:t>
      </w:r>
      <w:r>
        <w:rPr>
          <w:rFonts w:ascii="Times New Roman;Times;serif" w:hAnsi="Times New Roman;Times;serif"/>
          <w:sz w:val="24"/>
        </w:rPr>
        <w:t>any</w:t>
      </w:r>
      <w:r>
        <w:rPr>
          <w:rFonts w:ascii="Times New Roman;Times;serif" w:hAnsi="Times New Roman;Times;serif"/>
          <w:spacing w:val="-7"/>
          <w:sz w:val="24"/>
        </w:rPr>
        <w:t xml:space="preserve"> </w:t>
      </w:r>
      <w:r>
        <w:rPr>
          <w:rFonts w:ascii="Times New Roman;Times;serif" w:hAnsi="Times New Roman;Times;serif"/>
          <w:sz w:val="24"/>
        </w:rPr>
        <w:t>individual</w:t>
      </w:r>
      <w:r>
        <w:rPr>
          <w:rFonts w:ascii="Times New Roman;Times;serif" w:hAnsi="Times New Roman;Times;serif"/>
          <w:spacing w:val="-7"/>
          <w:sz w:val="24"/>
        </w:rPr>
        <w:t xml:space="preserve"> </w:t>
      </w:r>
      <w:r>
        <w:rPr>
          <w:rFonts w:ascii="Times New Roman;Times;serif" w:hAnsi="Times New Roman;Times;serif"/>
          <w:sz w:val="24"/>
        </w:rPr>
        <w:t>for</w:t>
      </w:r>
      <w:r>
        <w:rPr>
          <w:rFonts w:ascii="Times New Roman;Times;serif" w:hAnsi="Times New Roman;Times;serif"/>
          <w:spacing w:val="-7"/>
          <w:sz w:val="24"/>
        </w:rPr>
        <w:t xml:space="preserve"> </w:t>
      </w:r>
      <w:r>
        <w:rPr>
          <w:rFonts w:ascii="Times New Roman;Times;serif" w:hAnsi="Times New Roman;Times;serif"/>
          <w:sz w:val="24"/>
        </w:rPr>
        <w:t>service</w:t>
      </w:r>
      <w:r>
        <w:rPr>
          <w:rFonts w:ascii="Times New Roman;Times;serif" w:hAnsi="Times New Roman;Times;serif"/>
          <w:spacing w:val="-7"/>
          <w:sz w:val="24"/>
        </w:rPr>
        <w:t xml:space="preserve"> </w:t>
      </w:r>
      <w:r>
        <w:rPr>
          <w:rFonts w:ascii="Times New Roman;Times;serif" w:hAnsi="Times New Roman;Times;serif"/>
          <w:sz w:val="24"/>
        </w:rPr>
        <w:t>as</w:t>
      </w:r>
      <w:r>
        <w:rPr>
          <w:rFonts w:ascii="Times New Roman;Times;serif" w:hAnsi="Times New Roman;Times;serif"/>
          <w:spacing w:val="-7"/>
          <w:sz w:val="24"/>
        </w:rPr>
        <w:t xml:space="preserve"> </w:t>
      </w:r>
      <w:r>
        <w:rPr>
          <w:rFonts w:ascii="Times New Roman;Times;serif" w:hAnsi="Times New Roman;Times;serif"/>
          <w:sz w:val="24"/>
        </w:rPr>
        <w:t>a</w:t>
      </w:r>
      <w:r>
        <w:rPr>
          <w:rFonts w:ascii="Times New Roman;Times;serif" w:hAnsi="Times New Roman;Times;serif"/>
          <w:spacing w:val="-7"/>
          <w:sz w:val="24"/>
        </w:rPr>
        <w:t xml:space="preserve"> </w:t>
      </w:r>
      <w:r>
        <w:rPr>
          <w:rFonts w:ascii="Times New Roman;Times;serif" w:hAnsi="Times New Roman;Times;serif"/>
          <w:sz w:val="24"/>
        </w:rPr>
        <w:t>Non-Employee</w:t>
      </w:r>
      <w:r>
        <w:rPr>
          <w:rFonts w:ascii="Times New Roman;Times;serif" w:hAnsi="Times New Roman;Times;serif"/>
          <w:spacing w:val="-7"/>
          <w:sz w:val="24"/>
        </w:rPr>
        <w:t xml:space="preserve"> </w:t>
      </w:r>
      <w:r>
        <w:rPr>
          <w:rFonts w:ascii="Times New Roman;Times;serif" w:hAnsi="Times New Roman;Times;serif"/>
          <w:sz w:val="24"/>
        </w:rPr>
        <w:t>Director</w:t>
      </w:r>
      <w:r>
        <w:rPr>
          <w:rFonts w:ascii="Times New Roman;Times;serif" w:hAnsi="Times New Roman;Times;serif"/>
          <w:spacing w:val="-7"/>
          <w:sz w:val="24"/>
        </w:rPr>
        <w:t xml:space="preserve"> </w:t>
      </w:r>
      <w:r>
        <w:rPr>
          <w:rFonts w:ascii="Times New Roman;Times;serif" w:hAnsi="Times New Roman;Times;serif"/>
          <w:sz w:val="24"/>
        </w:rPr>
        <w:t>(as</w:t>
      </w:r>
      <w:r>
        <w:rPr>
          <w:rFonts w:ascii="Times New Roman;Times;serif" w:hAnsi="Times New Roman;Times;serif"/>
          <w:spacing w:val="-8"/>
          <w:sz w:val="24"/>
        </w:rPr>
        <w:t xml:space="preserve"> </w:t>
      </w:r>
      <w:r>
        <w:rPr>
          <w:rFonts w:ascii="Times New Roman;Times;serif" w:hAnsi="Times New Roman;Times;serif"/>
          <w:sz w:val="24"/>
        </w:rPr>
        <w:t>defined</w:t>
      </w:r>
      <w:r>
        <w:rPr>
          <w:rFonts w:ascii="Times New Roman;Times;serif" w:hAnsi="Times New Roman;Times;serif"/>
          <w:spacing w:val="-7"/>
          <w:sz w:val="24"/>
        </w:rPr>
        <w:t xml:space="preserve"> </w:t>
      </w:r>
      <w:r>
        <w:rPr>
          <w:rFonts w:ascii="Times New Roman;Times;serif" w:hAnsi="Times New Roman;Times;serif"/>
          <w:sz w:val="24"/>
        </w:rPr>
        <w:t>in</w:t>
      </w:r>
      <w:r>
        <w:rPr>
          <w:rFonts w:ascii="Times New Roman;Times;serif" w:hAnsi="Times New Roman;Times;serif"/>
          <w:spacing w:val="-7"/>
          <w:sz w:val="24"/>
        </w:rPr>
        <w:t xml:space="preserve"> </w:t>
      </w:r>
      <w:r>
        <w:rPr>
          <w:rFonts w:ascii="Times New Roman;Times;serif" w:hAnsi="Times New Roman;Times;serif"/>
          <w:sz w:val="24"/>
        </w:rPr>
        <w:t>the</w:t>
      </w:r>
      <w:r>
        <w:rPr>
          <w:rFonts w:ascii="Times New Roman;Times;serif" w:hAnsi="Times New Roman;Times;serif"/>
          <w:spacing w:val="-7"/>
          <w:sz w:val="24"/>
        </w:rPr>
        <w:t xml:space="preserve"> </w:t>
      </w:r>
      <w:r>
        <w:rPr>
          <w:rFonts w:ascii="Times New Roman;Times;serif" w:hAnsi="Times New Roman;Times;serif"/>
          <w:sz w:val="24"/>
        </w:rPr>
        <w:t>Plan)</w:t>
      </w:r>
      <w:r>
        <w:rPr>
          <w:rFonts w:ascii="Times New Roman;Times;serif" w:hAnsi="Times New Roman;Times;serif"/>
          <w:spacing w:val="-7"/>
          <w:sz w:val="24"/>
        </w:rPr>
        <w:t xml:space="preserve"> </w:t>
      </w:r>
      <w:r>
        <w:rPr>
          <w:rFonts w:ascii="Times New Roman;Times;serif" w:hAnsi="Times New Roman;Times;serif"/>
          <w:sz w:val="24"/>
        </w:rPr>
        <w:t>shall in no event exceed the limits set forth in Section 3(d) of the Plan.</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olor w:val="FF0000"/>
        </w:rPr>
      </w:pPr>
      <w:bookmarkStart w:id="1509" w:name="alms-20260630xex31d1.htm"/>
      <w:bookmarkStart w:id="1510" w:name="ksalms20260630xex31d1"/>
      <w:bookmarkEnd w:id="1509"/>
      <w:bookmarkEnd w:id="1510"/>
      <w:r>
        <w:rPr>
          <w:color w:val="FF0000"/>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br/>
        <w:t>PURSUANT TO RULES 13a-14(a) AND 15d-14(a) UNDER THE SECURITIES EXCHANGE ACT OF 1934, 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 Martin Babler, certify that: </w:t>
      </w:r>
    </w:p>
    <w:tbl>
      <w:tblPr>
        <w:tblW w:w="5598" w:type="dxa"/>
        <w:jc w:val="left"/>
        <w:tblInd w:w="0" w:type="dxa"/>
        <w:tblLayout w:type="fixed"/>
        <w:tblCellMar>
          <w:top w:w="0" w:type="dxa"/>
          <w:left w:w="0" w:type="dxa"/>
          <w:bottom w:w="0" w:type="dxa"/>
          <w:right w:w="0" w:type="dxa"/>
        </w:tblCellMar>
      </w:tblPr>
      <w:tblGrid>
        <w:gridCol w:w="23"/>
        <w:gridCol w:w="170"/>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 have reviewed this quarterly report on Form 10-Q of </w:t>
            </w:r>
            <w:bookmarkStart w:id="1511" w:name="_Hlk87002707"/>
            <w:bookmarkEnd w:id="1511"/>
            <w:r>
              <w:rPr>
                <w:rFonts w:ascii="Times New Roman;Times;serif" w:hAnsi="Times New Roman;Times;serif"/>
                <w:b w:val="false"/>
                <w:i w:val="false"/>
                <w:caps w:val="false"/>
                <w:smallCaps w:val="false"/>
                <w:sz w:val="20"/>
              </w:rPr>
              <w:t xml:space="preserve">Alumis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644" w:type="dxa"/>
        <w:jc w:val="center"/>
        <w:tblInd w:w="0" w:type="dxa"/>
        <w:tblLayout w:type="fixed"/>
        <w:tblCellMar>
          <w:top w:w="0" w:type="dxa"/>
          <w:left w:w="0" w:type="dxa"/>
          <w:bottom w:w="0" w:type="dxa"/>
          <w:right w:w="0" w:type="dxa"/>
        </w:tblCellMar>
      </w:tblPr>
      <w:tblGrid>
        <w:gridCol w:w="2101"/>
        <w:gridCol w:w="406"/>
        <w:gridCol w:w="631"/>
        <w:gridCol w:w="250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2" w:name="alms-20260630xex31d2.htm"/>
      <w:bookmarkStart w:id="1513" w:name="ksalms20260630xex31d2"/>
      <w:bookmarkEnd w:id="1512"/>
      <w:bookmarkEnd w:id="151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 TO RULES 13a-14(a) AND 15d-14(a) UNDER THE SECURITIES EXCHANGE ACT OF 1934, 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 John Schroer, certify that: </w:t>
      </w:r>
    </w:p>
    <w:tbl>
      <w:tblPr>
        <w:tblW w:w="5598" w:type="dxa"/>
        <w:jc w:val="left"/>
        <w:tblInd w:w="0" w:type="dxa"/>
        <w:tblLayout w:type="fixed"/>
        <w:tblCellMar>
          <w:top w:w="0" w:type="dxa"/>
          <w:left w:w="0" w:type="dxa"/>
          <w:bottom w:w="0" w:type="dxa"/>
          <w:right w:w="0" w:type="dxa"/>
        </w:tblCellMar>
      </w:tblPr>
      <w:tblGrid>
        <w:gridCol w:w="23"/>
        <w:gridCol w:w="170"/>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Alumis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are responsible for establishing and maintaining disclosure controls and procedures (as defined in Exchange Act Rules 13a-15(e) and 15d-15(e)) for the registrant and have: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7009" w:type="dxa"/>
        <w:jc w:val="center"/>
        <w:tblInd w:w="0" w:type="dxa"/>
        <w:tblLayout w:type="fixed"/>
        <w:tblCellMar>
          <w:top w:w="0" w:type="dxa"/>
          <w:left w:w="0" w:type="dxa"/>
          <w:bottom w:w="0" w:type="dxa"/>
          <w:right w:w="0" w:type="dxa"/>
        </w:tblCellMar>
      </w:tblPr>
      <w:tblGrid>
        <w:gridCol w:w="2101"/>
        <w:gridCol w:w="406"/>
        <w:gridCol w:w="631"/>
        <w:gridCol w:w="3871"/>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Schroer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Schroer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4" w:name="alms-20260630xex32d1.htm"/>
      <w:bookmarkStart w:id="1515" w:name="ksalms20260630xex32d1"/>
      <w:bookmarkEnd w:id="1514"/>
      <w:bookmarkEnd w:id="1515"/>
      <w:r>
        <w:rPr/>
        <w:t>​</w:t>
      </w:r>
      <w:r>
        <w:br w:type="page"/>
      </w:r>
    </w:p>
    <w:p>
      <w:pPr>
        <w:pStyle w:val="TextBody"/>
        <w:bidi w:val="0"/>
        <w:spacing w:before="0" w:after="240"/>
        <w:ind w:left="156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1516" w:name="_Hlk87004374"/>
      <w:bookmarkEnd w:id="1516"/>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Martin Babler, Chief Executive Officer of Alumis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2026, to which this Certification is attached as Exhibit 32.1 (the “Periodic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tbl>
      <w:tblPr>
        <w:tblW w:w="5599" w:type="dxa"/>
        <w:jc w:val="center"/>
        <w:tblInd w:w="0" w:type="dxa"/>
        <w:tblLayout w:type="fixed"/>
        <w:tblCellMar>
          <w:top w:w="0" w:type="dxa"/>
          <w:left w:w="0" w:type="dxa"/>
          <w:bottom w:w="0" w:type="dxa"/>
          <w:right w:w="0" w:type="dxa"/>
        </w:tblCellMar>
      </w:tblPr>
      <w:tblGrid>
        <w:gridCol w:w="2056"/>
        <w:gridCol w:w="406"/>
        <w:gridCol w:w="631"/>
        <w:gridCol w:w="2506"/>
      </w:tblGrid>
      <w:tr>
        <w:trPr/>
        <w:tc>
          <w:tcPr>
            <w:tcW w:w="2056"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3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i/>
          <w:sz w:val="20"/>
        </w:rPr>
      </w:pPr>
      <w:r>
        <w:rPr>
          <w:rFonts w:ascii="Helvetica;sans-serif" w:hAnsi="Helvetica;sans-serif"/>
          <w:i/>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517" w:name="alms-20260630xex32d2.htm"/>
      <w:bookmarkStart w:id="1518" w:name="ksalms20260630xex32d2"/>
      <w:bookmarkEnd w:id="1517"/>
      <w:bookmarkEnd w:id="1518"/>
      <w:r>
        <w:rPr/>
        <w:t>​</w:t>
      </w:r>
      <w:r>
        <w:br w:type="page"/>
      </w:r>
    </w:p>
    <w:p>
      <w:pPr>
        <w:pStyle w:val="TextBody"/>
        <w:bidi w:val="0"/>
        <w:spacing w:before="0" w:after="240"/>
        <w:ind w:left="156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John Schroer, Chief Financial Officer of Alumis Inc. (the “Company”), hereby certifies that, to the best of his knowledge:</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 on Form 10-Q for the period ended June 30, 2026, to which this Certification is attached as Exhibit 32.2 (the “Periodic Report”) fully complies with the requirements of Section 13(a) or Section 15(d) of the Exchange Act; and</w:t>
            </w:r>
          </w:p>
        </w:tc>
      </w:tr>
    </w:tbl>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Periodic Report fairly presents, in all material respects, the financial condition and results of operations of the Company.</w:t>
            </w:r>
          </w:p>
        </w:tc>
      </w:tr>
    </w:tbl>
    <w:tbl>
      <w:tblPr>
        <w:tblW w:w="6964" w:type="dxa"/>
        <w:jc w:val="center"/>
        <w:tblInd w:w="0" w:type="dxa"/>
        <w:tblLayout w:type="fixed"/>
        <w:tblCellMar>
          <w:top w:w="0" w:type="dxa"/>
          <w:left w:w="0" w:type="dxa"/>
          <w:bottom w:w="0" w:type="dxa"/>
          <w:right w:w="0" w:type="dxa"/>
        </w:tblCellMar>
      </w:tblPr>
      <w:tblGrid>
        <w:gridCol w:w="2056"/>
        <w:gridCol w:w="406"/>
        <w:gridCol w:w="631"/>
        <w:gridCol w:w="3871"/>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Schroer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Schroer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i/>
          <w:sz w:val="20"/>
        </w:rPr>
      </w:pPr>
      <w:r>
        <w:rPr>
          <w:rFonts w:ascii="Helvetica;sans-serif" w:hAnsi="Helvetica;sans-serif"/>
          <w:i/>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367/000110465925010169/tm254989d1_ex2-1.htm" TargetMode="External"/><Relationship Id="rId3" Type="http://schemas.openxmlformats.org/officeDocument/2006/relationships/hyperlink" Target="https://www.sec.gov/Archives/edgar/data/1847367/000110465925036483/tm2512707d4_ex2-1.htm" TargetMode="External"/><Relationship Id="rId4" Type="http://schemas.openxmlformats.org/officeDocument/2006/relationships/hyperlink" Target="https://www.sec.gov/Archives/edgar/data/1847367/000110465924076815/tm2411163d19_ex3-1.htm" TargetMode="External"/><Relationship Id="rId5" Type="http://schemas.openxmlformats.org/officeDocument/2006/relationships/hyperlink" Target="https://www.sec.gov/Archives/edgar/data/1847367/000110465924076815/tm2411163d19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80391</Words>
  <Characters>450562</Characters>
  <CharactersWithSpaces>531859</CharactersWithSpaces>
  <Paragraphs>7252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