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100849.xml.htm"/>
      <w:bookmarkStart w:id="1" w:name="ksform408052026_1008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Goldstein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ALUMIS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ALUMIS INC.</w:t>
              </w:r>
            </w:hyperlink>
            <w:r>
              <w:rPr/>
              <w:t xml:space="preserve"> [ </w:t>
            </w:r>
            <w:r>
              <w:rPr>
                <w:rFonts w:ascii="Times;serif" w:hAnsi="Times;serif"/>
                <w:color w:val="0000FF"/>
                <w:sz w:val="24"/>
                <w:shd w:fill="FFFFFF" w:val="clear"/>
              </w:rPr>
              <w:t>ALMS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0"/>
        <w:gridCol w:w="906"/>
        <w:gridCol w:w="776"/>
        <w:gridCol w:w="602"/>
        <w:gridCol w:w="344"/>
        <w:gridCol w:w="875"/>
        <w:gridCol w:w="441"/>
        <w:gridCol w:w="794"/>
        <w:gridCol w:w="1142"/>
        <w:gridCol w:w="983"/>
        <w:gridCol w:w="11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2,596</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w:t>
            </w:r>
            <w:r>
              <w:rPr>
                <w:rFonts w:ascii="Times;serif" w:hAnsi="Times;serif"/>
                <w:color w:val="008000"/>
                <w:position w:val="7"/>
                <w:sz w:val="16"/>
                <w:sz w:val="20"/>
                <w:shd w:fill="FFFFFF" w:val="clear"/>
              </w:rPr>
              <w:t>(2)</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30,970</w:t>
            </w:r>
            <w:r>
              <w:rPr>
                <w:rFonts w:ascii="Times;serif" w:hAnsi="Times;serif"/>
                <w:color w:val="008000"/>
                <w:position w:val="7"/>
                <w:sz w:val="16"/>
                <w:sz w:val="20"/>
                <w:shd w:fill="FFFFFF" w:val="clear"/>
              </w:rPr>
              <w:t>(3)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208,237</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2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8,994</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Members</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the Issuer's policy requiring sell-to-cover to satisfy tax obligations of the Reporting Person incurred with the vesting and settlement of restricted stock units granted on July 29, 2025,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$25.61 to $26.42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2,177 shares acquired on May 20, 2026 under the Issuer's 2024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directly by the Baily Goldstein Living Trust dated March 4, 2014, for which the Reporting Person serves as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directly by family members of Reporting Person residing in his primary residence.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Sanam Pangali,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1719" TargetMode="External"/><Relationship Id="rId5" Type="http://schemas.openxmlformats.org/officeDocument/2006/relationships/hyperlink" Target="http://www.sec.gov/cgi-bin/browse-edgar?action=getcompany&amp;CIK=00018473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4087</Characters>
  <CharactersWithSpaces>4770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