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Foresite Labs,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101 MISSION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ALUMIS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ALMS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88"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vMerge w:val="restart"/>
          </w:tcPr>
          <w:p>
            <w:pPr>
              <w:spacing w:after="0"/>
              <w:rPr>
                <w:sz w:val="7"/>
                <w:szCs w:val="7"/>
                <w:color w:val="auto"/>
              </w:rPr>
            </w:pPr>
          </w:p>
        </w:tc>
        <w:tc>
          <w:tcPr>
            <w:tcW w:w="3540" w:type="dxa"/>
            <w:vAlign w:val="bottom"/>
            <w:gridSpan w:val="9"/>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vMerge w:val="continue"/>
          </w:tcPr>
          <w:p>
            <w:pPr>
              <w:spacing w:after="0"/>
              <w:rPr>
                <w:sz w:val="3"/>
                <w:szCs w:val="3"/>
                <w:color w:val="auto"/>
              </w:rPr>
            </w:pPr>
          </w:p>
        </w:tc>
        <w:tc>
          <w:tcPr>
            <w:tcW w:w="3540" w:type="dxa"/>
            <w:vAlign w:val="bottom"/>
            <w:gridSpan w:val="9"/>
            <w:vMerge w:val="continue"/>
          </w:tcPr>
          <w:p>
            <w:pPr>
              <w:spacing w:after="0"/>
              <w:rPr>
                <w:sz w:val="3"/>
                <w:szCs w:val="3"/>
                <w:color w:val="auto"/>
              </w:rPr>
            </w:pPr>
          </w:p>
        </w:tc>
        <w:tc>
          <w:tcPr>
            <w:tcW w:w="3760" w:type="dxa"/>
            <w:vAlign w:val="bottom"/>
            <w:gridSpan w:val="11"/>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0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5"/>
                <w:szCs w:val="15"/>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94105</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20" w:type="dxa"/>
            <w:vAlign w:val="bottom"/>
            <w:gridSpan w:val="8"/>
          </w:tcPr>
          <w:p>
            <w:pPr>
              <w:ind w:left="3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120" w:type="dxa"/>
            <w:vAlign w:val="bottom"/>
            <w:gridSpan w:val="8"/>
            <w:vMerge w:val="restart"/>
          </w:tcPr>
          <w:p>
            <w:pPr>
              <w:ind w:left="3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12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2"/>
          </w:tcPr>
          <w:p>
            <w:pPr>
              <w:ind w:left="30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gridSpan w:val="2"/>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gridSpan w:val="2"/>
          </w:tcPr>
          <w:p>
            <w:pPr>
              <w:spacing w:after="0"/>
              <w:rPr>
                <w:sz w:val="10"/>
                <w:szCs w:val="10"/>
                <w:color w:val="auto"/>
              </w:rPr>
            </w:pPr>
          </w:p>
        </w:tc>
        <w:tc>
          <w:tcPr>
            <w:tcW w:w="264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5"/>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6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740" w:type="dxa"/>
            <w:vAlign w:val="bottom"/>
            <w:gridSpan w:val="3"/>
            <w:vMerge w:val="restart"/>
          </w:tcPr>
          <w:p>
            <w:pPr>
              <w:jc w:val="right"/>
              <w:ind w:right="158"/>
              <w:spacing w:after="0"/>
              <w:rPr>
                <w:sz w:val="20"/>
                <w:szCs w:val="20"/>
                <w:color w:val="auto"/>
              </w:rPr>
            </w:pPr>
            <w:r>
              <w:rPr>
                <w:rFonts w:ascii="Times New Roman" w:cs="Times New Roman" w:eastAsia="Times New Roman" w:hAnsi="Times New Roman"/>
                <w:sz w:val="17"/>
                <w:szCs w:val="17"/>
                <w:color w:val="0000FF"/>
              </w:rPr>
              <w:t>04/01/2026</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1,176,470</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vMerge w:val="restart"/>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Pr>
          <w:p>
            <w:pPr>
              <w:spacing w:after="0"/>
              <w:rPr>
                <w:sz w:val="21"/>
                <w:szCs w:val="21"/>
                <w:color w:val="auto"/>
              </w:rPr>
            </w:pPr>
          </w:p>
        </w:tc>
        <w:tc>
          <w:tcPr>
            <w:tcW w:w="680" w:type="dxa"/>
            <w:vAlign w:val="bottom"/>
            <w:gridSpan w:val="2"/>
            <w:vMerge w:val="restart"/>
          </w:tcPr>
          <w:p>
            <w:pPr>
              <w:jc w:val="center"/>
              <w:ind w:left="422"/>
              <w:spacing w:after="0"/>
              <w:rPr>
                <w:sz w:val="20"/>
                <w:szCs w:val="20"/>
                <w:color w:val="auto"/>
              </w:rPr>
            </w:pPr>
            <w:r>
              <w:rPr>
                <w:rFonts w:ascii="Times New Roman" w:cs="Times New Roman" w:eastAsia="Times New Roman" w:hAnsi="Times New Roman"/>
                <w:sz w:val="17"/>
                <w:szCs w:val="17"/>
                <w:color w:val="0000FF"/>
              </w:rPr>
              <w:t>0</w:t>
            </w: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74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740" w:type="dxa"/>
            <w:vAlign w:val="bottom"/>
            <w:tcBorders>
              <w:top w:val="single" w:sz="8" w:color="2C2C2C"/>
            </w:tcBorders>
            <w:gridSpan w:val="3"/>
            <w:vMerge w:val="restart"/>
          </w:tcPr>
          <w:p>
            <w:pPr>
              <w:jc w:val="right"/>
              <w:ind w:right="158"/>
              <w:spacing w:after="0"/>
              <w:rPr>
                <w:sz w:val="20"/>
                <w:szCs w:val="20"/>
                <w:color w:val="auto"/>
              </w:rPr>
            </w:pPr>
            <w:r>
              <w:rPr>
                <w:rFonts w:ascii="Times New Roman" w:cs="Times New Roman" w:eastAsia="Times New Roman" w:hAnsi="Times New Roman"/>
                <w:sz w:val="17"/>
                <w:szCs w:val="17"/>
                <w:color w:val="0000FF"/>
              </w:rPr>
              <w:t>04/01/2026</w:t>
            </w:r>
          </w:p>
        </w:tc>
        <w:tc>
          <w:tcPr>
            <w:tcW w:w="22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(3)</w:t>
            </w:r>
          </w:p>
        </w:tc>
        <w:tc>
          <w:tcPr>
            <w:tcW w:w="80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1,123,337</w:t>
            </w:r>
          </w:p>
        </w:tc>
        <w:tc>
          <w:tcPr>
            <w:tcW w:w="44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top w:val="single" w:sz="8" w:color="2C2C2C"/>
            </w:tcBorders>
            <w:vMerge w:val="restart"/>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1,123,337</w:t>
            </w:r>
          </w:p>
        </w:tc>
        <w:tc>
          <w:tcPr>
            <w:tcW w:w="3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74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740" w:type="dxa"/>
            <w:vAlign w:val="bottom"/>
            <w:tcBorders>
              <w:top w:val="single" w:sz="8" w:color="2C2C2C"/>
            </w:tcBorders>
            <w:gridSpan w:val="3"/>
            <w:vMerge w:val="restart"/>
          </w:tcPr>
          <w:p>
            <w:pPr>
              <w:jc w:val="right"/>
              <w:ind w:right="158"/>
              <w:spacing w:after="0"/>
              <w:rPr>
                <w:sz w:val="20"/>
                <w:szCs w:val="20"/>
                <w:color w:val="auto"/>
              </w:rPr>
            </w:pPr>
            <w:r>
              <w:rPr>
                <w:rFonts w:ascii="Times New Roman" w:cs="Times New Roman" w:eastAsia="Times New Roman" w:hAnsi="Times New Roman"/>
                <w:sz w:val="17"/>
                <w:szCs w:val="17"/>
                <w:color w:val="0000FF"/>
              </w:rPr>
              <w:t>04/01/2026</w:t>
            </w:r>
          </w:p>
        </w:tc>
        <w:tc>
          <w:tcPr>
            <w:tcW w:w="22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(5)</w:t>
            </w:r>
          </w:p>
        </w:tc>
        <w:tc>
          <w:tcPr>
            <w:tcW w:w="80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1,123,337</w:t>
            </w:r>
          </w:p>
        </w:tc>
        <w:tc>
          <w:tcPr>
            <w:tcW w:w="44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top w:val="single" w:sz="8" w:color="2C2C2C"/>
            </w:tcBorders>
            <w:vMerge w:val="restart"/>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gridSpan w:val="2"/>
            <w:vMerge w:val="restart"/>
          </w:tcPr>
          <w:p>
            <w:pPr>
              <w:jc w:val="center"/>
              <w:ind w:left="422"/>
              <w:spacing w:after="0"/>
              <w:rPr>
                <w:sz w:val="20"/>
                <w:szCs w:val="20"/>
                <w:color w:val="auto"/>
              </w:rPr>
            </w:pPr>
            <w:r>
              <w:rPr>
                <w:rFonts w:ascii="Times New Roman" w:cs="Times New Roman" w:eastAsia="Times New Roman" w:hAnsi="Times New Roman"/>
                <w:sz w:val="17"/>
                <w:szCs w:val="17"/>
                <w:color w:val="0000FF"/>
              </w:rPr>
              <w:t>0</w:t>
            </w:r>
          </w:p>
        </w:tc>
        <w:tc>
          <w:tcPr>
            <w:tcW w:w="5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74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740" w:type="dxa"/>
            <w:vAlign w:val="bottom"/>
            <w:tcBorders>
              <w:top w:val="single" w:sz="8" w:color="2C2C2C"/>
            </w:tcBorders>
            <w:gridSpan w:val="3"/>
            <w:vMerge w:val="restart"/>
          </w:tcPr>
          <w:p>
            <w:pPr>
              <w:jc w:val="right"/>
              <w:ind w:right="158"/>
              <w:spacing w:after="0"/>
              <w:rPr>
                <w:sz w:val="20"/>
                <w:szCs w:val="20"/>
                <w:color w:val="auto"/>
              </w:rPr>
            </w:pPr>
            <w:r>
              <w:rPr>
                <w:rFonts w:ascii="Times New Roman" w:cs="Times New Roman" w:eastAsia="Times New Roman" w:hAnsi="Times New Roman"/>
                <w:sz w:val="17"/>
                <w:szCs w:val="17"/>
                <w:color w:val="0000FF"/>
              </w:rPr>
              <w:t>04/01/2026</w:t>
            </w:r>
          </w:p>
        </w:tc>
        <w:tc>
          <w:tcPr>
            <w:tcW w:w="22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(6)</w:t>
            </w:r>
          </w:p>
        </w:tc>
        <w:tc>
          <w:tcPr>
            <w:tcW w:w="80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680,486</w:t>
            </w:r>
          </w:p>
        </w:tc>
        <w:tc>
          <w:tcPr>
            <w:tcW w:w="44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top w:val="single" w:sz="8" w:color="2C2C2C"/>
            </w:tcBorders>
            <w:vMerge w:val="restart"/>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680,486</w:t>
            </w:r>
          </w:p>
        </w:tc>
        <w:tc>
          <w:tcPr>
            <w:tcW w:w="3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74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5,702,536</w:t>
            </w:r>
          </w:p>
        </w:tc>
        <w:tc>
          <w:tcPr>
            <w:tcW w:w="3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2,908,332</w:t>
            </w:r>
          </w:p>
        </w:tc>
        <w:tc>
          <w:tcPr>
            <w:tcW w:w="3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4,247,670</w:t>
            </w:r>
          </w:p>
        </w:tc>
        <w:tc>
          <w:tcPr>
            <w:tcW w:w="3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194,459</w:t>
            </w:r>
          </w:p>
        </w:tc>
        <w:tc>
          <w:tcPr>
            <w:tcW w:w="3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1,960,337</w:t>
            </w:r>
          </w:p>
        </w:tc>
        <w:tc>
          <w:tcPr>
            <w:tcW w:w="3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10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720" w:type="dxa"/>
            <w:vAlign w:val="bottom"/>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gridSpan w:val="3"/>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30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38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-1814195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Foresite Labs, LLC</w:t>
        </w:r>
      </w:hyperlink>
    </w:p>
    <w:p>
      <w:pPr>
        <w:sectPr>
          <w:pgSz w:w="11900" w:h="16838" w:orient="portrait"/>
          <w:cols w:equalWidth="0" w:num="1">
            <w:col w:w="11080"/>
          </w:cols>
          <w:pgMar w:left="460" w:top="219" w:right="359" w:bottom="0" w:gutter="0" w:footer="0" w:header="0"/>
          <w:type w:val="continuous"/>
        </w:sectPr>
      </w:pPr>
    </w:p>
    <w:p>
      <w:pPr>
        <w:spacing w:after="0" w:line="309" w:lineRule="exact"/>
        <w:rPr>
          <w:sz w:val="24"/>
          <w:szCs w:val="24"/>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80"/>
        <w:spacing w:after="0"/>
        <w:rPr>
          <w:sz w:val="20"/>
          <w:szCs w:val="20"/>
          <w:color w:val="auto"/>
        </w:rPr>
      </w:pPr>
      <w:r>
        <w:rPr>
          <w:rFonts w:ascii="Times New Roman" w:cs="Times New Roman" w:eastAsia="Times New Roman" w:hAnsi="Times New Roman"/>
          <w:sz w:val="17"/>
          <w:szCs w:val="17"/>
          <w:color w:val="0000FF"/>
        </w:rPr>
        <w:t>101 MISSION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-114300</wp:posOffset>
            </wp:positionV>
            <wp:extent cx="2809240" cy="31775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09240" cy="3177540"/>
                    </a:xfrm>
                    <a:prstGeom prst="rect">
                      <a:avLst/>
                    </a:prstGeom>
                    <a:noFill/>
                  </pic:spPr>
                </pic:pic>
              </a:graphicData>
            </a:graphic>
          </wp:anchor>
        </w:drawing>
      </w:r>
    </w:p>
    <w:p>
      <w:pPr>
        <w:spacing w:after="0" w:line="5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12TH FLOOR</w:t>
      </w: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10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86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94105</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00" w:type="dxa"/>
            <w:vAlign w:val="bottom"/>
            <w:vMerge w:val="continue"/>
          </w:tcPr>
          <w:p>
            <w:pPr>
              <w:spacing w:after="0"/>
              <w:rPr>
                <w:sz w:val="10"/>
                <w:szCs w:val="10"/>
                <w:color w:val="auto"/>
              </w:rPr>
            </w:pPr>
          </w:p>
        </w:tc>
        <w:tc>
          <w:tcPr>
            <w:tcW w:w="1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Foresite Labs Affiliates 2021, LLC</w:t>
        </w:r>
      </w:hyperlink>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080" w:type="dxa"/>
            <w:vAlign w:val="bottom"/>
          </w:tcPr>
          <w:p>
            <w:pPr>
              <w:ind w:left="18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101 MISSION STREET</w:t>
            </w: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12TH FLOOR</w:t>
            </w:r>
          </w:p>
        </w:tc>
        <w:tc>
          <w:tcPr>
            <w:tcW w:w="108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08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CA</w:t>
            </w:r>
          </w:p>
        </w:tc>
        <w:tc>
          <w:tcPr>
            <w:tcW w:w="186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94105</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080" w:type="dxa"/>
            <w:vAlign w:val="bottom"/>
            <w:vMerge w:val="continue"/>
          </w:tcPr>
          <w:p>
            <w:pPr>
              <w:spacing w:after="0"/>
              <w:rPr>
                <w:sz w:val="10"/>
                <w:szCs w:val="10"/>
                <w:color w:val="auto"/>
              </w:rPr>
            </w:pPr>
          </w:p>
        </w:tc>
        <w:tc>
          <w:tcPr>
            <w:tcW w:w="1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18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12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pro rata, in-kind distribution, and not a purchase or sale, without additional consideration by Foresite Labs Affiliates 2021, LLC ("Labs Affiliates") to its members in accordance with the exemptions afforded by Rules 16a-13 and/or 16a-9 of the Securities Exchange Act of 1934, as amended (the "Exchange Act").</w:t>
      </w:r>
    </w:p>
    <w:p>
      <w:pPr>
        <w:spacing w:after="0" w:line="7" w:lineRule="exact"/>
        <w:rPr>
          <w:rFonts w:ascii="Times New Roman" w:cs="Times New Roman" w:eastAsia="Times New Roman" w:hAnsi="Times New Roman"/>
          <w:sz w:val="13"/>
          <w:szCs w:val="13"/>
          <w:color w:val="008000"/>
        </w:rPr>
      </w:pPr>
    </w:p>
    <w:p>
      <w:pPr>
        <w:ind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Labs Affiliates. Foresite Labs, LLC ("Labs") is the managing member of Labs Affiliates and may be deemed to have sole voting and dispositive power over such shares. James B. Tananbaum ("Tananbaum"), a manager of Labs, may be deemed to share voting and dispositive power over such shares.</w:t>
      </w:r>
    </w:p>
    <w:p>
      <w:pPr>
        <w:spacing w:after="0" w:line="7" w:lineRule="exact"/>
        <w:rPr>
          <w:rFonts w:ascii="Times New Roman" w:cs="Times New Roman" w:eastAsia="Times New Roman" w:hAnsi="Times New Roman"/>
          <w:sz w:val="13"/>
          <w:szCs w:val="13"/>
          <w:color w:val="008000"/>
        </w:rPr>
      </w:pPr>
    </w:p>
    <w:p>
      <w:pPr>
        <w:ind w:right="10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received by Labs pursuant to pro rata distributions by Labs Affiliates, for no consideration, to its members in accordance with the exemptions afforded by Rules 16a-13 and/or 16a-9 of the Exchange Act.</w:t>
      </w:r>
    </w:p>
    <w:p>
      <w:pPr>
        <w:spacing w:after="0" w:line="7"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Labs. Tananbaum, a manager of Labs, may be deemed to share voting and dispositive power over such shares.</w:t>
      </w:r>
    </w:p>
    <w:p>
      <w:pPr>
        <w:spacing w:after="0" w:line="50" w:lineRule="exact"/>
        <w:rPr>
          <w:rFonts w:ascii="Times New Roman" w:cs="Times New Roman" w:eastAsia="Times New Roman" w:hAnsi="Times New Roman"/>
          <w:sz w:val="13"/>
          <w:szCs w:val="13"/>
          <w:color w:val="008000"/>
        </w:rPr>
      </w:pPr>
    </w:p>
    <w:p>
      <w:pPr>
        <w:ind w:right="2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pro rata, in-kind distribution, and not a purchase or sale, without additional consideration by Labs to its members in accordance with the exemptions afforded by Rules 16a-13 and/or 16a-9 of the Exchange Act.</w:t>
      </w:r>
    </w:p>
    <w:p>
      <w:pPr>
        <w:spacing w:after="0" w:line="7" w:lineRule="exact"/>
        <w:rPr>
          <w:rFonts w:ascii="Times New Roman" w:cs="Times New Roman" w:eastAsia="Times New Roman" w:hAnsi="Times New Roman"/>
          <w:sz w:val="13"/>
          <w:szCs w:val="13"/>
          <w:color w:val="008000"/>
        </w:rPr>
      </w:pPr>
    </w:p>
    <w:p>
      <w:pPr>
        <w:ind w:right="14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received by TFL Investment Holdings, LLC ("TFL"). pursuant to pro rata distributions by Labs, for no consideration, to its members in accordance with the exemptions afforded by Rules 16a-13 and/or 16a-9 of the Exchange Act.</w:t>
      </w:r>
    </w:p>
    <w:p>
      <w:pPr>
        <w:spacing w:after="0" w:line="7" w:lineRule="exact"/>
        <w:rPr>
          <w:rFonts w:ascii="Times New Roman" w:cs="Times New Roman" w:eastAsia="Times New Roman" w:hAnsi="Times New Roman"/>
          <w:sz w:val="13"/>
          <w:szCs w:val="13"/>
          <w:color w:val="008000"/>
        </w:rPr>
      </w:pPr>
    </w:p>
    <w:p>
      <w:pPr>
        <w:jc w:val="both"/>
        <w:ind w:right="10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TFL. Tananbaum is the manager of TFL, and James B. Tananbaum and Dana Shonfeld Tananbaum Family Trust, of which Tananbaum is a trustee, is the sole member of TFL. Each of the Reporting Persons disclaims the existence of a "group", as defined in Rule 13d-5 of the Exchange Act, and disclaims beneficial ownership of these securities, and this report shall not be deemed an admission that any such person is the beneficial owner of such securities, except to the extent of such person's pecuniary interest therein, if any.</w:t>
      </w:r>
    </w:p>
    <w:p>
      <w:pPr>
        <w:spacing w:after="0" w:line="20" w:lineRule="exact"/>
        <w:rPr>
          <w:rFonts w:ascii="Times New Roman" w:cs="Times New Roman" w:eastAsia="Times New Roman" w:hAnsi="Times New Roman"/>
          <w:sz w:val="13"/>
          <w:szCs w:val="13"/>
          <w:color w:val="008000"/>
        </w:rPr>
      </w:pPr>
    </w:p>
    <w:p>
      <w:pPr>
        <w:jc w:val="both"/>
        <w:ind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Foresite Capital Fund V, L.P. ("Fund V"). Foresite Capital Management V, LLC ("FCM V") is the general partner of Fund V and may be deemed to have sole voting and dispositive power over such shares. Tananbaum, the managing member of FCM V, may be deemed to have sole voting and dispositive power over such shares. Each of the Reporting Persons disclaims the existence of a "group", as defined in Rule 13d-5 of the Exchange Act, and disclaims beneficial ownership of the shares held by Fund V, except to the extent of such person's pecuniary interest in such securities.</w:t>
      </w:r>
    </w:p>
    <w:p>
      <w:pPr>
        <w:spacing w:after="0" w:line="24" w:lineRule="exact"/>
        <w:rPr>
          <w:rFonts w:ascii="Times New Roman" w:cs="Times New Roman" w:eastAsia="Times New Roman" w:hAnsi="Times New Roman"/>
          <w:sz w:val="13"/>
          <w:szCs w:val="13"/>
          <w:color w:val="008000"/>
        </w:rPr>
      </w:pPr>
    </w:p>
    <w:p>
      <w:pPr>
        <w:ind w:right="140"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Foresite Capital Opportunity Fund V, L.P. ("Opportunity Fund V"). Foresite Capital Opportunity Management V, LLC ("FCOM V") is the general partner of Opportunity Fund V and may be deemed to have sole voting and dispositive power over such shares. Tananbaum, the managing member of FCOM V, may be deemed to have sole voting and dispositive power over such shares. Each of the Reporting Persons disclaims the existence of a "group", as defined in Rule 13d-5 of the Exchange Act, and disclaims beneficial ownership of the shares held by Opportunity Fund V, except to the extent of such person's pecuniary interest in such securities.</w:t>
      </w:r>
    </w:p>
    <w:p>
      <w:pPr>
        <w:spacing w:after="0" w:line="24" w:lineRule="exact"/>
        <w:rPr>
          <w:rFonts w:ascii="Times New Roman" w:cs="Times New Roman" w:eastAsia="Times New Roman" w:hAnsi="Times New Roman"/>
          <w:sz w:val="13"/>
          <w:szCs w:val="13"/>
          <w:color w:val="008000"/>
        </w:rPr>
      </w:pPr>
    </w:p>
    <w:p>
      <w:pPr>
        <w:ind w:right="80" w:firstLine="7"/>
        <w:spacing w:after="0" w:line="247"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Foresite Capital Fund VI, L.P. ("Fund VI"). Foresite Capital Management VI, LLC ("FCM VI") is the general partner of Fund VI and may be deemed to have sole voting and dispositive power over such shares. Tananbaum, the managing member of FCM VI, may be deemed to have sole voting and dispositive power over such shares. Each of the Reporting Persons disclaims the existence of a "group", as defined in Rule 13d-5 of the Exchange Act, and disclaims beneficial ownership of the shares held by Fund VI, except to the extent of such person's pecuniary interest in such securities.</w:t>
      </w:r>
    </w:p>
    <w:p>
      <w:pPr>
        <w:spacing w:after="0" w:line="24"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Labs Co-Invest V, LLC ("Labs Co-Invest"). FCM V is the managing member of Labs Co-Invest and may be deemed to have sole voting and dispositive power over</w:t>
      </w:r>
    </w:p>
    <w:p>
      <w:pPr>
        <w:spacing w:after="0" w:line="11" w:lineRule="exact"/>
        <w:rPr>
          <w:rFonts w:ascii="Times New Roman" w:cs="Times New Roman" w:eastAsia="Times New Roman" w:hAnsi="Times New Roman"/>
          <w:sz w:val="13"/>
          <w:szCs w:val="13"/>
          <w:color w:val="008000"/>
        </w:rPr>
      </w:pPr>
    </w:p>
    <w:p>
      <w:pPr>
        <w:ind w:right="2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such shares. Tananbaum, the managing member of FCM V, may be deemed to have sole voting and dispositive power over such shares. Each of the Reporting Persons disclaims the existence of a "group", as defined in Rule 13d-5 of the Exchange Act, and disclaims beneficial ownership of the shares held by Labs Co-Invest, except to the extent of such person's pecuniary interest in such securities.</w:t>
      </w:r>
    </w:p>
    <w:p>
      <w:pPr>
        <w:spacing w:after="0" w:line="21" w:lineRule="exact"/>
        <w:rPr>
          <w:rFonts w:ascii="Times New Roman" w:cs="Times New Roman" w:eastAsia="Times New Roman" w:hAnsi="Times New Roman"/>
          <w:sz w:val="13"/>
          <w:szCs w:val="13"/>
          <w:color w:val="008000"/>
        </w:rPr>
      </w:pPr>
    </w:p>
    <w:p>
      <w:pPr>
        <w:jc w:val="both"/>
        <w:ind w:right="20" w:firstLine="7"/>
        <w:spacing w:after="0" w:line="247"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Foresite Labs Fund I, L.P. ("Labs Fund I"). Foresite Labs Management I, LLC ("FLM I") is the general partner of Labs Fund I and may be deemed to have sole voting and dispositive power over such shares. Tananbaum, the managing member of FLM I, may be deemed to have sole voting and dispositive power over such shares. Each of the Reporting Persons disclaims the existence of a "group", as defined in Rule 13d-5 of the Exchange Act, and disclaims beneficial ownership of the shares held by Labs Fund I, except to the extent of such person's pecuniary interest in such securities.</w:t>
      </w:r>
    </w:p>
    <w:p>
      <w:pPr>
        <w:sectPr>
          <w:pgSz w:w="11900" w:h="16838" w:orient="portrait"/>
          <w:cols w:equalWidth="0" w:num="1">
            <w:col w:w="10880"/>
          </w:cols>
          <w:pgMar w:left="500" w:top="125" w:right="519" w:bottom="1440" w:gutter="0" w:footer="0" w:header="0"/>
        </w:sectPr>
      </w:pPr>
    </w:p>
    <w:p>
      <w:pPr>
        <w:spacing w:after="0" w:line="4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FORESITE LABS,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985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29857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B.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53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0953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90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FORESITE LABS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8216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82169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AFFILIATES 2021,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90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Foresite Labs,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41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Managing Member,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868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1868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James B.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39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9639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90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40" w:space="100"/>
            <w:col w:w="2140"/>
          </w:cols>
          <w:pgMar w:left="500" w:top="125" w:right="51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5"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13" Type="http://schemas.openxmlformats.org/officeDocument/2006/relationships/hyperlink" Target="http://www.sec.gov/cgi-bin/browse-edgar?action=getcompany&amp;CIK=0002027905" TargetMode="External"/><Relationship Id="rId14" Type="http://schemas.openxmlformats.org/officeDocument/2006/relationships/hyperlink" Target="http://www.sec.gov/cgi-bin/browse-edgar?action=getcompany&amp;CIK=0001847367" TargetMode="External"/><Relationship Id="rId18" Type="http://schemas.openxmlformats.org/officeDocument/2006/relationships/hyperlink" Target="http://www.sec.gov/cgi-bin/browse-edgar?action=getcompany&amp;CIK=00020280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2026-04-03T14:57:16Z</dcterms:created>
  <dcterms:modified xsi:type="dcterms:W3CDTF">2026-04-03T14:57:16Z</dcterms:modified>
</cp:coreProperties>
</file>