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60"/>
        <w:spacing w:after="0"/>
        <w:rPr>
          <w:sz w:val="20"/>
          <w:szCs w:val="20"/>
          <w:color w:val="auto"/>
        </w:rPr>
      </w:pPr>
      <w:r>
        <w:rPr>
          <w:rFonts w:ascii="Calibri" w:cs="Calibri" w:eastAsia="Calibri" w:hAnsi="Calibri"/>
          <w:sz w:val="10"/>
          <w:szCs w:val="10"/>
          <w:color w:val="003366"/>
        </w:rPr>
        <w:t>TABLE OF CONTENTS</w:t>
      </w: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June 24, 2024.</w:t>
      </w:r>
    </w:p>
    <w:p>
      <w:pPr>
        <w:spacing w:after="0" w:line="24" w:lineRule="exact"/>
        <w:rPr>
          <w:sz w:val="24"/>
          <w:szCs w:val="24"/>
          <w:color w:val="auto"/>
        </w:rPr>
      </w:pPr>
    </w:p>
    <w:p>
      <w:pPr>
        <w:jc w:val="right"/>
        <w:ind w:right="1179"/>
        <w:spacing w:after="0"/>
        <w:rPr>
          <w:sz w:val="20"/>
          <w:szCs w:val="20"/>
          <w:color w:val="auto"/>
        </w:rPr>
      </w:pPr>
      <w:r>
        <w:rPr>
          <w:rFonts w:ascii="Times New Roman" w:cs="Times New Roman" w:eastAsia="Times New Roman" w:hAnsi="Times New Roman"/>
          <w:sz w:val="11"/>
          <w:szCs w:val="11"/>
          <w:b w:val="1"/>
          <w:bCs w:val="1"/>
          <w:color w:val="auto"/>
        </w:rPr>
        <w:t>Registration No. 333-280068​</w:t>
      </w:r>
    </w:p>
    <w:p>
      <w:pPr>
        <w:spacing w:after="0" w:line="10"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2"/>
          <w:szCs w:val="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760730</wp:posOffset>
            </wp:positionH>
            <wp:positionV relativeFrom="paragraph">
              <wp:posOffset>0</wp:posOffset>
            </wp:positionV>
            <wp:extent cx="419862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98620" cy="11430"/>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34290</wp:posOffset>
            </wp:positionV>
            <wp:extent cx="41986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98620" cy="5715"/>
                    </a:xfrm>
                    <a:prstGeom prst="rect">
                      <a:avLst/>
                    </a:prstGeom>
                    <a:noFill/>
                  </pic:spPr>
                </pic:pic>
              </a:graphicData>
            </a:graphic>
          </wp:anchor>
        </w:drawing>
      </w:r>
    </w:p>
    <w:p>
      <w:pPr>
        <w:spacing w:after="0" w:line="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AMENDMENT NO. 2 TO</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S-1</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REGISTRATION STATEMENT</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UNDER</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THE SECURITIES ACT OF 1933</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Alumis Inc.</w:t>
      </w:r>
    </w:p>
    <w:tbl>
      <w:tblPr>
        <w:tblLayout w:type="fixed"/>
        <w:tblInd w:w="1200" w:type="dxa"/>
        <w:tblCellMar>
          <w:top w:w="0" w:type="dxa"/>
          <w:left w:w="0" w:type="dxa"/>
          <w:bottom w:w="0" w:type="dxa"/>
          <w:right w:w="0" w:type="dxa"/>
        </w:tblCellMar>
      </w:tblPr>
      <w:tr>
        <w:trPr>
          <w:trHeight w:val="148"/>
        </w:trPr>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9"/>
                <w:szCs w:val="9"/>
                <w:color w:val="auto"/>
              </w:rPr>
              <w:t>(Exact name of registrant as specified in its charter)</w:t>
            </w:r>
            <w:r>
              <w:rPr>
                <w:rFonts w:ascii="Times New Roman" w:cs="Times New Roman" w:eastAsia="Times New Roman" w:hAnsi="Times New Roman"/>
                <w:sz w:val="11"/>
                <w:szCs w:val="11"/>
                <w:color w:val="auto"/>
              </w:rPr>
              <w:t>​</w:t>
            </w:r>
          </w:p>
        </w:tc>
        <w:tc>
          <w:tcPr>
            <w:tcW w:w="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74"/>
        </w:trPr>
        <w:tc>
          <w:tcPr>
            <w:tcW w:w="2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640" w:type="dxa"/>
            <w:vAlign w:val="bottom"/>
          </w:tcPr>
          <w:p>
            <w:pPr>
              <w:ind w:left="580"/>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38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 ​</w:t>
            </w:r>
          </w:p>
        </w:tc>
        <w:tc>
          <w:tcPr>
            <w:tcW w:w="2080" w:type="dxa"/>
            <w:vAlign w:val="bottom"/>
          </w:tcPr>
          <w:p>
            <w:pPr>
              <w:jc w:val="right"/>
              <w:ind w:right="891"/>
              <w:spacing w:after="0"/>
              <w:rPr>
                <w:sz w:val="20"/>
                <w:szCs w:val="20"/>
                <w:color w:val="auto"/>
              </w:rPr>
            </w:pPr>
            <w:r>
              <w:rPr>
                <w:rFonts w:ascii="Times New Roman" w:cs="Times New Roman" w:eastAsia="Times New Roman" w:hAnsi="Times New Roman"/>
                <w:sz w:val="11"/>
                <w:szCs w:val="11"/>
                <w:b w:val="1"/>
                <w:bCs w:val="1"/>
                <w:color w:val="auto"/>
              </w:rPr>
              <w:t>2834</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1500" w:type="dxa"/>
            <w:vAlign w:val="bottom"/>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86-1771129</w:t>
            </w:r>
          </w:p>
        </w:tc>
        <w:tc>
          <w:tcPr>
            <w:tcW w:w="320" w:type="dxa"/>
            <w:vAlign w:val="bottom"/>
          </w:tcPr>
          <w:p>
            <w:pPr>
              <w:ind w:left="30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92"/>
        </w:trPr>
        <w:tc>
          <w:tcPr>
            <w:tcW w:w="260" w:type="dxa"/>
            <w:vAlign w:val="bottom"/>
          </w:tcPr>
          <w:p>
            <w:pPr>
              <w:spacing w:after="0" w:line="92" w:lineRule="exact"/>
              <w:rPr>
                <w:sz w:val="20"/>
                <w:szCs w:val="20"/>
                <w:color w:val="auto"/>
              </w:rPr>
            </w:pPr>
            <w:r>
              <w:rPr>
                <w:rFonts w:ascii="Times New Roman" w:cs="Times New Roman" w:eastAsia="Times New Roman" w:hAnsi="Times New Roman"/>
                <w:sz w:val="9"/>
                <w:szCs w:val="9"/>
                <w:color w:val="auto"/>
              </w:rPr>
              <w:t>​</w:t>
            </w:r>
          </w:p>
        </w:tc>
        <w:tc>
          <w:tcPr>
            <w:tcW w:w="1640" w:type="dxa"/>
            <w:vAlign w:val="bottom"/>
          </w:tcPr>
          <w:p>
            <w:pPr>
              <w:ind w:left="220"/>
              <w:spacing w:after="0" w:line="92" w:lineRule="exact"/>
              <w:rPr>
                <w:sz w:val="20"/>
                <w:szCs w:val="20"/>
                <w:color w:val="auto"/>
              </w:rPr>
            </w:pPr>
            <w:r>
              <w:rPr>
                <w:rFonts w:ascii="Times New Roman" w:cs="Times New Roman" w:eastAsia="Times New Roman" w:hAnsi="Times New Roman"/>
                <w:sz w:val="9"/>
                <w:szCs w:val="9"/>
                <w:color w:val="auto"/>
              </w:rPr>
              <w:t>(State or other jurisdiction of</w:t>
            </w:r>
          </w:p>
        </w:tc>
        <w:tc>
          <w:tcPr>
            <w:tcW w:w="380" w:type="dxa"/>
            <w:vAlign w:val="bottom"/>
          </w:tcPr>
          <w:p>
            <w:pPr>
              <w:ind w:left="240"/>
              <w:spacing w:after="0" w:line="92" w:lineRule="exact"/>
              <w:rPr>
                <w:sz w:val="20"/>
                <w:szCs w:val="20"/>
                <w:color w:val="auto"/>
              </w:rPr>
            </w:pPr>
            <w:r>
              <w:rPr>
                <w:rFonts w:ascii="Times New Roman" w:cs="Times New Roman" w:eastAsia="Times New Roman" w:hAnsi="Times New Roman"/>
                <w:sz w:val="9"/>
                <w:szCs w:val="9"/>
                <w:color w:val="auto"/>
              </w:rPr>
              <w:t>​ ​</w:t>
            </w:r>
          </w:p>
        </w:tc>
        <w:tc>
          <w:tcPr>
            <w:tcW w:w="2080" w:type="dxa"/>
            <w:vAlign w:val="bottom"/>
          </w:tcPr>
          <w:p>
            <w:pPr>
              <w:ind w:left="460"/>
              <w:spacing w:after="0" w:line="92" w:lineRule="exact"/>
              <w:rPr>
                <w:sz w:val="20"/>
                <w:szCs w:val="20"/>
                <w:color w:val="auto"/>
              </w:rPr>
            </w:pPr>
            <w:r>
              <w:rPr>
                <w:rFonts w:ascii="Times New Roman" w:cs="Times New Roman" w:eastAsia="Times New Roman" w:hAnsi="Times New Roman"/>
                <w:sz w:val="9"/>
                <w:szCs w:val="9"/>
                <w:color w:val="auto"/>
              </w:rPr>
              <w:t>(Primary Standard Industrial</w:t>
            </w:r>
          </w:p>
        </w:tc>
        <w:tc>
          <w:tcPr>
            <w:tcW w:w="440" w:type="dxa"/>
            <w:vAlign w:val="bottom"/>
          </w:tcPr>
          <w:p>
            <w:pPr>
              <w:ind w:left="20"/>
              <w:spacing w:after="0" w:line="92" w:lineRule="exact"/>
              <w:rPr>
                <w:sz w:val="20"/>
                <w:szCs w:val="20"/>
                <w:color w:val="auto"/>
              </w:rPr>
            </w:pPr>
            <w:r>
              <w:rPr>
                <w:rFonts w:ascii="Times New Roman" w:cs="Times New Roman" w:eastAsia="Times New Roman" w:hAnsi="Times New Roman"/>
                <w:sz w:val="9"/>
                <w:szCs w:val="9"/>
                <w:color w:val="auto"/>
              </w:rPr>
              <w:t>​ ​</w:t>
            </w:r>
          </w:p>
        </w:tc>
        <w:tc>
          <w:tcPr>
            <w:tcW w:w="150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color w:val="auto"/>
              </w:rPr>
              <w:t>(I.R.S. Employer</w:t>
            </w:r>
          </w:p>
        </w:tc>
        <w:tc>
          <w:tcPr>
            <w:tcW w:w="320" w:type="dxa"/>
            <w:vAlign w:val="bottom"/>
          </w:tcPr>
          <w:p>
            <w:pPr>
              <w:ind w:left="30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48"/>
        </w:trPr>
        <w:tc>
          <w:tcPr>
            <w:tcW w:w="260" w:type="dxa"/>
            <w:vAlign w:val="bottom"/>
          </w:tcPr>
          <w:p>
            <w:pPr>
              <w:spacing w:after="0"/>
              <w:rPr>
                <w:sz w:val="12"/>
                <w:szCs w:val="12"/>
                <w:color w:val="auto"/>
              </w:rPr>
            </w:pPr>
          </w:p>
        </w:tc>
        <w:tc>
          <w:tcPr>
            <w:tcW w:w="16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incorporation or organization)</w:t>
            </w:r>
            <w:r>
              <w:rPr>
                <w:rFonts w:ascii="Times New Roman" w:cs="Times New Roman" w:eastAsia="Times New Roman" w:hAnsi="Times New Roman"/>
                <w:sz w:val="11"/>
                <w:szCs w:val="11"/>
                <w:color w:val="auto"/>
              </w:rPr>
              <w:t>​</w:t>
            </w:r>
          </w:p>
        </w:tc>
        <w:tc>
          <w:tcPr>
            <w:tcW w:w="380" w:type="dxa"/>
            <w:vAlign w:val="bottom"/>
          </w:tcPr>
          <w:p>
            <w:pPr>
              <w:spacing w:after="0"/>
              <w:rPr>
                <w:sz w:val="12"/>
                <w:szCs w:val="12"/>
                <w:color w:val="auto"/>
              </w:rPr>
            </w:pPr>
          </w:p>
        </w:tc>
        <w:tc>
          <w:tcPr>
            <w:tcW w:w="2080" w:type="dxa"/>
            <w:vAlign w:val="bottom"/>
          </w:tcPr>
          <w:p>
            <w:pPr>
              <w:ind w:left="460"/>
              <w:spacing w:after="0"/>
              <w:rPr>
                <w:sz w:val="20"/>
                <w:szCs w:val="20"/>
                <w:color w:val="auto"/>
              </w:rPr>
            </w:pPr>
            <w:r>
              <w:rPr>
                <w:rFonts w:ascii="Times New Roman" w:cs="Times New Roman" w:eastAsia="Times New Roman" w:hAnsi="Times New Roman"/>
                <w:sz w:val="9"/>
                <w:szCs w:val="9"/>
                <w:color w:val="auto"/>
              </w:rPr>
              <w:t>Classification Code Number)</w:t>
            </w:r>
            <w:r>
              <w:rPr>
                <w:rFonts w:ascii="Times New Roman" w:cs="Times New Roman" w:eastAsia="Times New Roman" w:hAnsi="Times New Roman"/>
                <w:sz w:val="11"/>
                <w:szCs w:val="11"/>
                <w:color w:val="auto"/>
              </w:rPr>
              <w:t>​</w:t>
            </w:r>
          </w:p>
        </w:tc>
        <w:tc>
          <w:tcPr>
            <w:tcW w:w="44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9"/>
                <w:szCs w:val="9"/>
                <w:color w:val="auto"/>
              </w:rPr>
              <w:t>Identification Number)</w:t>
            </w:r>
          </w:p>
        </w:tc>
        <w:tc>
          <w:tcPr>
            <w:tcW w:w="320" w:type="dxa"/>
            <w:vAlign w:val="bottom"/>
          </w:tcPr>
          <w:p>
            <w:pPr>
              <w:spacing w:after="0"/>
              <w:rPr>
                <w:sz w:val="12"/>
                <w:szCs w:val="12"/>
                <w:color w:val="auto"/>
              </w:rPr>
            </w:pPr>
          </w:p>
        </w:tc>
      </w:tr>
    </w:tbl>
    <w:p>
      <w:pPr>
        <w:spacing w:after="0" w:line="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Alumis Inc.</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280 East Grand Avenue</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South San Francisco, California 94080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(650) 231-6625</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9"/>
          <w:szCs w:val="9"/>
          <w:color w:val="auto"/>
        </w:rPr>
        <w:t>(Address, including zip code, and telephone number, including area code, of registrant’s principal executive offices)</w:t>
      </w:r>
    </w:p>
    <w:p>
      <w:pPr>
        <w:spacing w:after="0" w:line="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Martin Babler</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President and Chief Executive Officer</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280 East Grand Avenue</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South San Francisco, California 94080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(650) 231-6625</w:t>
      </w:r>
    </w:p>
    <w:p>
      <w:pPr>
        <w:spacing w:after="0" w:line="10" w:lineRule="exact"/>
        <w:rPr>
          <w:sz w:val="24"/>
          <w:szCs w:val="24"/>
          <w:color w:val="auto"/>
        </w:rPr>
      </w:pPr>
    </w:p>
    <w:tbl>
      <w:tblPr>
        <w:tblLayout w:type="fixed"/>
        <w:tblInd w:w="1200" w:type="dxa"/>
        <w:tblCellMar>
          <w:top w:w="0" w:type="dxa"/>
          <w:left w:w="0" w:type="dxa"/>
          <w:bottom w:w="0" w:type="dxa"/>
          <w:right w:w="0" w:type="dxa"/>
        </w:tblCellMar>
      </w:tblPr>
      <w:tr>
        <w:trPr>
          <w:trHeight w:val="120"/>
        </w:trPr>
        <w:tc>
          <w:tcPr>
            <w:tcW w:w="140" w:type="dxa"/>
            <w:vAlign w:val="bottom"/>
          </w:tcPr>
          <w:p>
            <w:pPr>
              <w:spacing w:after="0"/>
              <w:rPr>
                <w:sz w:val="10"/>
                <w:szCs w:val="10"/>
                <w:color w:val="auto"/>
              </w:rPr>
            </w:pPr>
          </w:p>
        </w:tc>
        <w:tc>
          <w:tcPr>
            <w:tcW w:w="6340" w:type="dxa"/>
            <w:vAlign w:val="bottom"/>
            <w:gridSpan w:val="5"/>
          </w:tcPr>
          <w:p>
            <w:pPr>
              <w:jc w:val="center"/>
              <w:spacing w:after="0"/>
              <w:rPr>
                <w:sz w:val="20"/>
                <w:szCs w:val="20"/>
                <w:color w:val="auto"/>
              </w:rPr>
            </w:pPr>
            <w:r>
              <w:rPr>
                <w:rFonts w:ascii="Times New Roman" w:cs="Times New Roman" w:eastAsia="Times New Roman" w:hAnsi="Times New Roman"/>
                <w:sz w:val="9"/>
                <w:szCs w:val="9"/>
                <w:color w:val="auto"/>
              </w:rPr>
              <w:t>(Name, address, including zip code, and telephone number, including area code, of agent for service)</w:t>
            </w:r>
          </w:p>
        </w:tc>
        <w:tc>
          <w:tcPr>
            <w:tcW w:w="140" w:type="dxa"/>
            <w:vAlign w:val="bottom"/>
          </w:tcPr>
          <w:p>
            <w:pPr>
              <w:spacing w:after="0"/>
              <w:rPr>
                <w:sz w:val="10"/>
                <w:szCs w:val="10"/>
                <w:color w:val="auto"/>
              </w:rPr>
            </w:pPr>
          </w:p>
        </w:tc>
      </w:tr>
      <w:tr>
        <w:trPr>
          <w:trHeight w:val="179"/>
        </w:trPr>
        <w:tc>
          <w:tcPr>
            <w:tcW w:w="1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Copies to:</w:t>
            </w:r>
          </w:p>
        </w:tc>
        <w:tc>
          <w:tcPr>
            <w:tcW w:w="3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19"/>
        </w:trPr>
        <w:tc>
          <w:tcPr>
            <w:tcW w:w="140" w:type="dxa"/>
            <w:vAlign w:val="bottom"/>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1860" w:type="dxa"/>
            <w:vAlign w:val="bottom"/>
          </w:tcPr>
          <w:p>
            <w:pPr>
              <w:jc w:val="center"/>
              <w:ind w:right="4"/>
              <w:spacing w:after="0" w:line="119" w:lineRule="exact"/>
              <w:rPr>
                <w:sz w:val="20"/>
                <w:szCs w:val="20"/>
                <w:color w:val="auto"/>
              </w:rPr>
            </w:pPr>
            <w:r>
              <w:rPr>
                <w:rFonts w:ascii="Times New Roman" w:cs="Times New Roman" w:eastAsia="Times New Roman" w:hAnsi="Times New Roman"/>
                <w:sz w:val="11"/>
                <w:szCs w:val="11"/>
                <w:b w:val="1"/>
                <w:bCs w:val="1"/>
                <w:color w:val="auto"/>
              </w:rPr>
              <w:t>Dave Peinsipp</w:t>
            </w:r>
          </w:p>
        </w:tc>
        <w:tc>
          <w:tcPr>
            <w:tcW w:w="32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b w:val="1"/>
                <w:bCs w:val="1"/>
                <w:color w:val="auto"/>
              </w:rPr>
              <w:t>​ ​</w:t>
            </w:r>
          </w:p>
        </w:tc>
        <w:tc>
          <w:tcPr>
            <w:tcW w:w="19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7"/>
              </w:rPr>
              <w:t>John Schroer</w:t>
            </w:r>
          </w:p>
        </w:tc>
        <w:tc>
          <w:tcPr>
            <w:tcW w:w="320" w:type="dxa"/>
            <w:vAlign w:val="bottom"/>
          </w:tcPr>
          <w:p>
            <w:pPr>
              <w:ind w:left="100"/>
              <w:spacing w:after="0" w:line="119" w:lineRule="exact"/>
              <w:rPr>
                <w:sz w:val="20"/>
                <w:szCs w:val="20"/>
                <w:color w:val="auto"/>
              </w:rPr>
            </w:pPr>
            <w:r>
              <w:rPr>
                <w:rFonts w:ascii="Times New Roman" w:cs="Times New Roman" w:eastAsia="Times New Roman" w:hAnsi="Times New Roman"/>
                <w:sz w:val="11"/>
                <w:szCs w:val="11"/>
                <w:b w:val="1"/>
                <w:bCs w:val="1"/>
                <w:color w:val="auto"/>
              </w:rPr>
              <w:t>​ ​</w:t>
            </w:r>
          </w:p>
        </w:tc>
        <w:tc>
          <w:tcPr>
            <w:tcW w:w="18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B. Shayne Kennedy</w:t>
            </w:r>
          </w:p>
        </w:tc>
        <w:tc>
          <w:tcPr>
            <w:tcW w:w="140" w:type="dxa"/>
            <w:vAlign w:val="bottom"/>
          </w:tcPr>
          <w:p>
            <w:pPr>
              <w:ind w:left="12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16"/>
        </w:trPr>
        <w:tc>
          <w:tcPr>
            <w:tcW w:w="140" w:type="dxa"/>
            <w:vAlign w:val="bottom"/>
          </w:tcPr>
          <w:p>
            <w:pPr>
              <w:spacing w:after="0"/>
              <w:rPr>
                <w:sz w:val="10"/>
                <w:szCs w:val="10"/>
                <w:color w:val="auto"/>
              </w:rPr>
            </w:pPr>
          </w:p>
        </w:tc>
        <w:tc>
          <w:tcPr>
            <w:tcW w:w="1860" w:type="dxa"/>
            <w:vAlign w:val="bottom"/>
          </w:tcPr>
          <w:p>
            <w:pPr>
              <w:jc w:val="center"/>
              <w:ind w:right="4"/>
              <w:spacing w:after="0" w:line="116" w:lineRule="exact"/>
              <w:rPr>
                <w:sz w:val="20"/>
                <w:szCs w:val="20"/>
                <w:color w:val="auto"/>
              </w:rPr>
            </w:pPr>
            <w:r>
              <w:rPr>
                <w:rFonts w:ascii="Times New Roman" w:cs="Times New Roman" w:eastAsia="Times New Roman" w:hAnsi="Times New Roman"/>
                <w:sz w:val="11"/>
                <w:szCs w:val="11"/>
                <w:b w:val="1"/>
                <w:bCs w:val="1"/>
                <w:color w:val="auto"/>
                <w:w w:val="99"/>
              </w:rPr>
              <w:t>Kristin VanderPas</w:t>
            </w:r>
          </w:p>
        </w:tc>
        <w:tc>
          <w:tcPr>
            <w:tcW w:w="320" w:type="dxa"/>
            <w:vAlign w:val="bottom"/>
          </w:tcPr>
          <w:p>
            <w:pPr>
              <w:spacing w:after="0"/>
              <w:rPr>
                <w:sz w:val="10"/>
                <w:szCs w:val="10"/>
                <w:color w:val="auto"/>
              </w:rPr>
            </w:pPr>
          </w:p>
        </w:tc>
        <w:tc>
          <w:tcPr>
            <w:tcW w:w="19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9"/>
              </w:rPr>
              <w:t>Chief Financial Officer</w:t>
            </w:r>
          </w:p>
        </w:tc>
        <w:tc>
          <w:tcPr>
            <w:tcW w:w="320" w:type="dxa"/>
            <w:vAlign w:val="bottom"/>
          </w:tcPr>
          <w:p>
            <w:pPr>
              <w:spacing w:after="0"/>
              <w:rPr>
                <w:sz w:val="10"/>
                <w:szCs w:val="10"/>
                <w:color w:val="auto"/>
              </w:rPr>
            </w:pPr>
          </w:p>
        </w:tc>
        <w:tc>
          <w:tcPr>
            <w:tcW w:w="18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Ross McAloon</w:t>
            </w:r>
          </w:p>
        </w:tc>
        <w:tc>
          <w:tcPr>
            <w:tcW w:w="140" w:type="dxa"/>
            <w:vAlign w:val="bottom"/>
          </w:tcPr>
          <w:p>
            <w:pPr>
              <w:spacing w:after="0"/>
              <w:rPr>
                <w:sz w:val="10"/>
                <w:szCs w:val="10"/>
                <w:color w:val="auto"/>
              </w:rPr>
            </w:pPr>
          </w:p>
        </w:tc>
      </w:tr>
      <w:tr>
        <w:trPr>
          <w:trHeight w:val="113"/>
        </w:trPr>
        <w:tc>
          <w:tcPr>
            <w:tcW w:w="140" w:type="dxa"/>
            <w:vAlign w:val="bottom"/>
          </w:tcPr>
          <w:p>
            <w:pPr>
              <w:spacing w:after="0"/>
              <w:rPr>
                <w:sz w:val="9"/>
                <w:szCs w:val="9"/>
                <w:color w:val="auto"/>
              </w:rPr>
            </w:pPr>
          </w:p>
        </w:tc>
        <w:tc>
          <w:tcPr>
            <w:tcW w:w="1860" w:type="dxa"/>
            <w:vAlign w:val="bottom"/>
          </w:tcPr>
          <w:p>
            <w:pPr>
              <w:jc w:val="center"/>
              <w:ind w:right="4"/>
              <w:spacing w:after="0" w:line="113" w:lineRule="exact"/>
              <w:rPr>
                <w:sz w:val="20"/>
                <w:szCs w:val="20"/>
                <w:color w:val="auto"/>
              </w:rPr>
            </w:pPr>
            <w:r>
              <w:rPr>
                <w:rFonts w:ascii="Times New Roman" w:cs="Times New Roman" w:eastAsia="Times New Roman" w:hAnsi="Times New Roman"/>
                <w:sz w:val="11"/>
                <w:szCs w:val="11"/>
                <w:b w:val="1"/>
                <w:bCs w:val="1"/>
                <w:color w:val="auto"/>
              </w:rPr>
              <w:t>Lauren Creel</w:t>
            </w:r>
          </w:p>
        </w:tc>
        <w:tc>
          <w:tcPr>
            <w:tcW w:w="320" w:type="dxa"/>
            <w:vAlign w:val="bottom"/>
          </w:tcPr>
          <w:p>
            <w:pPr>
              <w:spacing w:after="0"/>
              <w:rPr>
                <w:sz w:val="9"/>
                <w:szCs w:val="9"/>
                <w:color w:val="auto"/>
              </w:rPr>
            </w:pPr>
          </w:p>
        </w:tc>
        <w:tc>
          <w:tcPr>
            <w:tcW w:w="196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8"/>
              </w:rPr>
              <w:t>280 East Grand Avenue</w:t>
            </w:r>
          </w:p>
        </w:tc>
        <w:tc>
          <w:tcPr>
            <w:tcW w:w="320" w:type="dxa"/>
            <w:vAlign w:val="bottom"/>
          </w:tcPr>
          <w:p>
            <w:pPr>
              <w:spacing w:after="0"/>
              <w:rPr>
                <w:sz w:val="9"/>
                <w:szCs w:val="9"/>
                <w:color w:val="auto"/>
              </w:rPr>
            </w:pPr>
          </w:p>
        </w:tc>
        <w:tc>
          <w:tcPr>
            <w:tcW w:w="188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rPr>
              <w:t>Latham &amp; Watkins LLP</w:t>
            </w:r>
          </w:p>
        </w:tc>
        <w:tc>
          <w:tcPr>
            <w:tcW w:w="140" w:type="dxa"/>
            <w:vAlign w:val="bottom"/>
          </w:tcPr>
          <w:p>
            <w:pPr>
              <w:spacing w:after="0"/>
              <w:rPr>
                <w:sz w:val="9"/>
                <w:szCs w:val="9"/>
                <w:color w:val="auto"/>
              </w:rPr>
            </w:pPr>
          </w:p>
        </w:tc>
      </w:tr>
      <w:tr>
        <w:trPr>
          <w:trHeight w:val="116"/>
        </w:trPr>
        <w:tc>
          <w:tcPr>
            <w:tcW w:w="140" w:type="dxa"/>
            <w:vAlign w:val="bottom"/>
          </w:tcPr>
          <w:p>
            <w:pPr>
              <w:spacing w:after="0"/>
              <w:rPr>
                <w:sz w:val="10"/>
                <w:szCs w:val="10"/>
                <w:color w:val="auto"/>
              </w:rPr>
            </w:pPr>
          </w:p>
        </w:tc>
        <w:tc>
          <w:tcPr>
            <w:tcW w:w="1860" w:type="dxa"/>
            <w:vAlign w:val="bottom"/>
          </w:tcPr>
          <w:p>
            <w:pPr>
              <w:jc w:val="center"/>
              <w:ind w:right="4"/>
              <w:spacing w:after="0" w:line="116" w:lineRule="exact"/>
              <w:rPr>
                <w:sz w:val="20"/>
                <w:szCs w:val="20"/>
                <w:color w:val="auto"/>
              </w:rPr>
            </w:pPr>
            <w:r>
              <w:rPr>
                <w:rFonts w:ascii="Times New Roman" w:cs="Times New Roman" w:eastAsia="Times New Roman" w:hAnsi="Times New Roman"/>
                <w:sz w:val="11"/>
                <w:szCs w:val="11"/>
                <w:b w:val="1"/>
                <w:bCs w:val="1"/>
                <w:color w:val="auto"/>
                <w:w w:val="98"/>
              </w:rPr>
              <w:t>Cooley LLP</w:t>
            </w:r>
          </w:p>
        </w:tc>
        <w:tc>
          <w:tcPr>
            <w:tcW w:w="320" w:type="dxa"/>
            <w:vAlign w:val="bottom"/>
          </w:tcPr>
          <w:p>
            <w:pPr>
              <w:spacing w:after="0"/>
              <w:rPr>
                <w:sz w:val="10"/>
                <w:szCs w:val="10"/>
                <w:color w:val="auto"/>
              </w:rPr>
            </w:pPr>
          </w:p>
        </w:tc>
        <w:tc>
          <w:tcPr>
            <w:tcW w:w="19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9"/>
              </w:rPr>
              <w:t>South San Francisco, California 94080</w:t>
            </w:r>
          </w:p>
        </w:tc>
        <w:tc>
          <w:tcPr>
            <w:tcW w:w="320" w:type="dxa"/>
            <w:vAlign w:val="bottom"/>
          </w:tcPr>
          <w:p>
            <w:pPr>
              <w:spacing w:after="0"/>
              <w:rPr>
                <w:sz w:val="10"/>
                <w:szCs w:val="10"/>
                <w:color w:val="auto"/>
              </w:rPr>
            </w:pPr>
          </w:p>
        </w:tc>
        <w:tc>
          <w:tcPr>
            <w:tcW w:w="18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505 Montgomery Street, Suite 2000</w:t>
            </w:r>
          </w:p>
        </w:tc>
        <w:tc>
          <w:tcPr>
            <w:tcW w:w="140" w:type="dxa"/>
            <w:vAlign w:val="bottom"/>
          </w:tcPr>
          <w:p>
            <w:pPr>
              <w:spacing w:after="0"/>
              <w:rPr>
                <w:sz w:val="10"/>
                <w:szCs w:val="10"/>
                <w:color w:val="auto"/>
              </w:rPr>
            </w:pPr>
          </w:p>
        </w:tc>
      </w:tr>
      <w:tr>
        <w:trPr>
          <w:trHeight w:val="113"/>
        </w:trPr>
        <w:tc>
          <w:tcPr>
            <w:tcW w:w="140" w:type="dxa"/>
            <w:vAlign w:val="bottom"/>
          </w:tcPr>
          <w:p>
            <w:pPr>
              <w:spacing w:after="0"/>
              <w:rPr>
                <w:sz w:val="9"/>
                <w:szCs w:val="9"/>
                <w:color w:val="auto"/>
              </w:rPr>
            </w:pPr>
          </w:p>
        </w:tc>
        <w:tc>
          <w:tcPr>
            <w:tcW w:w="1860" w:type="dxa"/>
            <w:vAlign w:val="bottom"/>
          </w:tcPr>
          <w:p>
            <w:pPr>
              <w:jc w:val="center"/>
              <w:ind w:right="4"/>
              <w:spacing w:after="0" w:line="113" w:lineRule="exact"/>
              <w:rPr>
                <w:sz w:val="20"/>
                <w:szCs w:val="20"/>
                <w:color w:val="auto"/>
              </w:rPr>
            </w:pPr>
            <w:r>
              <w:rPr>
                <w:rFonts w:ascii="Times New Roman" w:cs="Times New Roman" w:eastAsia="Times New Roman" w:hAnsi="Times New Roman"/>
                <w:sz w:val="11"/>
                <w:szCs w:val="11"/>
                <w:b w:val="1"/>
                <w:bCs w:val="1"/>
                <w:color w:val="auto"/>
                <w:w w:val="98"/>
              </w:rPr>
              <w:t>3 Embarcadero Center, 20th Floor</w:t>
            </w:r>
          </w:p>
        </w:tc>
        <w:tc>
          <w:tcPr>
            <w:tcW w:w="320" w:type="dxa"/>
            <w:vAlign w:val="bottom"/>
          </w:tcPr>
          <w:p>
            <w:pPr>
              <w:spacing w:after="0"/>
              <w:rPr>
                <w:sz w:val="9"/>
                <w:szCs w:val="9"/>
                <w:color w:val="auto"/>
              </w:rPr>
            </w:pPr>
          </w:p>
        </w:tc>
        <w:tc>
          <w:tcPr>
            <w:tcW w:w="196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8"/>
              </w:rPr>
              <w:t>(650) 231-6625</w:t>
            </w:r>
          </w:p>
        </w:tc>
        <w:tc>
          <w:tcPr>
            <w:tcW w:w="320" w:type="dxa"/>
            <w:vAlign w:val="bottom"/>
          </w:tcPr>
          <w:p>
            <w:pPr>
              <w:spacing w:after="0"/>
              <w:rPr>
                <w:sz w:val="9"/>
                <w:szCs w:val="9"/>
                <w:color w:val="auto"/>
              </w:rPr>
            </w:pPr>
          </w:p>
        </w:tc>
        <w:tc>
          <w:tcPr>
            <w:tcW w:w="188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9"/>
              </w:rPr>
              <w:t>San Francisco, California 94111</w:t>
            </w:r>
          </w:p>
        </w:tc>
        <w:tc>
          <w:tcPr>
            <w:tcW w:w="140" w:type="dxa"/>
            <w:vAlign w:val="bottom"/>
          </w:tcPr>
          <w:p>
            <w:pPr>
              <w:spacing w:after="0"/>
              <w:rPr>
                <w:sz w:val="9"/>
                <w:szCs w:val="9"/>
                <w:color w:val="auto"/>
              </w:rPr>
            </w:pPr>
          </w:p>
        </w:tc>
      </w:tr>
      <w:tr>
        <w:trPr>
          <w:trHeight w:val="116"/>
        </w:trPr>
        <w:tc>
          <w:tcPr>
            <w:tcW w:w="140" w:type="dxa"/>
            <w:vAlign w:val="bottom"/>
          </w:tcPr>
          <w:p>
            <w:pPr>
              <w:spacing w:after="0"/>
              <w:rPr>
                <w:sz w:val="10"/>
                <w:szCs w:val="10"/>
                <w:color w:val="auto"/>
              </w:rPr>
            </w:pPr>
          </w:p>
        </w:tc>
        <w:tc>
          <w:tcPr>
            <w:tcW w:w="1860" w:type="dxa"/>
            <w:vAlign w:val="bottom"/>
          </w:tcPr>
          <w:p>
            <w:pPr>
              <w:jc w:val="center"/>
              <w:ind w:right="4"/>
              <w:spacing w:after="0" w:line="116" w:lineRule="exact"/>
              <w:rPr>
                <w:sz w:val="20"/>
                <w:szCs w:val="20"/>
                <w:color w:val="auto"/>
              </w:rPr>
            </w:pPr>
            <w:r>
              <w:rPr>
                <w:rFonts w:ascii="Times New Roman" w:cs="Times New Roman" w:eastAsia="Times New Roman" w:hAnsi="Times New Roman"/>
                <w:sz w:val="11"/>
                <w:szCs w:val="11"/>
                <w:b w:val="1"/>
                <w:bCs w:val="1"/>
                <w:color w:val="auto"/>
                <w:w w:val="98"/>
              </w:rPr>
              <w:t>San Francisco, California 94111</w:t>
            </w:r>
          </w:p>
        </w:tc>
        <w:tc>
          <w:tcPr>
            <w:tcW w:w="3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8"/>
              </w:rPr>
              <w:t>(415) 391-0600</w:t>
            </w:r>
          </w:p>
        </w:tc>
        <w:tc>
          <w:tcPr>
            <w:tcW w:w="140" w:type="dxa"/>
            <w:vAlign w:val="bottom"/>
          </w:tcPr>
          <w:p>
            <w:pPr>
              <w:spacing w:after="0"/>
              <w:rPr>
                <w:sz w:val="10"/>
                <w:szCs w:val="10"/>
                <w:color w:val="auto"/>
              </w:rPr>
            </w:pPr>
          </w:p>
        </w:tc>
      </w:tr>
      <w:tr>
        <w:trPr>
          <w:trHeight w:val="150"/>
        </w:trPr>
        <w:tc>
          <w:tcPr>
            <w:tcW w:w="14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(415) 693-2000</w:t>
            </w:r>
          </w:p>
        </w:tc>
        <w:tc>
          <w:tcPr>
            <w:tcW w:w="3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40" w:type="dxa"/>
            <w:vAlign w:val="bottom"/>
          </w:tcPr>
          <w:p>
            <w:pPr>
              <w:spacing w:after="0"/>
              <w:rPr>
                <w:sz w:val="13"/>
                <w:szCs w:val="13"/>
                <w:color w:val="auto"/>
              </w:rPr>
            </w:pPr>
          </w:p>
        </w:tc>
      </w:tr>
    </w:tbl>
    <w:p>
      <w:pPr>
        <w:spacing w:after="0" w:line="10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 As soon as practicable after this registration statement becomes effective.</w:t>
      </w:r>
    </w:p>
    <w:p>
      <w:pPr>
        <w:spacing w:after="0" w:line="68" w:lineRule="exact"/>
        <w:rPr>
          <w:sz w:val="24"/>
          <w:szCs w:val="24"/>
          <w:color w:val="auto"/>
        </w:rPr>
      </w:pPr>
    </w:p>
    <w:p>
      <w:pPr>
        <w:jc w:val="both"/>
        <w:ind w:left="1200" w:right="1219"/>
        <w:spacing w:after="0" w:line="148"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spacing w:after="0" w:line="26" w:lineRule="exact"/>
        <w:rPr>
          <w:sz w:val="24"/>
          <w:szCs w:val="24"/>
          <w:color w:val="auto"/>
        </w:rPr>
      </w:pPr>
    </w:p>
    <w:p>
      <w:pPr>
        <w:jc w:val="both"/>
        <w:ind w:left="1200" w:right="1219"/>
        <w:spacing w:after="0" w:line="155"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30" w:lineRule="exact"/>
        <w:rPr>
          <w:sz w:val="24"/>
          <w:szCs w:val="24"/>
          <w:color w:val="auto"/>
        </w:rPr>
      </w:pPr>
    </w:p>
    <w:p>
      <w:pPr>
        <w:jc w:val="both"/>
        <w:ind w:left="1200" w:right="1219"/>
        <w:spacing w:after="0" w:line="148"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6" w:lineRule="exact"/>
        <w:rPr>
          <w:sz w:val="24"/>
          <w:szCs w:val="24"/>
          <w:color w:val="auto"/>
        </w:rPr>
      </w:pPr>
    </w:p>
    <w:p>
      <w:pPr>
        <w:jc w:val="both"/>
        <w:ind w:left="1200" w:right="1219"/>
        <w:spacing w:after="0" w:line="148"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6" w:lineRule="exact"/>
        <w:rPr>
          <w:sz w:val="24"/>
          <w:szCs w:val="24"/>
          <w:color w:val="auto"/>
        </w:rPr>
      </w:pPr>
    </w:p>
    <w:p>
      <w:pPr>
        <w:jc w:val="both"/>
        <w:ind w:left="1200" w:right="1219"/>
        <w:spacing w:after="0" w:line="255"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179" w:right="1440" w:bottom="1440" w:gutter="0" w:footer="0" w:header="0"/>
        </w:sectPr>
      </w:pPr>
    </w:p>
    <w:p>
      <w:pPr>
        <w:spacing w:after="0" w:line="1" w:lineRule="exact"/>
        <w:rPr>
          <w:sz w:val="24"/>
          <w:szCs w:val="24"/>
          <w:color w:val="auto"/>
        </w:rPr>
      </w:pPr>
    </w:p>
    <w:tbl>
      <w:tblPr>
        <w:tblLayout w:type="fixed"/>
        <w:tblInd w:w="1200" w:type="dxa"/>
        <w:tblCellMar>
          <w:top w:w="0" w:type="dxa"/>
          <w:left w:w="0" w:type="dxa"/>
          <w:bottom w:w="0" w:type="dxa"/>
          <w:right w:w="0" w:type="dxa"/>
        </w:tblCellMar>
      </w:tblPr>
      <w:tr>
        <w:trPr>
          <w:trHeight w:val="140"/>
        </w:trPr>
        <w:tc>
          <w:tcPr>
            <w:tcW w:w="300" w:type="dxa"/>
            <w:vAlign w:val="bottom"/>
          </w:tcPr>
          <w:p>
            <w:pPr>
              <w:spacing w:after="0"/>
              <w:rPr>
                <w:sz w:val="20"/>
                <w:szCs w:val="20"/>
                <w:color w:val="auto"/>
              </w:rPr>
            </w:pPr>
            <w:r>
              <w:rPr>
                <w:rFonts w:ascii="Times New Roman" w:cs="Times New Roman" w:eastAsia="Times New Roman" w:hAnsi="Times New Roman"/>
                <w:sz w:val="11"/>
                <w:szCs w:val="11"/>
                <w:color w:val="auto"/>
              </w:rPr>
              <w:t>Large​</w:t>
            </w:r>
          </w:p>
        </w:tc>
        <w:tc>
          <w:tcPr>
            <w:tcW w:w="980" w:type="dxa"/>
            <w:vAlign w:val="bottom"/>
          </w:tcPr>
          <w:p>
            <w:pPr>
              <w:spacing w:after="0"/>
              <w:rPr>
                <w:sz w:val="20"/>
                <w:szCs w:val="20"/>
                <w:color w:val="auto"/>
              </w:rPr>
            </w:pPr>
            <w:r>
              <w:rPr>
                <w:rFonts w:ascii="Times New Roman" w:cs="Times New Roman" w:eastAsia="Times New Roman" w:hAnsi="Times New Roman"/>
                <w:sz w:val="11"/>
                <w:szCs w:val="11"/>
                <w:color w:val="auto"/>
              </w:rPr>
              <w:t>accelerated filer</w:t>
            </w:r>
          </w:p>
        </w:tc>
        <w:tc>
          <w:tcPr>
            <w:tcW w:w="1880" w:type="dxa"/>
            <w:vAlign w:val="bottom"/>
            <w:gridSpan w:val="3"/>
          </w:tcPr>
          <w:p>
            <w:pPr>
              <w:jc w:val="right"/>
              <w:ind w:right="1163"/>
              <w:spacing w:after="0" w:line="127" w:lineRule="exact"/>
              <w:rPr>
                <w:sz w:val="20"/>
                <w:szCs w:val="20"/>
                <w:color w:val="auto"/>
              </w:rPr>
            </w:pPr>
            <w:r>
              <w:rPr>
                <w:rFonts w:ascii="Times New Roman" w:cs="Times New Roman" w:eastAsia="Times New Roman" w:hAnsi="Times New Roman"/>
                <w:sz w:val="11"/>
                <w:szCs w:val="11"/>
                <w:color w:val="auto"/>
              </w:rPr>
              <w:t xml:space="preserve">​ ​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 ​ ​</w:t>
            </w:r>
          </w:p>
        </w:tc>
        <w:tc>
          <w:tcPr>
            <w:tcW w:w="2700" w:type="dxa"/>
            <w:vAlign w:val="bottom"/>
            <w:gridSpan w:val="2"/>
          </w:tcPr>
          <w:p>
            <w:pPr>
              <w:ind w:left="1240"/>
              <w:spacing w:after="0"/>
              <w:rPr>
                <w:sz w:val="20"/>
                <w:szCs w:val="20"/>
                <w:color w:val="auto"/>
              </w:rPr>
            </w:pPr>
            <w:r>
              <w:rPr>
                <w:rFonts w:ascii="Times New Roman" w:cs="Times New Roman" w:eastAsia="Times New Roman" w:hAnsi="Times New Roman"/>
                <w:sz w:val="11"/>
                <w:szCs w:val="11"/>
                <w:color w:val="auto"/>
              </w:rPr>
              <w:t>​ ​ Accelerated filer</w:t>
            </w:r>
          </w:p>
        </w:tc>
        <w:tc>
          <w:tcPr>
            <w:tcW w:w="0" w:type="dxa"/>
            <w:vAlign w:val="bottom"/>
          </w:tcPr>
          <w:p>
            <w:pPr>
              <w:spacing w:after="0"/>
              <w:rPr>
                <w:sz w:val="1"/>
                <w:szCs w:val="1"/>
                <w:color w:val="auto"/>
              </w:rPr>
            </w:pPr>
          </w:p>
        </w:tc>
      </w:tr>
      <w:tr>
        <w:trPr>
          <w:trHeight w:val="119"/>
        </w:trPr>
        <w:tc>
          <w:tcPr>
            <w:tcW w:w="3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spacing w:after="0"/>
              <w:rPr>
                <w:sz w:val="10"/>
                <w:szCs w:val="10"/>
                <w:color w:val="auto"/>
              </w:rPr>
            </w:pPr>
          </w:p>
        </w:tc>
        <w:tc>
          <w:tcPr>
            <w:tcW w:w="300" w:type="dxa"/>
            <w:vAlign w:val="bottom"/>
          </w:tcPr>
          <w:p>
            <w:pPr>
              <w:ind w:left="180"/>
              <w:spacing w:after="0" w:line="119" w:lineRule="exact"/>
              <w:rPr>
                <w:sz w:val="20"/>
                <w:szCs w:val="20"/>
                <w:color w:val="auto"/>
              </w:rPr>
            </w:pPr>
            <w:r>
              <w:rPr>
                <w:rFonts w:ascii="Times New Roman" w:cs="Times New Roman" w:eastAsia="Times New Roman" w:hAnsi="Times New Roman"/>
                <w:sz w:val="11"/>
                <w:szCs w:val="11"/>
                <w:color w:val="auto"/>
              </w:rPr>
              <w:t>​ ​</w:t>
            </w:r>
          </w:p>
        </w:tc>
        <w:tc>
          <w:tcPr>
            <w:tcW w:w="160" w:type="dxa"/>
            <w:vAlign w:val="bottom"/>
            <w:vMerge w:val="restart"/>
          </w:tcPr>
          <w:p>
            <w:pPr>
              <w:ind w:left="40"/>
              <w:spacing w:after="0" w:line="111" w:lineRule="exact"/>
              <w:rPr>
                <w:sz w:val="20"/>
                <w:szCs w:val="20"/>
                <w:color w:val="auto"/>
              </w:rPr>
            </w:pPr>
            <w:r>
              <w:rPr>
                <w:rFonts w:ascii="MS PGothic" w:cs="MS PGothic" w:eastAsia="MS PGothic" w:hAnsi="MS PGothic"/>
                <w:sz w:val="11"/>
                <w:szCs w:val="11"/>
                <w:color w:val="auto"/>
                <w:w w:val="90"/>
              </w:rPr>
              <w:t>☒</w:t>
            </w:r>
          </w:p>
        </w:tc>
        <w:tc>
          <w:tcPr>
            <w:tcW w:w="1420" w:type="dxa"/>
            <w:vAlign w:val="bottom"/>
          </w:tcPr>
          <w:p>
            <w:pPr>
              <w:jc w:val="right"/>
              <w:ind w:right="1163"/>
              <w:spacing w:after="0" w:line="119" w:lineRule="exact"/>
              <w:rPr>
                <w:sz w:val="20"/>
                <w:szCs w:val="20"/>
                <w:color w:val="auto"/>
              </w:rPr>
            </w:pPr>
            <w:r>
              <w:rPr>
                <w:rFonts w:ascii="Times New Roman" w:cs="Times New Roman" w:eastAsia="Times New Roman" w:hAnsi="Times New Roman"/>
                <w:sz w:val="11"/>
                <w:szCs w:val="11"/>
                <w:color w:val="auto"/>
              </w:rPr>
              <w:t>​ ​ ​</w:t>
            </w:r>
          </w:p>
        </w:tc>
        <w:tc>
          <w:tcPr>
            <w:tcW w:w="1360" w:type="dxa"/>
            <w:vAlign w:val="bottom"/>
          </w:tcPr>
          <w:p>
            <w:pPr>
              <w:ind w:left="1240"/>
              <w:spacing w:after="0" w:line="119" w:lineRule="exact"/>
              <w:rPr>
                <w:sz w:val="20"/>
                <w:szCs w:val="20"/>
                <w:color w:val="auto"/>
              </w:rPr>
            </w:pPr>
            <w:r>
              <w:rPr>
                <w:rFonts w:ascii="Times New Roman" w:cs="Times New Roman" w:eastAsia="Times New Roman" w:hAnsi="Times New Roman"/>
                <w:sz w:val="11"/>
                <w:szCs w:val="11"/>
                <w:color w:val="auto"/>
              </w:rPr>
              <w:t>​ ​</w:t>
            </w: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0" w:type="dxa"/>
            <w:vAlign w:val="bottom"/>
          </w:tcPr>
          <w:p>
            <w:pPr>
              <w:spacing w:after="0"/>
              <w:rPr>
                <w:sz w:val="1"/>
                <w:szCs w:val="1"/>
                <w:color w:val="auto"/>
              </w:rPr>
            </w:pPr>
          </w:p>
        </w:tc>
      </w:tr>
      <w:tr>
        <w:trPr>
          <w:trHeight w:val="32"/>
        </w:trPr>
        <w:tc>
          <w:tcPr>
            <w:tcW w:w="1280" w:type="dxa"/>
            <w:vAlign w:val="bottom"/>
            <w:gridSpan w:val="2"/>
          </w:tcPr>
          <w:p>
            <w:pPr>
              <w:spacing w:after="0" w:line="33" w:lineRule="exact"/>
              <w:rPr>
                <w:sz w:val="20"/>
                <w:szCs w:val="20"/>
                <w:color w:val="auto"/>
              </w:rPr>
            </w:pPr>
            <w:r>
              <w:rPr>
                <w:rFonts w:ascii="Times New Roman" w:cs="Times New Roman" w:eastAsia="Times New Roman" w:hAnsi="Times New Roman"/>
                <w:sz w:val="3"/>
                <w:szCs w:val="3"/>
                <w:color w:val="auto"/>
              </w:rPr>
              <w:t>Non-accelerated filer</w:t>
            </w:r>
          </w:p>
        </w:tc>
        <w:tc>
          <w:tcPr>
            <w:tcW w:w="30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1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 ​ ​</w:t>
            </w:r>
          </w:p>
        </w:tc>
        <w:tc>
          <w:tcPr>
            <w:tcW w:w="1420" w:type="dxa"/>
            <w:vAlign w:val="bottom"/>
          </w:tcPr>
          <w:p>
            <w:pPr>
              <w:jc w:val="right"/>
              <w:ind w:right="1163"/>
              <w:spacing w:after="0"/>
              <w:rPr>
                <w:sz w:val="20"/>
                <w:szCs w:val="20"/>
                <w:color w:val="auto"/>
              </w:rPr>
            </w:pPr>
            <w:r>
              <w:rPr>
                <w:rFonts w:ascii="Times New Roman" w:cs="Times New Roman" w:eastAsia="Times New Roman" w:hAnsi="Times New Roman"/>
                <w:sz w:val="11"/>
                <w:szCs w:val="11"/>
                <w:color w:val="auto"/>
              </w:rPr>
              <w:t>​ ​ ​</w:t>
            </w:r>
          </w:p>
        </w:tc>
        <w:tc>
          <w:tcPr>
            <w:tcW w:w="2700" w:type="dxa"/>
            <w:vAlign w:val="bottom"/>
            <w:gridSpan w:val="2"/>
          </w:tcPr>
          <w:p>
            <w:pPr>
              <w:ind w:left="1240"/>
              <w:spacing w:after="0"/>
              <w:rPr>
                <w:sz w:val="20"/>
                <w:szCs w:val="20"/>
                <w:color w:val="auto"/>
              </w:rPr>
            </w:pPr>
            <w:r>
              <w:rPr>
                <w:rFonts w:ascii="Times New Roman" w:cs="Times New Roman" w:eastAsia="Times New Roman" w:hAnsi="Times New Roman"/>
                <w:sz w:val="11"/>
                <w:szCs w:val="11"/>
                <w:color w:val="auto"/>
              </w:rPr>
              <w:t>​ ​ Emerging growth company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8" w:lineRule="exact"/>
        <w:rPr>
          <w:sz w:val="20"/>
          <w:szCs w:val="20"/>
          <w:color w:val="auto"/>
        </w:rPr>
      </w:pPr>
      <w:r>
        <w:rPr>
          <w:rFonts w:ascii="Times New Roman" w:cs="Times New Roman" w:eastAsia="Times New Roman" w:hAnsi="Times New Roman"/>
          <w:sz w:val="11"/>
          <w:szCs w:val="11"/>
          <w:color w:val="auto"/>
        </w:rPr>
        <w:t xml:space="preserve">​ ​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w:t>
      </w:r>
    </w:p>
    <w:p>
      <w:pPr>
        <w:spacing w:after="0" w:line="30"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 ​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w:t>
      </w:r>
    </w:p>
    <w:p>
      <w:pPr>
        <w:spacing w:after="0" w:line="20"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 ​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w:t>
      </w:r>
    </w:p>
    <w:p>
      <w:pPr>
        <w:spacing w:after="0" w:line="173" w:lineRule="exact"/>
        <w:rPr>
          <w:sz w:val="24"/>
          <w:szCs w:val="24"/>
          <w:color w:val="auto"/>
        </w:rPr>
      </w:pPr>
    </w:p>
    <w:p>
      <w:pPr>
        <w:sectPr>
          <w:pgSz w:w="11900" w:h="16838" w:orient="portrait"/>
          <w:cols w:equalWidth="0" w:num="2">
            <w:col w:w="7060" w:space="440"/>
            <w:col w:w="1519"/>
          </w:cols>
          <w:pgMar w:left="1440" w:top="179" w:right="1440" w:bottom="1440" w:gutter="0" w:footer="0" w:header="0"/>
          <w:type w:val="continuous"/>
        </w:sectPr>
      </w:pPr>
    </w:p>
    <w:p>
      <w:pPr>
        <w:jc w:val="both"/>
        <w:ind w:left="1200" w:right="1219"/>
        <w:spacing w:after="0" w:line="148"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15" w:lineRule="exact"/>
        <w:rPr>
          <w:sz w:val="24"/>
          <w:szCs w:val="24"/>
          <w:color w:val="auto"/>
        </w:rPr>
      </w:pPr>
    </w:p>
    <w:p>
      <w:pPr>
        <w:jc w:val="both"/>
        <w:ind w:left="1200" w:right="1219"/>
        <w:spacing w:after="0" w:line="258"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760730</wp:posOffset>
            </wp:positionH>
            <wp:positionV relativeFrom="paragraph">
              <wp:posOffset>53975</wp:posOffset>
            </wp:positionV>
            <wp:extent cx="419862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98620" cy="5715"/>
                    </a:xfrm>
                    <a:prstGeom prst="rect">
                      <a:avLst/>
                    </a:prstGeom>
                    <a:noFill/>
                  </pic:spPr>
                </pic:pic>
              </a:graphicData>
            </a:graphic>
          </wp:anchor>
        </w:drawing>
      </w:r>
    </w:p>
    <w:p>
      <w:pPr>
        <w:spacing w:after="0" w:line="78"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2"/>
          <w:szCs w:val="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760730</wp:posOffset>
            </wp:positionH>
            <wp:positionV relativeFrom="paragraph">
              <wp:posOffset>6350</wp:posOffset>
            </wp:positionV>
            <wp:extent cx="419862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98620" cy="11430"/>
                    </a:xfrm>
                    <a:prstGeom prst="rect">
                      <a:avLst/>
                    </a:prstGeom>
                    <a:noFill/>
                  </pic:spPr>
                </pic:pic>
              </a:graphicData>
            </a:graphic>
          </wp:anchor>
        </w:drawing>
        <w:drawing>
          <wp:anchor simplePos="0" relativeHeight="251657728" behindDoc="1" locked="0" layoutInCell="0" allowOverlap="1">
            <wp:simplePos x="0" y="0"/>
            <wp:positionH relativeFrom="column">
              <wp:posOffset>538480</wp:posOffset>
            </wp:positionH>
            <wp:positionV relativeFrom="paragraph">
              <wp:posOffset>173990</wp:posOffset>
            </wp:positionV>
            <wp:extent cx="464312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type w:val="continuous"/>
        </w:sectPr>
      </w:pPr>
    </w:p>
    <w:bookmarkStart w:id="1" w:name="page2"/>
    <w:bookmarkEnd w:id="1"/>
    <w:p>
      <w:pPr>
        <w:ind w:left="860"/>
        <w:spacing w:after="0"/>
        <w:rPr>
          <w:sz w:val="20"/>
          <w:szCs w:val="20"/>
          <w:color w:val="auto"/>
        </w:rPr>
      </w:pPr>
      <w:r>
        <w:rPr>
          <w:rFonts w:ascii="Calibri" w:cs="Calibri" w:eastAsia="Calibri" w:hAnsi="Calibri"/>
          <w:sz w:val="9"/>
          <w:szCs w:val="9"/>
          <w:color w:val="003366"/>
        </w:rPr>
        <w:t>TABLE OF CONTENTS</w:t>
      </w:r>
    </w:p>
    <w:p>
      <w:pPr>
        <w:sectPr>
          <w:pgSz w:w="11900" w:h="16838" w:orient="portrait"/>
          <w:cols w:equalWidth="0" w:num="1">
            <w:col w:w="9019"/>
          </w:cols>
          <w:pgMar w:left="1440" w:top="111" w:right="1440" w:bottom="1440" w:gutter="0" w:footer="0" w:header="0"/>
        </w:sectPr>
      </w:pPr>
    </w:p>
    <w:p>
      <w:pPr>
        <w:spacing w:after="0" w:line="317" w:lineRule="exact"/>
        <w:rPr>
          <w:sz w:val="20"/>
          <w:szCs w:val="20"/>
          <w:color w:val="auto"/>
        </w:rPr>
      </w:pPr>
    </w:p>
    <w:tbl>
      <w:tblPr>
        <w:tblLayout w:type="fixed"/>
        <w:tblInd w:w="1460" w:type="dxa"/>
        <w:tblCellMar>
          <w:top w:w="0" w:type="dxa"/>
          <w:left w:w="0" w:type="dxa"/>
          <w:bottom w:w="0" w:type="dxa"/>
          <w:right w:w="0" w:type="dxa"/>
        </w:tblCellMar>
      </w:tblPr>
      <w:tr>
        <w:trPr>
          <w:trHeight w:val="1241"/>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F665B"/>
              </w:rPr>
              <w:t>statement filed with the</w:t>
            </w:r>
          </w:p>
        </w:tc>
        <w:tc>
          <w:tcPr>
            <w:tcW w:w="240" w:type="dxa"/>
            <w:vAlign w:val="bottom"/>
            <w:textDirection w:val="btLr"/>
          </w:tcPr>
          <w:p>
            <w:pPr>
              <w:ind w:left="26"/>
              <w:spacing w:after="0"/>
              <w:rPr>
                <w:sz w:val="20"/>
                <w:szCs w:val="20"/>
                <w:color w:val="auto"/>
              </w:rPr>
            </w:pPr>
            <w:r>
              <w:rPr>
                <w:rFonts w:ascii="Arial" w:cs="Arial" w:eastAsia="Arial" w:hAnsi="Arial"/>
                <w:sz w:val="11"/>
                <w:szCs w:val="11"/>
                <w:b w:val="1"/>
                <w:bCs w:val="1"/>
                <w:color w:val="FF665B"/>
              </w:rPr>
              <w:t>these securities in any</w:t>
            </w:r>
          </w:p>
        </w:tc>
      </w:tr>
      <w:tr>
        <w:trPr>
          <w:trHeight w:val="2531"/>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F665B"/>
              </w:rPr>
              <w:t>securities may not be sold until the registration</w:t>
            </w:r>
          </w:p>
        </w:tc>
        <w:tc>
          <w:tcPr>
            <w:tcW w:w="240" w:type="dxa"/>
            <w:vAlign w:val="bottom"/>
            <w:textDirection w:val="btLr"/>
          </w:tcPr>
          <w:p>
            <w:pPr>
              <w:ind w:left="26"/>
              <w:spacing w:after="0"/>
              <w:rPr>
                <w:sz w:val="20"/>
                <w:szCs w:val="20"/>
                <w:color w:val="auto"/>
              </w:rPr>
            </w:pPr>
            <w:r>
              <w:rPr>
                <w:rFonts w:ascii="Arial" w:cs="Arial" w:eastAsia="Arial" w:hAnsi="Arial"/>
                <w:sz w:val="11"/>
                <w:szCs w:val="11"/>
                <w:b w:val="1"/>
                <w:bCs w:val="1"/>
                <w:color w:val="FF665B"/>
              </w:rPr>
              <w:t>offer to sell nor does it seek an offer to buy</w:t>
            </w:r>
          </w:p>
        </w:tc>
      </w:tr>
      <w:tr>
        <w:trPr>
          <w:trHeight w:val="374"/>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F665B"/>
              </w:rPr>
              <w:t>These</w:t>
            </w:r>
          </w:p>
        </w:tc>
        <w:tc>
          <w:tcPr>
            <w:tcW w:w="240" w:type="dxa"/>
            <w:vAlign w:val="bottom"/>
            <w:textDirection w:val="btLr"/>
          </w:tcPr>
          <w:p>
            <w:pPr>
              <w:ind w:left="26"/>
              <w:spacing w:after="0"/>
              <w:rPr>
                <w:sz w:val="20"/>
                <w:szCs w:val="20"/>
                <w:color w:val="auto"/>
              </w:rPr>
            </w:pPr>
            <w:r>
              <w:rPr>
                <w:rFonts w:ascii="Arial" w:cs="Arial" w:eastAsia="Arial" w:hAnsi="Arial"/>
                <w:sz w:val="11"/>
                <w:szCs w:val="11"/>
                <w:b w:val="1"/>
                <w:bCs w:val="1"/>
                <w:color w:val="FF665B"/>
              </w:rPr>
              <w:t>not an</w:t>
            </w:r>
          </w:p>
        </w:tc>
      </w:tr>
      <w:tr>
        <w:trPr>
          <w:trHeight w:val="4476"/>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F665B"/>
              </w:rPr>
              <w:t>The information in this preliminary prospectus is not complete and may be changed.</w:t>
            </w:r>
          </w:p>
        </w:tc>
        <w:tc>
          <w:tcPr>
            <w:tcW w:w="240" w:type="dxa"/>
            <w:vAlign w:val="bottom"/>
            <w:textDirection w:val="btLr"/>
          </w:tcPr>
          <w:p>
            <w:pPr>
              <w:ind w:left="125"/>
              <w:spacing w:after="0"/>
              <w:rPr>
                <w:sz w:val="20"/>
                <w:szCs w:val="20"/>
                <w:color w:val="auto"/>
              </w:rPr>
            </w:pPr>
            <w:r>
              <w:rPr>
                <w:rFonts w:ascii="Arial" w:cs="Arial" w:eastAsia="Arial" w:hAnsi="Arial"/>
                <w:sz w:val="10"/>
                <w:szCs w:val="10"/>
                <w:b w:val="1"/>
                <w:bCs w:val="1"/>
                <w:color w:val="FF665B"/>
                <w:w w:val="72"/>
              </w:rPr>
              <w:t>Securities and Exchange Commission is effective. This preliminary prospectus isjurisdictionwheretheofferorsaleisnotpermitted.</w:t>
            </w:r>
          </w:p>
        </w:tc>
      </w:tr>
    </w:tbl>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Georgia" w:cs="Georgia" w:eastAsia="Georgia" w:hAnsi="Georgia"/>
          <w:sz w:val="15"/>
          <w:szCs w:val="15"/>
          <w:b w:val="1"/>
          <w:bCs w:val="1"/>
          <w:i w:val="1"/>
          <w:iCs w:val="1"/>
          <w:color w:val="FF665B"/>
        </w:rPr>
        <w:t>Subject to Completion.</w:t>
      </w:r>
    </w:p>
    <w:p>
      <w:pPr>
        <w:spacing w:after="0" w:line="30" w:lineRule="exact"/>
        <w:rPr>
          <w:sz w:val="20"/>
          <w:szCs w:val="20"/>
          <w:color w:val="auto"/>
        </w:rPr>
      </w:pPr>
    </w:p>
    <w:p>
      <w:pPr>
        <w:spacing w:after="0"/>
        <w:rPr>
          <w:sz w:val="20"/>
          <w:szCs w:val="20"/>
          <w:color w:val="auto"/>
        </w:rPr>
      </w:pPr>
      <w:r>
        <w:rPr>
          <w:rFonts w:ascii="Georgia" w:cs="Georgia" w:eastAsia="Georgia" w:hAnsi="Georgia"/>
          <w:sz w:val="13"/>
          <w:szCs w:val="13"/>
          <w:b w:val="1"/>
          <w:bCs w:val="1"/>
          <w:i w:val="1"/>
          <w:iCs w:val="1"/>
          <w:color w:val="FF665B"/>
        </w:rPr>
        <w:t>Dated June 24, 2024.</w:t>
      </w:r>
    </w:p>
    <w:p>
      <w:pPr>
        <w:spacing w:after="0" w:line="101" w:lineRule="exact"/>
        <w:rPr>
          <w:sz w:val="20"/>
          <w:szCs w:val="20"/>
          <w:color w:val="auto"/>
        </w:rPr>
      </w:pPr>
    </w:p>
    <w:p>
      <w:pPr>
        <w:ind w:left="1720"/>
        <w:spacing w:after="0"/>
        <w:rPr>
          <w:sz w:val="20"/>
          <w:szCs w:val="20"/>
          <w:color w:val="auto"/>
        </w:rPr>
      </w:pPr>
      <w:r>
        <w:rPr>
          <w:rFonts w:ascii="Georgia" w:cs="Georgia" w:eastAsia="Georgia" w:hAnsi="Georgia"/>
          <w:sz w:val="22"/>
          <w:szCs w:val="22"/>
          <w:b w:val="1"/>
          <w:bCs w:val="1"/>
          <w:i w:val="1"/>
          <w:iCs w:val="1"/>
          <w:color w:val="auto"/>
        </w:rPr>
        <w:t>17,650,000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1104900</wp:posOffset>
            </wp:positionH>
            <wp:positionV relativeFrom="paragraph">
              <wp:posOffset>17145</wp:posOffset>
            </wp:positionV>
            <wp:extent cx="1325880"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58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20"/>
        <w:spacing w:after="0"/>
        <w:rPr>
          <w:sz w:val="20"/>
          <w:szCs w:val="20"/>
          <w:color w:val="auto"/>
        </w:rPr>
      </w:pPr>
      <w:r>
        <w:rPr>
          <w:rFonts w:ascii="Georgia" w:cs="Georgia" w:eastAsia="Georgia" w:hAnsi="Georgia"/>
          <w:sz w:val="15"/>
          <w:szCs w:val="15"/>
          <w:b w:val="1"/>
          <w:bCs w:val="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67945</wp:posOffset>
            </wp:positionV>
            <wp:extent cx="74422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164" w:lineRule="exact"/>
        <w:rPr>
          <w:sz w:val="20"/>
          <w:szCs w:val="20"/>
          <w:color w:val="auto"/>
        </w:rPr>
      </w:pPr>
    </w:p>
    <w:p>
      <w:pPr>
        <w:jc w:val="both"/>
        <w:ind w:right="1519"/>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This is an initial public offering of shares of common stock of Alumis Inc. We are offering 17,650,000 shares of our common stock to be sold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45085</wp:posOffset>
            </wp:positionV>
            <wp:extent cx="74422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109" w:lineRule="exact"/>
        <w:rPr>
          <w:sz w:val="20"/>
          <w:szCs w:val="20"/>
          <w:color w:val="auto"/>
        </w:rPr>
      </w:pPr>
    </w:p>
    <w:p>
      <w:pPr>
        <w:jc w:val="both"/>
        <w:ind w:right="1519"/>
        <w:spacing w:after="0" w:line="234" w:lineRule="auto"/>
        <w:rPr>
          <w:sz w:val="20"/>
          <w:szCs w:val="20"/>
          <w:color w:val="auto"/>
        </w:rPr>
      </w:pPr>
      <w:r>
        <w:rPr>
          <w:rFonts w:ascii="Times New Roman" w:cs="Times New Roman" w:eastAsia="Times New Roman" w:hAnsi="Times New Roman"/>
          <w:sz w:val="12"/>
          <w:szCs w:val="12"/>
          <w:b w:val="1"/>
          <w:bCs w:val="1"/>
          <w:i w:val="1"/>
          <w:iCs w:val="1"/>
          <w:color w:val="auto"/>
        </w:rPr>
        <w:t>Prior to this offering, there has been no public market for our common stock. It is currently estimated that the initial public offering price per share will be between $16.00 and $18.00. We have applied to list our common stock on the Nasdaq Global Market (Nasdaq) under the symbol “ALMS.” We believe that upon the completion of this offering, we will meet the standards for listing on Nasdaq, and the closing of this offering is contingent upon such listing.</w:t>
      </w:r>
    </w:p>
    <w:p>
      <w:pPr>
        <w:spacing w:after="0" w:line="5" w:lineRule="exact"/>
        <w:rPr>
          <w:sz w:val="20"/>
          <w:szCs w:val="20"/>
          <w:color w:val="auto"/>
        </w:rPr>
      </w:pPr>
    </w:p>
    <w:p>
      <w:pPr>
        <w:jc w:val="both"/>
        <w:ind w:right="1519"/>
        <w:spacing w:after="0" w:line="228" w:lineRule="auto"/>
        <w:rPr>
          <w:sz w:val="20"/>
          <w:szCs w:val="20"/>
          <w:color w:val="auto"/>
        </w:rPr>
      </w:pPr>
      <w:r>
        <w:rPr>
          <w:rFonts w:ascii="Times New Roman" w:cs="Times New Roman" w:eastAsia="Times New Roman" w:hAnsi="Times New Roman"/>
          <w:sz w:val="12"/>
          <w:szCs w:val="12"/>
          <w:b w:val="1"/>
          <w:bCs w:val="1"/>
          <w:i w:val="1"/>
          <w:iCs w:val="1"/>
          <w:color w:val="auto"/>
        </w:rPr>
        <w:t xml:space="preserve">We have two classes of common stock: the voting common stock offered hereby and non-voting common stock. The rights of the holders of common stock and non-voting common stock are identical, except with respect to voting and conversion. Each share of common stock is entitled to one vote and is not convertible into any other class of our share capital. Shares of non-voting common stock are non-voting, except as may be required by law. Each share of non-voting common stock may be converted at any time into one share of common stock at the option of its holder, subject to the beneficial ownership limitations provided for in our amended and restated certificate of incorporation. See the section titled “Description of Capital Stock” beginning on page </w:t>
      </w:r>
      <w:r>
        <w:rPr>
          <w:rFonts w:ascii="Times New Roman" w:cs="Times New Roman" w:eastAsia="Times New Roman" w:hAnsi="Times New Roman"/>
          <w:sz w:val="12"/>
          <w:szCs w:val="12"/>
          <w:b w:val="1"/>
          <w:bCs w:val="1"/>
          <w:i w:val="1"/>
          <w:iCs w:val="1"/>
          <w:u w:val="single" w:color="auto"/>
          <w:color w:val="0000EE"/>
        </w:rPr>
        <w:t>184</w:t>
      </w:r>
      <w:r>
        <w:rPr>
          <w:rFonts w:ascii="Times New Roman" w:cs="Times New Roman" w:eastAsia="Times New Roman" w:hAnsi="Times New Roman"/>
          <w:sz w:val="12"/>
          <w:szCs w:val="12"/>
          <w:b w:val="1"/>
          <w:bCs w:val="1"/>
          <w:i w:val="1"/>
          <w:iCs w:val="1"/>
          <w:color w:val="0000EE"/>
        </w:rPr>
        <w:t xml:space="preserve"> </w:t>
      </w:r>
      <w:r>
        <w:rPr>
          <w:rFonts w:ascii="Times New Roman" w:cs="Times New Roman" w:eastAsia="Times New Roman" w:hAnsi="Times New Roman"/>
          <w:sz w:val="12"/>
          <w:szCs w:val="12"/>
          <w:b w:val="1"/>
          <w:bCs w:val="1"/>
          <w:i w:val="1"/>
          <w:iCs w:val="1"/>
          <w:color w:val="000000"/>
        </w:rPr>
        <w:t>of this prospectus for more information on the rights of the holders of our common stock and non-voting</w:t>
      </w:r>
      <w:r>
        <w:rPr>
          <w:rFonts w:ascii="Times New Roman" w:cs="Times New Roman" w:eastAsia="Times New Roman" w:hAnsi="Times New Roman"/>
          <w:sz w:val="12"/>
          <w:szCs w:val="12"/>
          <w:b w:val="1"/>
          <w:bCs w:val="1"/>
          <w:i w:val="1"/>
          <w:iCs w:val="1"/>
          <w:color w:val="0000EE"/>
        </w:rPr>
        <w:t xml:space="preserve"> </w:t>
      </w:r>
      <w:r>
        <w:rPr>
          <w:rFonts w:ascii="Times New Roman" w:cs="Times New Roman" w:eastAsia="Times New Roman" w:hAnsi="Times New Roman"/>
          <w:sz w:val="12"/>
          <w:szCs w:val="12"/>
          <w:b w:val="1"/>
          <w:bCs w:val="1"/>
          <w:i w:val="1"/>
          <w:iCs w:val="1"/>
          <w:color w:val="000000"/>
        </w:rPr>
        <w:t>common stock. We are offering voting common stock in this offering, and unless otherwise noted, all references in this prospectus to our “common stock” “common shares” or “shares” refer to our voting common stock. The non-voting common stock will not be listed for trading on any securities exchange.</w:t>
      </w:r>
    </w:p>
    <w:p>
      <w:pPr>
        <w:spacing w:after="0" w:line="1" w:lineRule="exact"/>
        <w:rPr>
          <w:sz w:val="20"/>
          <w:szCs w:val="20"/>
          <w:color w:val="auto"/>
        </w:rPr>
      </w:pPr>
    </w:p>
    <w:p>
      <w:pPr>
        <w:jc w:val="both"/>
        <w:ind w:right="1519"/>
        <w:spacing w:after="0" w:line="234" w:lineRule="auto"/>
        <w:rPr>
          <w:sz w:val="20"/>
          <w:szCs w:val="20"/>
          <w:color w:val="auto"/>
        </w:rPr>
      </w:pPr>
      <w:r>
        <w:rPr>
          <w:rFonts w:ascii="Times New Roman" w:cs="Times New Roman" w:eastAsia="Times New Roman" w:hAnsi="Times New Roman"/>
          <w:sz w:val="15"/>
          <w:szCs w:val="15"/>
          <w:b w:val="1"/>
          <w:bCs w:val="1"/>
          <w:i w:val="1"/>
          <w:iCs w:val="1"/>
          <w:color w:val="auto"/>
        </w:rPr>
        <w:t xml:space="preserve">See the section titled “Risk Factors” beginning on page </w:t>
      </w:r>
      <w:r>
        <w:rPr>
          <w:rFonts w:ascii="Times New Roman" w:cs="Times New Roman" w:eastAsia="Times New Roman" w:hAnsi="Times New Roman"/>
          <w:sz w:val="15"/>
          <w:szCs w:val="15"/>
          <w:b w:val="1"/>
          <w:bCs w:val="1"/>
          <w:i w:val="1"/>
          <w:iCs w:val="1"/>
          <w:u w:val="single" w:color="auto"/>
          <w:color w:val="0000EE"/>
        </w:rPr>
        <w:t>13</w:t>
      </w:r>
      <w:r>
        <w:rPr>
          <w:rFonts w:ascii="Times New Roman" w:cs="Times New Roman" w:eastAsia="Times New Roman" w:hAnsi="Times New Roman"/>
          <w:sz w:val="15"/>
          <w:szCs w:val="15"/>
          <w:b w:val="1"/>
          <w:bCs w:val="1"/>
          <w:i w:val="1"/>
          <w:iCs w:val="1"/>
          <w:color w:val="auto"/>
        </w:rPr>
        <w:t xml:space="preserve"> to read about factors you should consider before buying shares of the common stock.</w:t>
      </w:r>
    </w:p>
    <w:p>
      <w:pPr>
        <w:spacing w:after="0" w:line="7" w:lineRule="exact"/>
        <w:rPr>
          <w:sz w:val="20"/>
          <w:szCs w:val="20"/>
          <w:color w:val="auto"/>
        </w:rPr>
      </w:pPr>
    </w:p>
    <w:p>
      <w:pPr>
        <w:jc w:val="both"/>
        <w:ind w:right="1519"/>
        <w:spacing w:after="0" w:line="242" w:lineRule="auto"/>
        <w:rPr>
          <w:sz w:val="20"/>
          <w:szCs w:val="20"/>
          <w:color w:val="auto"/>
        </w:rPr>
      </w:pPr>
      <w:r>
        <w:rPr>
          <w:rFonts w:ascii="Times New Roman" w:cs="Times New Roman" w:eastAsia="Times New Roman" w:hAnsi="Times New Roman"/>
          <w:sz w:val="12"/>
          <w:szCs w:val="12"/>
          <w:b w:val="1"/>
          <w:bCs w:val="1"/>
          <w:i w:val="1"/>
          <w:i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46990</wp:posOffset>
            </wp:positionV>
            <wp:extent cx="74422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112" w:lineRule="exact"/>
        <w:rPr>
          <w:sz w:val="20"/>
          <w:szCs w:val="20"/>
          <w:color w:val="auto"/>
        </w:rPr>
      </w:pPr>
    </w:p>
    <w:p>
      <w:pPr>
        <w:jc w:val="both"/>
        <w:ind w:right="1519"/>
        <w:spacing w:after="0" w:line="237" w:lineRule="auto"/>
        <w:rPr>
          <w:sz w:val="20"/>
          <w:szCs w:val="20"/>
          <w:color w:val="auto"/>
        </w:rPr>
      </w:pPr>
      <w:r>
        <w:rPr>
          <w:rFonts w:ascii="Times New Roman" w:cs="Times New Roman" w:eastAsia="Times New Roman" w:hAnsi="Times New Roman"/>
          <w:sz w:val="12"/>
          <w:szCs w:val="12"/>
          <w:b w:val="1"/>
          <w:bCs w:val="1"/>
          <w:i w:val="1"/>
          <w:iCs w:val="1"/>
          <w:color w:val="auto"/>
        </w:rPr>
        <w:t>We are an “emerging growth company” and a “smaller reporting company” as defined under the U.S. federal securities laws and, as such, may elect to comply with certain reduced public company reporting requirements in future reports after the closing of this offering. See the section titled “Prospectus Summary—Implications of Being an Emerging Growth Company and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46990</wp:posOffset>
            </wp:positionV>
            <wp:extent cx="74422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26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w:t>
            </w:r>
          </w:p>
        </w:tc>
        <w:tc>
          <w:tcPr>
            <w:tcW w:w="1240" w:type="dxa"/>
            <w:vAlign w:val="bottom"/>
          </w:tcPr>
          <w:p>
            <w:pPr>
              <w:ind w:left="1120"/>
              <w:spacing w:after="0"/>
              <w:rPr>
                <w:sz w:val="20"/>
                <w:szCs w:val="20"/>
                <w:color w:val="auto"/>
              </w:rPr>
            </w:pPr>
            <w:r>
              <w:rPr>
                <w:rFonts w:ascii="Times New Roman" w:cs="Times New Roman" w:eastAsia="Times New Roman" w:hAnsi="Times New Roman"/>
                <w:sz w:val="10"/>
                <w:szCs w:val="10"/>
                <w:b w:val="1"/>
                <w:bCs w:val="1"/>
                <w:i w:val="1"/>
                <w:iCs w:val="1"/>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 Per Share</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i w:val="1"/>
                <w:i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i w:val="1"/>
                <w:iCs w:val="1"/>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i w:val="1"/>
                <w:iCs w:val="1"/>
                <w:color w:val="auto"/>
              </w:rPr>
              <w:t>Total   ​</w:t>
            </w:r>
          </w:p>
        </w:tc>
        <w:tc>
          <w:tcPr>
            <w:tcW w:w="0" w:type="dxa"/>
            <w:vAlign w:val="bottom"/>
          </w:tcPr>
          <w:p>
            <w:pPr>
              <w:spacing w:after="0"/>
              <w:rPr>
                <w:sz w:val="1"/>
                <w:szCs w:val="1"/>
                <w:color w:val="auto"/>
              </w:rPr>
            </w:pPr>
          </w:p>
        </w:tc>
      </w:tr>
      <w:tr>
        <w:trPr>
          <w:trHeight w:val="20"/>
        </w:trPr>
        <w:tc>
          <w:tcPr>
            <w:tcW w:w="3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Initial public offering price</w:t>
            </w:r>
          </w:p>
        </w:tc>
        <w:tc>
          <w:tcPr>
            <w:tcW w:w="1240" w:type="dxa"/>
            <w:vAlign w:val="bottom"/>
            <w:tcBorders>
              <w:right w:val="single" w:sz="8" w:color="CCEEFF"/>
            </w:tcBorders>
            <w:vMerge w:val="restart"/>
            <w:shd w:val="clear" w:color="auto" w:fill="CCEEFF"/>
          </w:tcPr>
          <w:p>
            <w:pPr>
              <w:ind w:left="1120"/>
              <w:spacing w:after="0"/>
              <w:rPr>
                <w:sz w:val="20"/>
                <w:szCs w:val="20"/>
                <w:color w:val="auto"/>
              </w:rPr>
            </w:pPr>
            <w:r>
              <w:rPr>
                <w:rFonts w:ascii="Times New Roman" w:cs="Times New Roman" w:eastAsia="Times New Roman" w:hAnsi="Times New Roman"/>
                <w:sz w:val="12"/>
                <w:szCs w:val="12"/>
                <w:i w:val="1"/>
                <w:iCs w:val="1"/>
                <w:color w:val="auto"/>
              </w:rPr>
              <w:t>​</w:t>
            </w:r>
          </w:p>
        </w:tc>
        <w:tc>
          <w:tcPr>
            <w:tcW w:w="4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w:t>
            </w:r>
          </w:p>
        </w:tc>
        <w:tc>
          <w:tcPr>
            <w:tcW w:w="520" w:type="dxa"/>
            <w:vAlign w:val="bottom"/>
            <w:tcBorders>
              <w:left w:val="single" w:sz="8" w:color="CCEEFF"/>
            </w:tcBorders>
            <w:gridSpan w:val="2"/>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w:t>
            </w:r>
          </w:p>
        </w:tc>
        <w:tc>
          <w:tcPr>
            <w:tcW w:w="0" w:type="dxa"/>
            <w:vAlign w:val="bottom"/>
          </w:tcPr>
          <w:p>
            <w:pPr>
              <w:spacing w:after="0" w:line="20" w:lineRule="exact"/>
              <w:rPr>
                <w:sz w:val="1"/>
                <w:szCs w:val="1"/>
                <w:color w:val="auto"/>
              </w:rPr>
            </w:pPr>
          </w:p>
        </w:tc>
      </w:tr>
      <w:tr>
        <w:trPr>
          <w:trHeight w:val="127"/>
        </w:trPr>
        <w:tc>
          <w:tcPr>
            <w:tcW w:w="3260" w:type="dxa"/>
            <w:vAlign w:val="bottom"/>
            <w:vMerge w:val="continue"/>
            <w:shd w:val="clear" w:color="auto" w:fill="CCEEFF"/>
          </w:tcPr>
          <w:p>
            <w:pPr>
              <w:spacing w:after="0"/>
              <w:rPr>
                <w:sz w:val="11"/>
                <w:szCs w:val="11"/>
                <w:color w:val="auto"/>
              </w:rPr>
            </w:pPr>
          </w:p>
        </w:tc>
        <w:tc>
          <w:tcPr>
            <w:tcW w:w="1240" w:type="dxa"/>
            <w:vAlign w:val="bottom"/>
            <w:tcBorders>
              <w:right w:val="single" w:sz="8" w:color="CCEEFF"/>
            </w:tcBorders>
            <w:vMerge w:val="continue"/>
            <w:shd w:val="clear" w:color="auto" w:fill="CCEEFF"/>
          </w:tcPr>
          <w:p>
            <w:pPr>
              <w:spacing w:after="0"/>
              <w:rPr>
                <w:sz w:val="11"/>
                <w:szCs w:val="11"/>
                <w:color w:val="auto"/>
              </w:rPr>
            </w:pPr>
          </w:p>
        </w:tc>
        <w:tc>
          <w:tcPr>
            <w:tcW w:w="46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i w:val="1"/>
                <w:iCs w:val="1"/>
                <w:color w:val="auto"/>
              </w:rPr>
              <w:t xml:space="preserve">​​$            </w:t>
            </w:r>
          </w:p>
        </w:tc>
        <w:tc>
          <w:tcPr>
            <w:tcW w:w="80" w:type="dxa"/>
            <w:vAlign w:val="bottom"/>
            <w:vMerge w:val="continue"/>
            <w:shd w:val="clear" w:color="auto" w:fill="CCEEFF"/>
          </w:tcPr>
          <w:p>
            <w:pPr>
              <w:spacing w:after="0"/>
              <w:rPr>
                <w:sz w:val="11"/>
                <w:szCs w:val="11"/>
                <w:color w:val="auto"/>
              </w:rPr>
            </w:pPr>
          </w:p>
        </w:tc>
        <w:tc>
          <w:tcPr>
            <w:tcW w:w="520" w:type="dxa"/>
            <w:vAlign w:val="bottom"/>
            <w:tcBorders>
              <w:left w:val="single" w:sz="8" w:color="CCEEFF"/>
            </w:tcBorders>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i w:val="1"/>
                <w:iCs w:val="1"/>
                <w:color w:val="auto"/>
              </w:rPr>
              <w:t xml:space="preserve">​​$            </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line="156" w:lineRule="exact"/>
              <w:rPr>
                <w:sz w:val="20"/>
                <w:szCs w:val="20"/>
                <w:color w:val="auto"/>
              </w:rPr>
            </w:pPr>
            <w:r>
              <w:rPr>
                <w:rFonts w:ascii="Times New Roman" w:cs="Times New Roman" w:eastAsia="Times New Roman" w:hAnsi="Times New Roman"/>
                <w:sz w:val="12"/>
                <w:szCs w:val="12"/>
                <w:i w:val="1"/>
                <w:iCs w:val="1"/>
                <w:color w:val="auto"/>
              </w:rPr>
              <w:t>Underwriting discounts and commissions</w:t>
            </w:r>
            <w:r>
              <w:rPr>
                <w:rFonts w:ascii="Times New Roman" w:cs="Times New Roman" w:eastAsia="Times New Roman" w:hAnsi="Times New Roman"/>
                <w:sz w:val="15"/>
                <w:szCs w:val="15"/>
                <w:i w:val="1"/>
                <w:iCs w:val="1"/>
                <w:color w:val="auto"/>
                <w:vertAlign w:val="superscript"/>
              </w:rPr>
              <w:t>(1)</w:t>
            </w:r>
          </w:p>
        </w:tc>
        <w:tc>
          <w:tcPr>
            <w:tcW w:w="1240" w:type="dxa"/>
            <w:vAlign w:val="bottom"/>
          </w:tcPr>
          <w:p>
            <w:pPr>
              <w:ind w:left="1120"/>
              <w:spacing w:after="0"/>
              <w:rPr>
                <w:sz w:val="20"/>
                <w:szCs w:val="20"/>
                <w:color w:val="auto"/>
              </w:rPr>
            </w:pPr>
            <w:r>
              <w:rPr>
                <w:rFonts w:ascii="Times New Roman" w:cs="Times New Roman" w:eastAsia="Times New Roman" w:hAnsi="Times New Roman"/>
                <w:sz w:val="12"/>
                <w:szCs w:val="12"/>
                <w:i w:val="1"/>
                <w:iCs w:val="1"/>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w:t>
            </w:r>
          </w:p>
        </w:tc>
        <w:tc>
          <w:tcPr>
            <w:tcW w:w="360" w:type="dxa"/>
            <w:vAlign w:val="bottom"/>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w:t>
            </w:r>
          </w:p>
        </w:tc>
        <w:tc>
          <w:tcPr>
            <w:tcW w:w="0" w:type="dxa"/>
            <w:vAlign w:val="bottom"/>
          </w:tcPr>
          <w:p>
            <w:pPr>
              <w:spacing w:after="0"/>
              <w:rPr>
                <w:sz w:val="1"/>
                <w:szCs w:val="1"/>
                <w:color w:val="auto"/>
              </w:rPr>
            </w:pPr>
          </w:p>
        </w:tc>
      </w:tr>
      <w:tr>
        <w:trPr>
          <w:trHeight w:val="137"/>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Proceeds, before expenses, to Alumis</w:t>
            </w:r>
          </w:p>
        </w:tc>
        <w:tc>
          <w:tcPr>
            <w:tcW w:w="1240" w:type="dxa"/>
            <w:vAlign w:val="bottom"/>
            <w:tcBorders>
              <w:right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2"/>
                <w:szCs w:val="12"/>
                <w:i w:val="1"/>
                <w:iCs w:val="1"/>
                <w:color w:val="auto"/>
              </w:rPr>
              <w:t>​</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w:t>
            </w:r>
          </w:p>
        </w:tc>
        <w:tc>
          <w:tcPr>
            <w:tcW w:w="1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i w:val="1"/>
                <w:iCs w:val="1"/>
                <w:color w:val="auto"/>
              </w:rPr>
              <w:t>​​$</w:t>
            </w:r>
          </w:p>
        </w:tc>
        <w:tc>
          <w:tcPr>
            <w:tcW w:w="360" w:type="dxa"/>
            <w:vAlign w:val="bottom"/>
            <w:shd w:val="clear" w:color="auto" w:fill="CCEEFF"/>
          </w:tcPr>
          <w:p>
            <w:pPr>
              <w:spacing w:after="0"/>
              <w:rPr>
                <w:sz w:val="11"/>
                <w:szCs w:val="1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323913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913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86995</wp:posOffset>
            </wp:positionV>
            <wp:extent cx="37211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139" w:lineRule="exact"/>
        <w:rPr>
          <w:sz w:val="20"/>
          <w:szCs w:val="20"/>
          <w:color w:val="auto"/>
        </w:rPr>
      </w:pPr>
    </w:p>
    <w:p>
      <w:pPr>
        <w:ind w:left="240" w:right="1519" w:hanging="240"/>
        <w:spacing w:after="0" w:line="262" w:lineRule="auto"/>
        <w:tabs>
          <w:tab w:leader="none" w:pos="240" w:val="left"/>
        </w:tabs>
        <w:numPr>
          <w:ilvl w:val="0"/>
          <w:numId w:val="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See the section titled “Underwriting” beginning on page </w:t>
      </w:r>
      <w:r>
        <w:rPr>
          <w:rFonts w:ascii="Times New Roman" w:cs="Times New Roman" w:eastAsia="Times New Roman" w:hAnsi="Times New Roman"/>
          <w:sz w:val="12"/>
          <w:szCs w:val="12"/>
          <w:i w:val="1"/>
          <w:iCs w:val="1"/>
          <w:u w:val="single" w:color="auto"/>
          <w:color w:val="0000EE"/>
        </w:rPr>
        <w:t>195</w:t>
      </w:r>
      <w:r>
        <w:rPr>
          <w:rFonts w:ascii="Times New Roman" w:cs="Times New Roman" w:eastAsia="Times New Roman" w:hAnsi="Times New Roman"/>
          <w:sz w:val="12"/>
          <w:szCs w:val="12"/>
          <w:i w:val="1"/>
          <w:iCs w:val="1"/>
          <w:color w:val="auto"/>
        </w:rPr>
        <w:t xml:space="preserve"> for additional information regarding underwriter compensation.</w:t>
      </w: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56515</wp:posOffset>
            </wp:positionV>
            <wp:extent cx="74422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127" w:lineRule="exact"/>
        <w:rPr>
          <w:sz w:val="20"/>
          <w:szCs w:val="20"/>
          <w:color w:val="auto"/>
        </w:rPr>
      </w:pPr>
    </w:p>
    <w:p>
      <w:pPr>
        <w:jc w:val="both"/>
        <w:ind w:right="1519"/>
        <w:spacing w:after="0" w:line="242" w:lineRule="auto"/>
        <w:rPr>
          <w:sz w:val="20"/>
          <w:szCs w:val="20"/>
          <w:color w:val="auto"/>
        </w:rPr>
      </w:pPr>
      <w:r>
        <w:rPr>
          <w:rFonts w:ascii="Times New Roman" w:cs="Times New Roman" w:eastAsia="Times New Roman" w:hAnsi="Times New Roman"/>
          <w:sz w:val="12"/>
          <w:szCs w:val="12"/>
          <w:i w:val="1"/>
          <w:iCs w:val="1"/>
          <w:color w:val="auto"/>
        </w:rPr>
        <w:t>We have granted the underwriters an option to purchase up to an additional 2,647,500 shares from us at the initial public offering price, less the underwriting discount and commissions. The underwriters may exercise this right at any time within 30 days after the date of this prospectus.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underwriters expect to deliver the shares to purchasers on or about 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67310</wp:posOffset>
            </wp:positionV>
            <wp:extent cx="74422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176" w:lineRule="exact"/>
        <w:rPr>
          <w:sz w:val="20"/>
          <w:szCs w:val="20"/>
          <w:color w:val="auto"/>
        </w:rPr>
      </w:pPr>
    </w:p>
    <w:p>
      <w:pPr>
        <w:ind w:left="4180" w:right="1459" w:hanging="4300"/>
        <w:spacing w:after="0" w:line="225" w:lineRule="auto"/>
        <w:tabs>
          <w:tab w:leader="none" w:pos="4160" w:val="left"/>
        </w:tabs>
        <w:rPr>
          <w:sz w:val="20"/>
          <w:szCs w:val="20"/>
          <w:color w:val="auto"/>
        </w:rPr>
      </w:pPr>
      <w:r>
        <w:rPr>
          <w:rFonts w:ascii="Arial" w:cs="Arial" w:eastAsia="Arial" w:hAnsi="Arial"/>
          <w:sz w:val="17"/>
          <w:szCs w:val="17"/>
          <w:b w:val="1"/>
          <w:bCs w:val="1"/>
          <w:i w:val="1"/>
          <w:iCs w:val="1"/>
          <w:color w:val="auto"/>
        </w:rPr>
        <w:t>Morgan​ Stanley​​Leerink Partners​​Cantor​​</w:t>
        <w:tab/>
        <w:t>Guggenheim ​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635</wp:posOffset>
            </wp:positionV>
            <wp:extent cx="74422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14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2"/>
          <w:szCs w:val="12"/>
          <w:i w:val="1"/>
          <w:iCs w:val="1"/>
          <w:color w:val="auto"/>
        </w:rPr>
        <w:t>Prospectus dated 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165100</wp:posOffset>
            </wp:positionV>
            <wp:extent cx="461772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17720" cy="36830"/>
                    </a:xfrm>
                    <a:prstGeom prst="rect">
                      <a:avLst/>
                    </a:prstGeom>
                    <a:noFill/>
                  </pic:spPr>
                </pic:pic>
              </a:graphicData>
            </a:graphic>
          </wp:anchor>
        </w:drawing>
      </w:r>
    </w:p>
    <w:p>
      <w:pPr>
        <w:sectPr>
          <w:pgSz w:w="11900" w:h="16838" w:orient="portrait"/>
          <w:cols w:equalWidth="0" w:num="2">
            <w:col w:w="1820" w:space="120"/>
            <w:col w:w="7079"/>
          </w:cols>
          <w:pgMar w:left="1440" w:top="111" w:right="1440" w:bottom="1440" w:gutter="0" w:footer="0" w:header="0"/>
          <w:type w:val="continuous"/>
        </w:sectPr>
      </w:pPr>
    </w:p>
    <w:bookmarkStart w:id="2" w:name="page3"/>
    <w:bookmarkEnd w:id="2"/>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TABLE OF CONTENTS</w:t>
      </w:r>
    </w:p>
    <w:p>
      <w:pPr>
        <w:spacing w:after="0" w:line="41" w:lineRule="exact"/>
        <w:rPr>
          <w:sz w:val="20"/>
          <w:szCs w:val="20"/>
          <w:color w:val="auto"/>
        </w:rPr>
      </w:pPr>
    </w:p>
    <w:p>
      <w:pPr>
        <w:jc w:val="both"/>
        <w:ind w:left="1720"/>
        <w:spacing w:after="0"/>
        <w:tabs>
          <w:tab w:leader="none" w:pos="4040" w:val="left"/>
          <w:tab w:leader="none" w:pos="4560" w:val="left"/>
          <w:tab w:leader="none" w:pos="6900" w:val="left"/>
        </w:tabs>
        <w:rPr>
          <w:sz w:val="20"/>
          <w:szCs w:val="20"/>
          <w:color w:val="auto"/>
        </w:rPr>
      </w:pPr>
      <w:r>
        <w:rPr>
          <w:rFonts w:ascii="Times New Roman" w:cs="Times New Roman" w:eastAsia="Times New Roman" w:hAnsi="Times New Roman"/>
          <w:sz w:val="20"/>
          <w:szCs w:val="20"/>
          <w:b w:val="1"/>
          <w:bCs w:val="1"/>
          <w:color w:val="auto"/>
          <w:vertAlign w:val="subscript"/>
        </w:rPr>
        <w:t>​</w:t>
      </w:r>
      <w:r>
        <w:rPr>
          <w:sz w:val="20"/>
          <w:szCs w:val="20"/>
          <w:color w:val="auto"/>
        </w:rPr>
        <w:tab/>
      </w: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Page </w:t>
      </w:r>
      <w:r>
        <w:rPr>
          <w:rFonts w:ascii="Times New Roman" w:cs="Times New Roman" w:eastAsia="Times New Roman" w:hAnsi="Times New Roman"/>
          <w:sz w:val="19"/>
          <w:szCs w:val="19"/>
          <w:b w:val="1"/>
          <w:bCs w:val="1"/>
          <w:color w:val="auto"/>
          <w:vertAlign w:val="subscript"/>
        </w:rPr>
        <w:t>​</w:t>
      </w:r>
      <w:r>
        <w:rPr>
          <w:sz w:val="20"/>
          <w:szCs w:val="20"/>
          <w:color w:val="auto"/>
        </w:rPr>
        <w:tab/>
      </w:r>
      <w:r>
        <w:rPr>
          <w:rFonts w:ascii="Times New Roman" w:cs="Times New Roman" w:eastAsia="Times New Roman" w:hAnsi="Times New Roman"/>
          <w:sz w:val="20"/>
          <w:szCs w:val="20"/>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vertAlign w:val="subscript"/>
        </w:rPr>
        <w:t xml:space="preserve">​ ​  </w:t>
      </w:r>
      <w:r>
        <w:rPr>
          <w:rFonts w:ascii="Times New Roman" w:cs="Times New Roman" w:eastAsia="Times New Roman" w:hAnsi="Times New Roman"/>
          <w:sz w:val="14"/>
          <w:szCs w:val="14"/>
          <w:b w:val="1"/>
          <w:bCs w:val="1"/>
          <w:color w:val="auto"/>
        </w:rPr>
        <w:t xml:space="preserve">Page </w:t>
      </w:r>
      <w:r>
        <w:rPr>
          <w:rFonts w:ascii="Times New Roman" w:cs="Times New Roman" w:eastAsia="Times New Roman" w:hAnsi="Times New Roman"/>
          <w:sz w:val="14"/>
          <w:szCs w:val="14"/>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17145</wp:posOffset>
            </wp:positionV>
            <wp:extent cx="3535680" cy="302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35680" cy="30226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p>
      <w:pPr>
        <w:spacing w:after="0" w:line="16" w:lineRule="exact"/>
        <w:rPr>
          <w:sz w:val="20"/>
          <w:szCs w:val="20"/>
          <w:color w:val="auto"/>
        </w:rPr>
      </w:pPr>
    </w:p>
    <w:tbl>
      <w:tblPr>
        <w:tblLayout w:type="fixed"/>
        <w:tblInd w:w="1720" w:type="dxa"/>
        <w:tblCellMar>
          <w:top w:w="0" w:type="dxa"/>
          <w:left w:w="0" w:type="dxa"/>
          <w:bottom w:w="0" w:type="dxa"/>
          <w:right w:w="0" w:type="dxa"/>
        </w:tblCellMar>
      </w:tblPr>
      <w:tr>
        <w:trPr>
          <w:trHeight w:val="51"/>
        </w:trPr>
        <w:tc>
          <w:tcPr>
            <w:tcW w:w="1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40" w:type="dxa"/>
            <w:vAlign w:val="bottom"/>
            <w:tcBorders>
              <w:lef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20" w:type="dxa"/>
            <w:vAlign w:val="bottom"/>
            <w:tcBorders>
              <w:right w:val="single" w:sz="8" w:color="auto"/>
            </w:tcBorders>
            <w:shd w:val="clear" w:color="auto" w:fill="CCEEFF"/>
          </w:tcPr>
          <w:p>
            <w:pPr>
              <w:spacing w:after="0"/>
              <w:rPr>
                <w:sz w:val="4"/>
                <w:szCs w:val="4"/>
                <w:color w:val="auto"/>
              </w:rPr>
            </w:pPr>
          </w:p>
        </w:tc>
        <w:tc>
          <w:tcPr>
            <w:tcW w:w="140" w:type="dxa"/>
            <w:vAlign w:val="bottom"/>
            <w:tcBorders>
              <w:left w:val="single" w:sz="8" w:color="auto"/>
            </w:tcBorders>
            <w:shd w:val="clear" w:color="auto" w:fill="000000"/>
          </w:tcPr>
          <w:p>
            <w:pPr>
              <w:spacing w:after="0"/>
              <w:rPr>
                <w:sz w:val="4"/>
                <w:szCs w:val="4"/>
                <w:color w:val="auto"/>
              </w:rPr>
            </w:pPr>
          </w:p>
        </w:tc>
        <w:tc>
          <w:tcPr>
            <w:tcW w:w="100" w:type="dxa"/>
            <w:vAlign w:val="bottom"/>
            <w:tcBorders>
              <w:lef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20" w:type="dxa"/>
            <w:vAlign w:val="bottom"/>
            <w:gridSpan w:val="8"/>
            <w:vMerge w:val="restart"/>
          </w:tcPr>
          <w:p>
            <w:pPr>
              <w:spacing w:after="0"/>
              <w:rPr>
                <w:sz w:val="20"/>
                <w:szCs w:val="20"/>
                <w:color w:val="auto"/>
              </w:rPr>
            </w:pPr>
            <w:r>
              <w:rPr>
                <w:rFonts w:ascii="Times New Roman" w:cs="Times New Roman" w:eastAsia="Times New Roman" w:hAnsi="Times New Roman"/>
                <w:sz w:val="12"/>
                <w:szCs w:val="12"/>
                <w:color w:val="0000EE"/>
              </w:rPr>
              <w:t>CERTAIN RELATIONSHIPS AND</w:t>
            </w: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460" w:type="dxa"/>
            <w:vAlign w:val="bottom"/>
            <w:tcBorders>
              <w:bottom w:val="single" w:sz="8" w:color="CCEEFF"/>
            </w:tcBorders>
            <w:gridSpan w:val="7"/>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0000EE"/>
              </w:rPr>
              <w:t>PROSPECTUS SUMMARY</w:t>
            </w:r>
          </w:p>
        </w:tc>
        <w:tc>
          <w:tcPr>
            <w:tcW w:w="1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right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right w:val="single" w:sz="8" w:color="CCEEFF"/>
            </w:tcBorders>
            <w:shd w:val="clear" w:color="auto" w:fill="CCEEFF"/>
          </w:tcPr>
          <w:p>
            <w:pPr>
              <w:ind w:left="40"/>
              <w:spacing w:after="0" w:line="107" w:lineRule="exact"/>
              <w:rPr>
                <w:sz w:val="20"/>
                <w:szCs w:val="20"/>
                <w:color w:val="auto"/>
              </w:rPr>
            </w:pPr>
            <w:r>
              <w:rPr>
                <w:rFonts w:ascii="Times New Roman" w:cs="Times New Roman" w:eastAsia="Times New Roman" w:hAnsi="Times New Roman"/>
                <w:sz w:val="12"/>
                <w:szCs w:val="12"/>
                <w:color w:val="auto"/>
              </w:rPr>
              <w:t>​ ​ ​</w:t>
            </w:r>
          </w:p>
        </w:tc>
        <w:tc>
          <w:tcPr>
            <w:tcW w:w="140" w:type="dxa"/>
            <w:vAlign w:val="bottom"/>
            <w:tcBorders>
              <w:left w:val="single" w:sz="8" w:color="CCEEFF"/>
              <w:bottom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2"/>
                <w:szCs w:val="12"/>
                <w:color w:val="0000EE"/>
              </w:rPr>
              <w:t>1</w:t>
            </w:r>
          </w:p>
        </w:tc>
        <w:tc>
          <w:tcPr>
            <w:tcW w:w="100" w:type="dxa"/>
            <w:vAlign w:val="bottom"/>
            <w:tcBorders>
              <w:left w:val="single" w:sz="8" w:color="CCEEFF"/>
            </w:tcBorders>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9"/>
                <w:szCs w:val="9"/>
                <w:color w:val="auto"/>
              </w:rPr>
            </w:pPr>
          </w:p>
        </w:tc>
        <w:tc>
          <w:tcPr>
            <w:tcW w:w="1820" w:type="dxa"/>
            <w:vAlign w:val="bottom"/>
            <w:tcBorders>
              <w:bottom w:val="single" w:sz="8" w:color="0000EE"/>
            </w:tcBorders>
            <w:gridSpan w:val="8"/>
            <w:vMerge w:val="continue"/>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60" w:type="dxa"/>
            <w:vAlign w:val="bottom"/>
            <w:gridSpan w:val="5"/>
            <w:vMerge w:val="restart"/>
          </w:tcPr>
          <w:p>
            <w:pPr>
              <w:spacing w:after="0" w:line="118" w:lineRule="exact"/>
              <w:rPr>
                <w:sz w:val="20"/>
                <w:szCs w:val="20"/>
                <w:color w:val="auto"/>
              </w:rPr>
            </w:pPr>
            <w:r>
              <w:rPr>
                <w:rFonts w:ascii="Times New Roman" w:cs="Times New Roman" w:eastAsia="Times New Roman" w:hAnsi="Times New Roman"/>
                <w:sz w:val="12"/>
                <w:szCs w:val="12"/>
                <w:color w:val="0000EE"/>
              </w:rPr>
              <w:t>RELATED PERSON</w:t>
            </w:r>
          </w:p>
        </w:tc>
        <w:tc>
          <w:tcPr>
            <w:tcW w:w="380" w:type="dxa"/>
            <w:vAlign w:val="bottom"/>
            <w:vMerge w:val="restart"/>
          </w:tcPr>
          <w:p>
            <w:pPr>
              <w:spacing w:after="0" w:line="20" w:lineRule="exact"/>
              <w:rPr>
                <w:sz w:val="1"/>
                <w:szCs w:val="1"/>
                <w:color w:val="auto"/>
              </w:rPr>
            </w:pPr>
          </w:p>
        </w:tc>
        <w:tc>
          <w:tcPr>
            <w:tcW w:w="36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0000EE"/>
                <w:w w:val="99"/>
              </w:rPr>
              <w:t>RISK FACTORS</w:t>
            </w:r>
          </w:p>
        </w:tc>
        <w:tc>
          <w:tcPr>
            <w:tcW w:w="580" w:type="dxa"/>
            <w:vAlign w:val="bottom"/>
            <w:gridSpan w:val="4"/>
            <w:vMerge w:val="restart"/>
          </w:tcPr>
          <w:p>
            <w:pPr>
              <w:spacing w:after="0"/>
              <w:rPr>
                <w:sz w:val="9"/>
                <w:szCs w:val="9"/>
                <w:color w:val="auto"/>
              </w:rPr>
            </w:pPr>
          </w:p>
        </w:tc>
        <w:tc>
          <w:tcPr>
            <w:tcW w:w="880" w:type="dxa"/>
            <w:vAlign w:val="bottom"/>
            <w:gridSpan w:val="5"/>
            <w:vMerge w:val="restart"/>
          </w:tcPr>
          <w:p>
            <w:pPr>
              <w:spacing w:after="0"/>
              <w:rPr>
                <w:sz w:val="9"/>
                <w:szCs w:val="9"/>
                <w:color w:val="auto"/>
              </w:rPr>
            </w:pPr>
          </w:p>
        </w:tc>
        <w:tc>
          <w:tcPr>
            <w:tcW w:w="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color w:val="auto"/>
              </w:rPr>
              <w:t xml:space="preserve">​ ​ ​ </w:t>
            </w:r>
            <w:r>
              <w:rPr>
                <w:rFonts w:ascii="Times New Roman" w:cs="Times New Roman" w:eastAsia="Times New Roman" w:hAnsi="Times New Roman"/>
                <w:sz w:val="12"/>
                <w:szCs w:val="12"/>
                <w:color w:val="0000EE"/>
              </w:rPr>
              <w:t>13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6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160" w:type="dxa"/>
            <w:vAlign w:val="bottom"/>
            <w:tcBorders>
              <w:bottom w:val="single" w:sz="8" w:color="0000EE"/>
            </w:tcBorders>
            <w:gridSpan w:val="5"/>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80" w:type="dxa"/>
            <w:vAlign w:val="bottom"/>
            <w:gridSpan w:val="3"/>
            <w:vMerge w:val="continue"/>
          </w:tcPr>
          <w:p>
            <w:pPr>
              <w:spacing w:after="0" w:line="20" w:lineRule="exact"/>
              <w:rPr>
                <w:sz w:val="1"/>
                <w:szCs w:val="1"/>
                <w:color w:val="auto"/>
              </w:rPr>
            </w:pPr>
          </w:p>
        </w:tc>
        <w:tc>
          <w:tcPr>
            <w:tcW w:w="580" w:type="dxa"/>
            <w:vAlign w:val="bottom"/>
            <w:gridSpan w:val="4"/>
            <w:vMerge w:val="continue"/>
          </w:tcPr>
          <w:p>
            <w:pPr>
              <w:spacing w:after="0" w:line="20" w:lineRule="exact"/>
              <w:rPr>
                <w:sz w:val="1"/>
                <w:szCs w:val="1"/>
                <w:color w:val="auto"/>
              </w:rPr>
            </w:pPr>
          </w:p>
        </w:tc>
        <w:tc>
          <w:tcPr>
            <w:tcW w:w="880" w:type="dxa"/>
            <w:vAlign w:val="bottom"/>
            <w:gridSpan w:val="5"/>
            <w:vMerge w:val="continue"/>
          </w:tcPr>
          <w:p>
            <w:pPr>
              <w:spacing w:after="0" w:line="20" w:lineRule="exact"/>
              <w:rPr>
                <w:sz w:val="1"/>
                <w:szCs w:val="1"/>
                <w:color w:val="auto"/>
              </w:rPr>
            </w:pPr>
          </w:p>
        </w:tc>
        <w:tc>
          <w:tcPr>
            <w:tcW w:w="46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gridSpan w:val="13"/>
            <w:vMerge w:val="restart"/>
          </w:tcPr>
          <w:p>
            <w:pPr>
              <w:ind w:left="120"/>
              <w:spacing w:after="0" w:line="127" w:lineRule="exact"/>
              <w:rPr>
                <w:sz w:val="20"/>
                <w:szCs w:val="20"/>
                <w:color w:val="auto"/>
              </w:rPr>
            </w:pPr>
            <w:r>
              <w:rPr>
                <w:rFonts w:ascii="Times New Roman" w:cs="Times New Roman" w:eastAsia="Times New Roman" w:hAnsi="Times New Roman"/>
                <w:sz w:val="12"/>
                <w:szCs w:val="12"/>
                <w:color w:val="0000EE"/>
              </w:rPr>
              <w:t>TRANSACTIONS</w:t>
            </w:r>
          </w:p>
        </w:tc>
        <w:tc>
          <w:tcPr>
            <w:tcW w:w="0" w:type="dxa"/>
            <w:vAlign w:val="bottom"/>
          </w:tcPr>
          <w:p>
            <w:pPr>
              <w:spacing w:after="0" w:line="20" w:lineRule="exact"/>
              <w:rPr>
                <w:sz w:val="1"/>
                <w:szCs w:val="1"/>
                <w:color w:val="auto"/>
              </w:rPr>
            </w:pPr>
          </w:p>
        </w:tc>
      </w:tr>
      <w:tr>
        <w:trPr>
          <w:trHeight w:val="24"/>
        </w:trPr>
        <w:tc>
          <w:tcPr>
            <w:tcW w:w="1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23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2"/>
        </w:trPr>
        <w:tc>
          <w:tcPr>
            <w:tcW w:w="1720" w:type="dxa"/>
            <w:vAlign w:val="bottom"/>
            <w:tcBorders>
              <w:right w:val="single" w:sz="8" w:color="CCEEFF"/>
            </w:tcBorders>
            <w:gridSpan w:val="9"/>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0000EE"/>
              </w:rPr>
              <w:t>SPECIAL NOTE REGARDING</w:t>
            </w:r>
          </w:p>
        </w:tc>
        <w:tc>
          <w:tcPr>
            <w:tcW w:w="620" w:type="dxa"/>
            <w:vAlign w:val="bottom"/>
            <w:gridSpan w:val="3"/>
            <w:vMerge w:val="restart"/>
            <w:shd w:val="clear" w:color="auto" w:fill="CCEEFF"/>
          </w:tcPr>
          <w:p>
            <w:pPr>
              <w:spacing w:after="0"/>
              <w:rPr>
                <w:sz w:val="7"/>
                <w:szCs w:val="7"/>
                <w:color w:val="auto"/>
              </w:rPr>
            </w:pPr>
          </w:p>
        </w:tc>
        <w:tc>
          <w:tcPr>
            <w:tcW w:w="220" w:type="dxa"/>
            <w:vAlign w:val="bottom"/>
            <w:tcBorders>
              <w:right w:val="single" w:sz="8" w:color="CCEEFF"/>
            </w:tcBorders>
            <w:shd w:val="clear" w:color="auto" w:fill="CCEEFF"/>
          </w:tcPr>
          <w:p>
            <w:pPr>
              <w:spacing w:after="0"/>
              <w:rPr>
                <w:sz w:val="7"/>
                <w:szCs w:val="7"/>
                <w:color w:val="auto"/>
              </w:rPr>
            </w:pPr>
          </w:p>
        </w:tc>
        <w:tc>
          <w:tcPr>
            <w:tcW w:w="140" w:type="dxa"/>
            <w:vAlign w:val="bottom"/>
            <w:tcBorders>
              <w:left w:val="single" w:sz="8" w:color="CCEEFF"/>
            </w:tcBorders>
            <w:shd w:val="clear" w:color="auto" w:fill="CCEEFF"/>
          </w:tcPr>
          <w:p>
            <w:pPr>
              <w:spacing w:after="0"/>
              <w:rPr>
                <w:sz w:val="7"/>
                <w:szCs w:val="7"/>
                <w:color w:val="auto"/>
              </w:rPr>
            </w:pPr>
          </w:p>
        </w:tc>
        <w:tc>
          <w:tcPr>
            <w:tcW w:w="100" w:type="dxa"/>
            <w:vAlign w:val="bottom"/>
            <w:tcBorders>
              <w:left w:val="single" w:sz="8" w:color="CCEEFF"/>
            </w:tcBorders>
          </w:tcPr>
          <w:p>
            <w:pPr>
              <w:spacing w:after="0"/>
              <w:rPr>
                <w:sz w:val="7"/>
                <w:szCs w:val="7"/>
                <w:color w:val="auto"/>
              </w:rPr>
            </w:pPr>
          </w:p>
        </w:tc>
        <w:tc>
          <w:tcPr>
            <w:tcW w:w="60" w:type="dxa"/>
            <w:vAlign w:val="bottom"/>
            <w:vMerge w:val="continue"/>
          </w:tcPr>
          <w:p>
            <w:pPr>
              <w:spacing w:after="0"/>
              <w:rPr>
                <w:sz w:val="7"/>
                <w:szCs w:val="7"/>
                <w:color w:val="auto"/>
              </w:rPr>
            </w:pPr>
          </w:p>
        </w:tc>
        <w:tc>
          <w:tcPr>
            <w:tcW w:w="2300" w:type="dxa"/>
            <w:vAlign w:val="bottom"/>
            <w:gridSpan w:val="1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CCEEFF"/>
            </w:tcBorders>
            <w:gridSpan w:val="9"/>
            <w:vMerge w:val="continue"/>
            <w:shd w:val="clear" w:color="auto" w:fill="CCEEFF"/>
          </w:tcPr>
          <w:p>
            <w:pPr>
              <w:spacing w:after="0" w:line="20" w:lineRule="exact"/>
              <w:rPr>
                <w:sz w:val="1"/>
                <w:szCs w:val="1"/>
                <w:color w:val="auto"/>
              </w:rPr>
            </w:pPr>
          </w:p>
        </w:tc>
        <w:tc>
          <w:tcPr>
            <w:tcW w:w="620" w:type="dxa"/>
            <w:vAlign w:val="bottom"/>
            <w:gridSpan w:val="3"/>
            <w:vMerge w:val="continue"/>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1720" w:type="dxa"/>
            <w:vAlign w:val="bottom"/>
            <w:tcBorders>
              <w:bottom w:val="single" w:sz="8" w:color="0000EE"/>
              <w:right w:val="single" w:sz="8" w:color="CCEEFF"/>
            </w:tcBorders>
            <w:gridSpan w:val="9"/>
            <w:vMerge w:val="continue"/>
            <w:shd w:val="clear" w:color="auto" w:fill="CCEEFF"/>
          </w:tcPr>
          <w:p>
            <w:pPr>
              <w:spacing w:after="0"/>
              <w:rPr>
                <w:sz w:val="3"/>
                <w:szCs w:val="3"/>
                <w:color w:val="auto"/>
              </w:rPr>
            </w:pPr>
          </w:p>
        </w:tc>
        <w:tc>
          <w:tcPr>
            <w:tcW w:w="620" w:type="dxa"/>
            <w:vAlign w:val="bottom"/>
            <w:tcBorders>
              <w:bottom w:val="single" w:sz="8" w:color="CCEEFF"/>
            </w:tcBorders>
            <w:gridSpan w:val="3"/>
            <w:vMerge w:val="continue"/>
            <w:shd w:val="clear" w:color="auto" w:fill="CCEEFF"/>
          </w:tcPr>
          <w:p>
            <w:pPr>
              <w:spacing w:after="0"/>
              <w:rPr>
                <w:sz w:val="3"/>
                <w:szCs w:val="3"/>
                <w:color w:val="auto"/>
              </w:rPr>
            </w:pPr>
          </w:p>
        </w:tc>
        <w:tc>
          <w:tcPr>
            <w:tcW w:w="220" w:type="dxa"/>
            <w:vAlign w:val="bottom"/>
            <w:tcBorders>
              <w:bottom w:val="single" w:sz="8" w:color="CCEEFF"/>
              <w:right w:val="single" w:sz="8" w:color="CCEEFF"/>
            </w:tcBorders>
            <w:shd w:val="clear" w:color="auto" w:fill="CCEEFF"/>
          </w:tcPr>
          <w:p>
            <w:pPr>
              <w:spacing w:after="0"/>
              <w:rPr>
                <w:sz w:val="3"/>
                <w:szCs w:val="3"/>
                <w:color w:val="auto"/>
              </w:rPr>
            </w:pPr>
          </w:p>
        </w:tc>
        <w:tc>
          <w:tcPr>
            <w:tcW w:w="140" w:type="dxa"/>
            <w:vAlign w:val="bottom"/>
            <w:tcBorders>
              <w:left w:val="single" w:sz="8" w:color="CCEEFF"/>
              <w:bottom w:val="single" w:sz="8" w:color="CCEEFF"/>
            </w:tcBorders>
            <w:shd w:val="clear" w:color="auto" w:fill="CCEEFF"/>
          </w:tcPr>
          <w:p>
            <w:pPr>
              <w:spacing w:after="0"/>
              <w:rPr>
                <w:sz w:val="3"/>
                <w:szCs w:val="3"/>
                <w:color w:val="auto"/>
              </w:rPr>
            </w:pPr>
          </w:p>
        </w:tc>
        <w:tc>
          <w:tcPr>
            <w:tcW w:w="100" w:type="dxa"/>
            <w:vAlign w:val="bottom"/>
            <w:tcBorders>
              <w:left w:val="single" w:sz="8" w:color="CCEEFF"/>
            </w:tcBorders>
          </w:tcPr>
          <w:p>
            <w:pPr>
              <w:spacing w:after="0"/>
              <w:rPr>
                <w:sz w:val="3"/>
                <w:szCs w:val="3"/>
                <w:color w:val="auto"/>
              </w:rPr>
            </w:pPr>
          </w:p>
        </w:tc>
        <w:tc>
          <w:tcPr>
            <w:tcW w:w="60" w:type="dxa"/>
            <w:vAlign w:val="bottom"/>
          </w:tcPr>
          <w:p>
            <w:pPr>
              <w:spacing w:after="0"/>
              <w:rPr>
                <w:sz w:val="3"/>
                <w:szCs w:val="3"/>
                <w:color w:val="auto"/>
              </w:rPr>
            </w:pPr>
          </w:p>
        </w:tc>
        <w:tc>
          <w:tcPr>
            <w:tcW w:w="1660" w:type="dxa"/>
            <w:vAlign w:val="bottom"/>
            <w:gridSpan w:val="7"/>
            <w:vMerge w:val="restart"/>
          </w:tcPr>
          <w:p>
            <w:pPr>
              <w:spacing w:after="0"/>
              <w:rPr>
                <w:sz w:val="20"/>
                <w:szCs w:val="20"/>
                <w:color w:val="auto"/>
              </w:rPr>
            </w:pPr>
            <w:r>
              <w:rPr>
                <w:rFonts w:ascii="Times New Roman" w:cs="Times New Roman" w:eastAsia="Times New Roman" w:hAnsi="Times New Roman"/>
                <w:sz w:val="12"/>
                <w:szCs w:val="12"/>
                <w:color w:val="0000EE"/>
              </w:rPr>
              <w:t>PRINCIPAL STOCKHOLDERS</w:t>
            </w: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12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0000EE"/>
            </w:tcBorders>
            <w:gridSpan w:val="5"/>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000EE"/>
              </w:rPr>
              <w:t>FORWARD-LOOKING</w:t>
            </w:r>
          </w:p>
        </w:tc>
        <w:tc>
          <w:tcPr>
            <w:tcW w:w="960" w:type="dxa"/>
            <w:vAlign w:val="bottom"/>
            <w:tcBorders>
              <w:bottom w:val="single" w:sz="8" w:color="CCEEFF"/>
            </w:tcBorders>
            <w:gridSpan w:val="6"/>
            <w:shd w:val="clear" w:color="auto" w:fill="CCEEFF"/>
          </w:tcPr>
          <w:p>
            <w:pPr>
              <w:spacing w:after="0"/>
              <w:rPr>
                <w:sz w:val="10"/>
                <w:szCs w:val="10"/>
                <w:color w:val="auto"/>
              </w:rPr>
            </w:pP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140" w:type="dxa"/>
            <w:vAlign w:val="bottom"/>
            <w:tcBorders>
              <w:left w:val="single" w:sz="8" w:color="CCEEFF"/>
              <w:bottom w:val="single" w:sz="8" w:color="CCEEFF"/>
            </w:tcBorders>
            <w:shd w:val="clear" w:color="auto" w:fill="CCEEFF"/>
          </w:tcPr>
          <w:p>
            <w:pPr>
              <w:spacing w:after="0"/>
              <w:rPr>
                <w:sz w:val="10"/>
                <w:szCs w:val="10"/>
                <w:color w:val="auto"/>
              </w:rPr>
            </w:pPr>
          </w:p>
        </w:tc>
        <w:tc>
          <w:tcPr>
            <w:tcW w:w="100" w:type="dxa"/>
            <w:vAlign w:val="bottom"/>
            <w:tcBorders>
              <w:left w:val="single" w:sz="8" w:color="CCEEFF"/>
            </w:tcBorders>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tcBorders>
              <w:bottom w:val="single" w:sz="8" w:color="0000EE"/>
            </w:tcBorders>
            <w:gridSpan w:val="7"/>
            <w:vMerge w:val="continue"/>
          </w:tcPr>
          <w:p>
            <w:pPr>
              <w:spacing w:after="0"/>
              <w:rPr>
                <w:sz w:val="10"/>
                <w:szCs w:val="10"/>
                <w:color w:val="auto"/>
              </w:rPr>
            </w:pPr>
          </w:p>
        </w:tc>
        <w:tc>
          <w:tcPr>
            <w:tcW w:w="3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0000EE"/>
                <w:w w:val="92"/>
              </w:rPr>
              <w:t>STATEMENTS</w:t>
            </w:r>
          </w:p>
        </w:tc>
        <w:tc>
          <w:tcPr>
            <w:tcW w:w="1460" w:type="dxa"/>
            <w:vAlign w:val="bottom"/>
            <w:tcBorders>
              <w:left w:val="single" w:sz="8" w:color="CCEEFF"/>
            </w:tcBorders>
            <w:gridSpan w:val="9"/>
            <w:shd w:val="clear" w:color="auto" w:fill="CCEEFF"/>
          </w:tcPr>
          <w:p>
            <w:pPr>
              <w:spacing w:after="0"/>
              <w:rPr>
                <w:sz w:val="11"/>
                <w:szCs w:val="11"/>
                <w:color w:val="auto"/>
              </w:rPr>
            </w:pPr>
          </w:p>
        </w:tc>
        <w:tc>
          <w:tcPr>
            <w:tcW w:w="36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0000EE"/>
              </w:rPr>
              <w:t>73</w:t>
            </w:r>
          </w:p>
        </w:tc>
        <w:tc>
          <w:tcPr>
            <w:tcW w:w="100" w:type="dxa"/>
            <w:vAlign w:val="bottom"/>
            <w:tcBorders>
              <w:left w:val="single" w:sz="8" w:color="CCEEFF"/>
            </w:tcBorders>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2360" w:type="dxa"/>
            <w:vAlign w:val="bottom"/>
            <w:gridSpan w:val="14"/>
          </w:tcPr>
          <w:p>
            <w:pPr>
              <w:ind w:left="60"/>
              <w:spacing w:after="0" w:line="118" w:lineRule="exact"/>
              <w:rPr>
                <w:sz w:val="20"/>
                <w:szCs w:val="20"/>
                <w:color w:val="auto"/>
              </w:rPr>
            </w:pPr>
            <w:r>
              <w:rPr>
                <w:rFonts w:ascii="Times New Roman" w:cs="Times New Roman" w:eastAsia="Times New Roman" w:hAnsi="Times New Roman"/>
                <w:sz w:val="12"/>
                <w:szCs w:val="12"/>
                <w:color w:val="0000EE"/>
              </w:rPr>
              <w:t>DESCRIPTION OF CAPITAL STOCK</w:t>
            </w:r>
          </w:p>
        </w:tc>
        <w:tc>
          <w:tcPr>
            <w:tcW w:w="0" w:type="dxa"/>
            <w:vAlign w:val="bottom"/>
          </w:tcPr>
          <w:p>
            <w:pPr>
              <w:spacing w:after="0"/>
              <w:rPr>
                <w:sz w:val="1"/>
                <w:szCs w:val="1"/>
                <w:color w:val="auto"/>
              </w:rPr>
            </w:pPr>
          </w:p>
        </w:tc>
      </w:tr>
      <w:tr>
        <w:trPr>
          <w:trHeight w:val="37"/>
        </w:trPr>
        <w:tc>
          <w:tcPr>
            <w:tcW w:w="120" w:type="dxa"/>
            <w:vAlign w:val="bottom"/>
            <w:shd w:val="clear" w:color="auto" w:fill="CCEEFF"/>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00" w:type="dxa"/>
            <w:vAlign w:val="bottom"/>
            <w:tcBorders>
              <w:left w:val="single" w:sz="8" w:color="CCEEFF"/>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800" w:type="dxa"/>
            <w:vAlign w:val="bottom"/>
            <w:gridSpan w:val="15"/>
          </w:tcPr>
          <w:p>
            <w:pPr>
              <w:spacing w:after="0" w:line="118" w:lineRule="exact"/>
              <w:rPr>
                <w:sz w:val="20"/>
                <w:szCs w:val="20"/>
                <w:color w:val="auto"/>
              </w:rPr>
            </w:pPr>
            <w:r>
              <w:rPr>
                <w:rFonts w:ascii="Times New Roman" w:cs="Times New Roman" w:eastAsia="Times New Roman" w:hAnsi="Times New Roman"/>
                <w:sz w:val="12"/>
                <w:szCs w:val="12"/>
                <w:color w:val="0000EE"/>
              </w:rPr>
              <w:t xml:space="preserve">MARKET, INDUSTRY AND OTHER DATA </w:t>
            </w:r>
            <w:r>
              <w:rPr>
                <w:rFonts w:ascii="Times New Roman" w:cs="Times New Roman" w:eastAsia="Times New Roman" w:hAnsi="Times New Roman"/>
                <w:sz w:val="12"/>
                <w:szCs w:val="12"/>
                <w:color w:val="000000"/>
              </w:rPr>
              <w:t>​ ​</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b w:val="1"/>
                <w:bCs w:val="1"/>
                <w:color w:val="000000"/>
              </w:rPr>
              <w:t>​</w:t>
            </w:r>
            <w:r>
              <w:rPr>
                <w:rFonts w:ascii="Times New Roman" w:cs="Times New Roman" w:eastAsia="Times New Roman" w:hAnsi="Times New Roman"/>
                <w:sz w:val="12"/>
                <w:szCs w:val="12"/>
                <w:color w:val="0000EE"/>
              </w:rPr>
              <w:t xml:space="preserve"> 75 </w:t>
            </w:r>
            <w:r>
              <w:rPr>
                <w:rFonts w:ascii="Times New Roman" w:cs="Times New Roman" w:eastAsia="Times New Roman" w:hAnsi="Times New Roman"/>
                <w:sz w:val="12"/>
                <w:szCs w:val="12"/>
                <w:b w:val="1"/>
                <w:bCs w:val="1"/>
                <w:color w:val="000000"/>
              </w:rPr>
              <w:t>​</w:t>
            </w:r>
          </w:p>
        </w:tc>
        <w:tc>
          <w:tcPr>
            <w:tcW w:w="2360" w:type="dxa"/>
            <w:vAlign w:val="bottom"/>
            <w:gridSpan w:val="14"/>
          </w:tcPr>
          <w:p>
            <w:pPr>
              <w:ind w:left="60"/>
              <w:spacing w:after="0" w:line="118" w:lineRule="exact"/>
              <w:rPr>
                <w:sz w:val="20"/>
                <w:szCs w:val="20"/>
                <w:color w:val="auto"/>
              </w:rPr>
            </w:pPr>
            <w:r>
              <w:rPr>
                <w:rFonts w:ascii="Times New Roman" w:cs="Times New Roman" w:eastAsia="Times New Roman" w:hAnsi="Times New Roman"/>
                <w:sz w:val="12"/>
                <w:szCs w:val="12"/>
                <w:color w:val="0000EE"/>
              </w:rPr>
              <w:t>SHARES ELIGIBLE FOR FUTURE SALE</w:t>
            </w:r>
          </w:p>
        </w:tc>
        <w:tc>
          <w:tcPr>
            <w:tcW w:w="0" w:type="dxa"/>
            <w:vAlign w:val="bottom"/>
          </w:tcPr>
          <w:p>
            <w:pPr>
              <w:spacing w:after="0"/>
              <w:rPr>
                <w:sz w:val="1"/>
                <w:szCs w:val="1"/>
                <w:color w:val="auto"/>
              </w:rPr>
            </w:pPr>
          </w:p>
        </w:tc>
      </w:tr>
      <w:tr>
        <w:trPr>
          <w:trHeight w:val="174"/>
        </w:trPr>
        <w:tc>
          <w:tcPr>
            <w:tcW w:w="1100" w:type="dxa"/>
            <w:vAlign w:val="bottom"/>
            <w:tcBorders>
              <w:top w:val="single" w:sz="8" w:color="0000EE"/>
              <w:bottom w:val="single" w:sz="8" w:color="0000EE"/>
            </w:tcBorders>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0000EE"/>
              </w:rPr>
              <w:t>USE OF PROCEEDS</w:t>
            </w:r>
          </w:p>
        </w:tc>
        <w:tc>
          <w:tcPr>
            <w:tcW w:w="540" w:type="dxa"/>
            <w:vAlign w:val="bottom"/>
            <w:tcBorders>
              <w:top w:val="single" w:sz="8" w:color="0000EE"/>
              <w:bottom w:val="single" w:sz="8" w:color="CCEEFF"/>
            </w:tcBorders>
            <w:gridSpan w:val="3"/>
            <w:shd w:val="clear" w:color="auto" w:fill="CCEEFF"/>
          </w:tcPr>
          <w:p>
            <w:pPr>
              <w:spacing w:after="0"/>
              <w:rPr>
                <w:sz w:val="15"/>
                <w:szCs w:val="15"/>
                <w:color w:val="auto"/>
              </w:rPr>
            </w:pPr>
          </w:p>
        </w:tc>
        <w:tc>
          <w:tcPr>
            <w:tcW w:w="80" w:type="dxa"/>
            <w:vAlign w:val="bottom"/>
            <w:tcBorders>
              <w:top w:val="single" w:sz="8" w:color="0000EE"/>
              <w:bottom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0000EE"/>
              <w:bottom w:val="single" w:sz="8" w:color="CCEEFF"/>
            </w:tcBorders>
            <w:shd w:val="clear" w:color="auto" w:fill="CCEEFF"/>
          </w:tcPr>
          <w:p>
            <w:pPr>
              <w:spacing w:after="0"/>
              <w:rPr>
                <w:sz w:val="15"/>
                <w:szCs w:val="15"/>
                <w:color w:val="auto"/>
              </w:rPr>
            </w:pPr>
          </w:p>
        </w:tc>
        <w:tc>
          <w:tcPr>
            <w:tcW w:w="220" w:type="dxa"/>
            <w:vAlign w:val="bottom"/>
            <w:tcBorders>
              <w:top w:val="single" w:sz="8" w:color="0000EE"/>
              <w:bottom w:val="single" w:sz="8" w:color="CCEEFF"/>
            </w:tcBorders>
            <w:shd w:val="clear" w:color="auto" w:fill="CCEEFF"/>
          </w:tcPr>
          <w:p>
            <w:pPr>
              <w:spacing w:after="0"/>
              <w:rPr>
                <w:sz w:val="15"/>
                <w:szCs w:val="15"/>
                <w:color w:val="auto"/>
              </w:rPr>
            </w:pPr>
          </w:p>
        </w:tc>
        <w:tc>
          <w:tcPr>
            <w:tcW w:w="240" w:type="dxa"/>
            <w:vAlign w:val="bottom"/>
            <w:tcBorders>
              <w:top w:val="single" w:sz="8" w:color="0000EE"/>
              <w:bottom w:val="single" w:sz="8" w:color="CCEEFF"/>
            </w:tcBorders>
            <w:shd w:val="clear" w:color="auto" w:fill="CCEEFF"/>
          </w:tcPr>
          <w:p>
            <w:pPr>
              <w:spacing w:after="0"/>
              <w:rPr>
                <w:sz w:val="15"/>
                <w:szCs w:val="15"/>
                <w:color w:val="auto"/>
              </w:rPr>
            </w:pPr>
          </w:p>
        </w:tc>
        <w:tc>
          <w:tcPr>
            <w:tcW w:w="22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 ​</w:t>
            </w:r>
          </w:p>
        </w:tc>
        <w:tc>
          <w:tcPr>
            <w:tcW w:w="140" w:type="dxa"/>
            <w:vAlign w:val="bottom"/>
            <w:tcBorders>
              <w:top w:val="single" w:sz="8" w:color="0000EE"/>
              <w:left w:val="single" w:sz="8" w:color="CCEEFF"/>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0000EE"/>
                <w:w w:val="99"/>
              </w:rPr>
              <w:t>76</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5"/>
                <w:szCs w:val="15"/>
                <w:color w:val="auto"/>
              </w:rPr>
            </w:pPr>
          </w:p>
        </w:tc>
        <w:tc>
          <w:tcPr>
            <w:tcW w:w="206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2"/>
                <w:szCs w:val="12"/>
                <w:color w:val="0000EE"/>
              </w:rPr>
              <w:t>CERTAIN MATERIAL U.S. FEDERAL</w:t>
            </w:r>
          </w:p>
        </w:tc>
        <w:tc>
          <w:tcPr>
            <w:tcW w:w="60" w:type="dxa"/>
            <w:vAlign w:val="bottom"/>
            <w:tcBorders>
              <w:top w:val="single" w:sz="8" w:color="0000EE"/>
              <w:bottom w:val="single" w:sz="8" w:color="0000EE"/>
            </w:tcBorders>
          </w:tcPr>
          <w:p>
            <w:pPr>
              <w:spacing w:after="0"/>
              <w:rPr>
                <w:sz w:val="15"/>
                <w:szCs w:val="15"/>
                <w:color w:val="auto"/>
              </w:rPr>
            </w:pPr>
          </w:p>
        </w:tc>
        <w:tc>
          <w:tcPr>
            <w:tcW w:w="100" w:type="dxa"/>
            <w:vAlign w:val="bottom"/>
            <w:tcBorders>
              <w:top w:val="single" w:sz="8" w:color="0000EE"/>
              <w:bottom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340" w:type="dxa"/>
            <w:vAlign w:val="bottom"/>
            <w:gridSpan w:val="12"/>
            <w:vMerge w:val="restart"/>
          </w:tcPr>
          <w:p>
            <w:pPr>
              <w:spacing w:after="0"/>
              <w:rPr>
                <w:sz w:val="20"/>
                <w:szCs w:val="20"/>
                <w:color w:val="auto"/>
              </w:rPr>
            </w:pPr>
            <w:r>
              <w:rPr>
                <w:rFonts w:ascii="Times New Roman" w:cs="Times New Roman" w:eastAsia="Times New Roman" w:hAnsi="Times New Roman"/>
                <w:sz w:val="12"/>
                <w:szCs w:val="12"/>
                <w:color w:val="0000EE"/>
              </w:rPr>
              <w:t>DIVIDEND POLICY</w:t>
            </w:r>
          </w:p>
        </w:tc>
        <w:tc>
          <w:tcPr>
            <w:tcW w:w="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color w:val="auto"/>
              </w:rPr>
              <w:t xml:space="preserve">​ ​ ​ </w:t>
            </w:r>
            <w:r>
              <w:rPr>
                <w:rFonts w:ascii="Times New Roman" w:cs="Times New Roman" w:eastAsia="Times New Roman" w:hAnsi="Times New Roman"/>
                <w:sz w:val="12"/>
                <w:szCs w:val="12"/>
                <w:color w:val="0000EE"/>
              </w:rPr>
              <w:t>78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Borders>
              <w:bottom w:val="single" w:sz="8" w:color="0000EE"/>
            </w:tcBorders>
            <w:gridSpan w:val="10"/>
          </w:tcPr>
          <w:p>
            <w:pPr>
              <w:spacing w:after="0" w:line="89" w:lineRule="exact"/>
              <w:rPr>
                <w:sz w:val="20"/>
                <w:szCs w:val="20"/>
                <w:color w:val="auto"/>
              </w:rPr>
            </w:pPr>
            <w:r>
              <w:rPr>
                <w:rFonts w:ascii="Times New Roman" w:cs="Times New Roman" w:eastAsia="Times New Roman" w:hAnsi="Times New Roman"/>
                <w:sz w:val="10"/>
                <w:szCs w:val="10"/>
                <w:color w:val="0000EE"/>
              </w:rPr>
              <w:t>INCOME TAX CONSEQUENCES TO</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340" w:type="dxa"/>
            <w:vAlign w:val="bottom"/>
            <w:gridSpan w:val="12"/>
            <w:vMerge w:val="continue"/>
          </w:tcPr>
          <w:p>
            <w:pPr>
              <w:spacing w:after="0"/>
              <w:rPr>
                <w:sz w:val="2"/>
                <w:szCs w:val="2"/>
                <w:color w:val="auto"/>
              </w:rPr>
            </w:pPr>
          </w:p>
        </w:tc>
        <w:tc>
          <w:tcPr>
            <w:tcW w:w="46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2300" w:type="dxa"/>
            <w:vAlign w:val="bottom"/>
            <w:gridSpan w:val="13"/>
            <w:vMerge w:val="restart"/>
          </w:tcPr>
          <w:p>
            <w:pPr>
              <w:ind w:left="120"/>
              <w:spacing w:after="0" w:line="127" w:lineRule="exact"/>
              <w:rPr>
                <w:sz w:val="20"/>
                <w:szCs w:val="20"/>
                <w:color w:val="auto"/>
              </w:rPr>
            </w:pPr>
            <w:r>
              <w:rPr>
                <w:rFonts w:ascii="Times New Roman" w:cs="Times New Roman" w:eastAsia="Times New Roman" w:hAnsi="Times New Roman"/>
                <w:sz w:val="12"/>
                <w:szCs w:val="12"/>
                <w:color w:val="0000EE"/>
              </w:rPr>
              <w:t>NON-U.S. HOLDERS</w:t>
            </w:r>
          </w:p>
        </w:tc>
        <w:tc>
          <w:tcPr>
            <w:tcW w:w="0" w:type="dxa"/>
            <w:vAlign w:val="bottom"/>
          </w:tcPr>
          <w:p>
            <w:pPr>
              <w:spacing w:after="0"/>
              <w:rPr>
                <w:sz w:val="1"/>
                <w:szCs w:val="1"/>
                <w:color w:val="auto"/>
              </w:rPr>
            </w:pPr>
          </w:p>
        </w:tc>
      </w:tr>
      <w:tr>
        <w:trPr>
          <w:trHeight w:val="82"/>
        </w:trPr>
        <w:tc>
          <w:tcPr>
            <w:tcW w:w="1020" w:type="dxa"/>
            <w:vAlign w:val="bottom"/>
            <w:tcBorders>
              <w:top w:val="single" w:sz="8" w:color="0000EE"/>
            </w:tcBorders>
            <w:gridSpan w:val="4"/>
            <w:vMerge w:val="restart"/>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0000EE"/>
              </w:rPr>
              <w:t>CAPITALIZATION</w:t>
            </w:r>
          </w:p>
        </w:tc>
        <w:tc>
          <w:tcPr>
            <w:tcW w:w="80" w:type="dxa"/>
            <w:vAlign w:val="bottom"/>
            <w:tcBorders>
              <w:top w:val="single" w:sz="8" w:color="0000EE"/>
            </w:tcBorders>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2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 ​</w:t>
            </w:r>
          </w:p>
        </w:tc>
        <w:tc>
          <w:tcPr>
            <w:tcW w:w="140" w:type="dxa"/>
            <w:vAlign w:val="bottom"/>
            <w:tcBorders>
              <w:top w:val="single" w:sz="8" w:color="0000EE"/>
              <w:left w:val="single" w:sz="8" w:color="CCEEFF"/>
            </w:tcBorders>
            <w:vMerge w:val="restart"/>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0000EE"/>
                <w:w w:val="99"/>
              </w:rPr>
              <w:t>79</w:t>
            </w:r>
          </w:p>
        </w:tc>
        <w:tc>
          <w:tcPr>
            <w:tcW w:w="10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7"/>
                <w:szCs w:val="7"/>
                <w:color w:val="auto"/>
              </w:rPr>
            </w:pPr>
          </w:p>
        </w:tc>
        <w:tc>
          <w:tcPr>
            <w:tcW w:w="2300" w:type="dxa"/>
            <w:vAlign w:val="bottom"/>
            <w:gridSpan w:val="1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20" w:type="dxa"/>
            <w:vAlign w:val="bottom"/>
            <w:gridSpan w:val="4"/>
            <w:vMerge w:val="continue"/>
            <w:shd w:val="clear" w:color="auto" w:fill="CCEEFF"/>
          </w:tcPr>
          <w:p>
            <w:pPr>
              <w:spacing w:after="0" w:line="20" w:lineRule="exact"/>
              <w:rPr>
                <w:sz w:val="1"/>
                <w:szCs w:val="1"/>
                <w:color w:val="auto"/>
              </w:rPr>
            </w:pPr>
          </w:p>
        </w:tc>
        <w:tc>
          <w:tcPr>
            <w:tcW w:w="620" w:type="dxa"/>
            <w:vAlign w:val="bottom"/>
            <w:gridSpan w:val="4"/>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vMerge w:val="continue"/>
            <w:shd w:val="clear" w:color="auto" w:fill="CCEEFF"/>
          </w:tcPr>
          <w:p>
            <w:pPr>
              <w:spacing w:after="0" w:line="20" w:lineRule="exact"/>
              <w:rPr>
                <w:sz w:val="1"/>
                <w:szCs w:val="1"/>
                <w:color w:val="auto"/>
              </w:rPr>
            </w:pPr>
          </w:p>
        </w:tc>
        <w:tc>
          <w:tcPr>
            <w:tcW w:w="140" w:type="dxa"/>
            <w:vAlign w:val="bottom"/>
            <w:tcBorders>
              <w:left w:val="single" w:sz="8" w:color="CCEEFF"/>
            </w:tcBorders>
            <w:vMerge w:val="continue"/>
            <w:shd w:val="clear" w:color="auto" w:fill="CCEEFF"/>
          </w:tcPr>
          <w:p>
            <w:pPr>
              <w:spacing w:after="0" w:line="20" w:lineRule="exact"/>
              <w:rPr>
                <w:sz w:val="1"/>
                <w:szCs w:val="1"/>
                <w:color w:val="auto"/>
              </w:rPr>
            </w:pPr>
          </w:p>
        </w:tc>
        <w:tc>
          <w:tcPr>
            <w:tcW w:w="100" w:type="dxa"/>
            <w:vAlign w:val="bottom"/>
            <w:tcBorders>
              <w:left w:val="single" w:sz="8" w:color="CCEEFF"/>
            </w:tcBorders>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1020" w:type="dxa"/>
            <w:vAlign w:val="bottom"/>
            <w:tcBorders>
              <w:bottom w:val="single" w:sz="8" w:color="0000EE"/>
            </w:tcBorders>
            <w:gridSpan w:val="4"/>
            <w:vMerge w:val="continue"/>
            <w:shd w:val="clear" w:color="auto" w:fill="CCEEFF"/>
          </w:tcPr>
          <w:p>
            <w:pPr>
              <w:spacing w:after="0"/>
              <w:rPr>
                <w:sz w:val="4"/>
                <w:szCs w:val="4"/>
                <w:color w:val="auto"/>
              </w:rPr>
            </w:pPr>
          </w:p>
        </w:tc>
        <w:tc>
          <w:tcPr>
            <w:tcW w:w="620" w:type="dxa"/>
            <w:vAlign w:val="bottom"/>
            <w:tcBorders>
              <w:bottom w:val="single" w:sz="8" w:color="CCEEFF"/>
            </w:tcBorders>
            <w:gridSpan w:val="4"/>
            <w:shd w:val="clear" w:color="auto" w:fill="CCEEFF"/>
          </w:tcPr>
          <w:p>
            <w:pPr>
              <w:spacing w:after="0"/>
              <w:rPr>
                <w:sz w:val="4"/>
                <w:szCs w:val="4"/>
                <w:color w:val="auto"/>
              </w:rPr>
            </w:pPr>
          </w:p>
        </w:tc>
        <w:tc>
          <w:tcPr>
            <w:tcW w:w="80" w:type="dxa"/>
            <w:vAlign w:val="bottom"/>
            <w:tcBorders>
              <w:bottom w:val="single" w:sz="8" w:color="CCEEFF"/>
              <w:right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right w:val="single" w:sz="8" w:color="CCEEFF"/>
            </w:tcBorders>
            <w:vMerge w:val="continue"/>
            <w:shd w:val="clear" w:color="auto" w:fill="CCEEFF"/>
          </w:tcPr>
          <w:p>
            <w:pPr>
              <w:spacing w:after="0"/>
              <w:rPr>
                <w:sz w:val="4"/>
                <w:szCs w:val="4"/>
                <w:color w:val="auto"/>
              </w:rPr>
            </w:pPr>
          </w:p>
        </w:tc>
        <w:tc>
          <w:tcPr>
            <w:tcW w:w="140" w:type="dxa"/>
            <w:vAlign w:val="bottom"/>
            <w:tcBorders>
              <w:left w:val="single" w:sz="8" w:color="CCEEFF"/>
              <w:bottom w:val="single" w:sz="8" w:color="0000EE"/>
            </w:tcBorders>
            <w:vMerge w:val="continue"/>
            <w:shd w:val="clear" w:color="auto" w:fill="CCEEFF"/>
          </w:tcPr>
          <w:p>
            <w:pPr>
              <w:spacing w:after="0"/>
              <w:rPr>
                <w:sz w:val="4"/>
                <w:szCs w:val="4"/>
                <w:color w:val="auto"/>
              </w:rPr>
            </w:pPr>
          </w:p>
        </w:tc>
        <w:tc>
          <w:tcPr>
            <w:tcW w:w="100" w:type="dxa"/>
            <w:vAlign w:val="bottom"/>
            <w:tcBorders>
              <w:left w:val="single" w:sz="8" w:color="CCEEFF"/>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color w:val="0000EE"/>
              </w:rPr>
              <w:t>UNDERWRITING</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600" w:type="dxa"/>
            <w:vAlign w:val="bottom"/>
            <w:gridSpan w:val="2"/>
            <w:vMerge w:val="restart"/>
          </w:tcPr>
          <w:p>
            <w:pPr>
              <w:spacing w:after="0" w:line="127" w:lineRule="exact"/>
              <w:rPr>
                <w:sz w:val="20"/>
                <w:szCs w:val="20"/>
                <w:color w:val="auto"/>
              </w:rPr>
            </w:pPr>
            <w:r>
              <w:rPr>
                <w:rFonts w:ascii="Times New Roman" w:cs="Times New Roman" w:eastAsia="Times New Roman" w:hAnsi="Times New Roman"/>
                <w:sz w:val="12"/>
                <w:szCs w:val="12"/>
                <w:color w:val="0000EE"/>
              </w:rPr>
              <w:t>DILUTION</w:t>
            </w:r>
          </w:p>
        </w:tc>
        <w:tc>
          <w:tcPr>
            <w:tcW w:w="280" w:type="dxa"/>
            <w:vAlign w:val="bottom"/>
          </w:tcPr>
          <w:p>
            <w:pPr>
              <w:spacing w:after="0"/>
              <w:rPr>
                <w:sz w:val="7"/>
                <w:szCs w:val="7"/>
                <w:color w:val="auto"/>
              </w:rPr>
            </w:pPr>
          </w:p>
        </w:tc>
        <w:tc>
          <w:tcPr>
            <w:tcW w:w="760" w:type="dxa"/>
            <w:vAlign w:val="bottom"/>
            <w:gridSpan w:val="5"/>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 ​ ​</w:t>
            </w:r>
          </w:p>
        </w:tc>
        <w:tc>
          <w:tcPr>
            <w:tcW w:w="140" w:type="dxa"/>
            <w:vAlign w:val="bottom"/>
            <w:vMerge w:val="restart"/>
          </w:tcPr>
          <w:p>
            <w:pPr>
              <w:jc w:val="right"/>
              <w:spacing w:after="0" w:line="127" w:lineRule="exact"/>
              <w:rPr>
                <w:sz w:val="20"/>
                <w:szCs w:val="20"/>
                <w:color w:val="auto"/>
              </w:rPr>
            </w:pPr>
            <w:r>
              <w:rPr>
                <w:rFonts w:ascii="Times New Roman" w:cs="Times New Roman" w:eastAsia="Times New Roman" w:hAnsi="Times New Roman"/>
                <w:sz w:val="12"/>
                <w:szCs w:val="12"/>
                <w:color w:val="0000EE"/>
                <w:w w:val="99"/>
              </w:rPr>
              <w:t>81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7"/>
                <w:szCs w:val="7"/>
                <w:color w:val="auto"/>
              </w:rPr>
            </w:pPr>
          </w:p>
        </w:tc>
        <w:tc>
          <w:tcPr>
            <w:tcW w:w="980" w:type="dxa"/>
            <w:vAlign w:val="bottom"/>
            <w:tcBorders>
              <w:bottom w:val="single" w:sz="8" w:color="0000EE"/>
            </w:tcBorders>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7"/>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600" w:type="dxa"/>
            <w:vAlign w:val="bottom"/>
            <w:tcBorders>
              <w:bottom w:val="single" w:sz="8" w:color="0000EE"/>
            </w:tcBorders>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gridSpan w:val="5"/>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40" w:type="dxa"/>
            <w:vAlign w:val="bottom"/>
            <w:tcBorders>
              <w:bottom w:val="single" w:sz="8" w:color="0000EE"/>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360" w:type="dxa"/>
            <w:vAlign w:val="bottom"/>
            <w:gridSpan w:val="14"/>
            <w:vMerge w:val="restart"/>
          </w:tcPr>
          <w:p>
            <w:pPr>
              <w:ind w:left="60"/>
              <w:spacing w:after="0"/>
              <w:rPr>
                <w:sz w:val="20"/>
                <w:szCs w:val="20"/>
                <w:color w:val="auto"/>
              </w:rPr>
            </w:pPr>
            <w:r>
              <w:rPr>
                <w:rFonts w:ascii="Times New Roman" w:cs="Times New Roman" w:eastAsia="Times New Roman" w:hAnsi="Times New Roman"/>
                <w:sz w:val="12"/>
                <w:szCs w:val="12"/>
                <w:color w:val="0000EE"/>
              </w:rPr>
              <w:t>LEGAL MATTERS</w:t>
            </w:r>
          </w:p>
        </w:tc>
        <w:tc>
          <w:tcPr>
            <w:tcW w:w="0" w:type="dxa"/>
            <w:vAlign w:val="bottom"/>
          </w:tcPr>
          <w:p>
            <w:pPr>
              <w:spacing w:after="0"/>
              <w:rPr>
                <w:sz w:val="1"/>
                <w:szCs w:val="1"/>
                <w:color w:val="auto"/>
              </w:rPr>
            </w:pPr>
          </w:p>
        </w:tc>
      </w:tr>
      <w:tr>
        <w:trPr>
          <w:trHeight w:val="92"/>
        </w:trPr>
        <w:tc>
          <w:tcPr>
            <w:tcW w:w="2100" w:type="dxa"/>
            <w:vAlign w:val="bottom"/>
            <w:gridSpan w:val="11"/>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0000EE"/>
              </w:rPr>
              <w:t>MANAGEMENT’S DISCUSSION AND</w:t>
            </w:r>
          </w:p>
        </w:tc>
        <w:tc>
          <w:tcPr>
            <w:tcW w:w="240" w:type="dxa"/>
            <w:vAlign w:val="bottom"/>
            <w:vMerge w:val="restart"/>
            <w:shd w:val="clear" w:color="auto" w:fill="CCEEFF"/>
          </w:tcPr>
          <w:p>
            <w:pPr>
              <w:spacing w:after="0"/>
              <w:rPr>
                <w:sz w:val="7"/>
                <w:szCs w:val="7"/>
                <w:color w:val="auto"/>
              </w:rPr>
            </w:pPr>
          </w:p>
        </w:tc>
        <w:tc>
          <w:tcPr>
            <w:tcW w:w="220" w:type="dxa"/>
            <w:vAlign w:val="bottom"/>
            <w:tcBorders>
              <w:right w:val="single" w:sz="8" w:color="CCEEFF"/>
            </w:tcBorders>
            <w:shd w:val="clear" w:color="auto" w:fill="CCEEFF"/>
          </w:tcPr>
          <w:p>
            <w:pPr>
              <w:spacing w:after="0"/>
              <w:rPr>
                <w:sz w:val="7"/>
                <w:szCs w:val="7"/>
                <w:color w:val="auto"/>
              </w:rPr>
            </w:pPr>
          </w:p>
        </w:tc>
        <w:tc>
          <w:tcPr>
            <w:tcW w:w="140" w:type="dxa"/>
            <w:vAlign w:val="bottom"/>
            <w:tcBorders>
              <w:left w:val="single" w:sz="8" w:color="CCEEFF"/>
            </w:tcBorders>
            <w:shd w:val="clear" w:color="auto" w:fill="CCEEFF"/>
          </w:tcPr>
          <w:p>
            <w:pPr>
              <w:spacing w:after="0"/>
              <w:rPr>
                <w:sz w:val="7"/>
                <w:szCs w:val="7"/>
                <w:color w:val="auto"/>
              </w:rPr>
            </w:pPr>
          </w:p>
        </w:tc>
        <w:tc>
          <w:tcPr>
            <w:tcW w:w="100" w:type="dxa"/>
            <w:vAlign w:val="bottom"/>
            <w:tcBorders>
              <w:left w:val="single" w:sz="8" w:color="CCEEFF"/>
            </w:tcBorders>
          </w:tcPr>
          <w:p>
            <w:pPr>
              <w:spacing w:after="0"/>
              <w:rPr>
                <w:sz w:val="7"/>
                <w:szCs w:val="7"/>
                <w:color w:val="auto"/>
              </w:rPr>
            </w:pPr>
          </w:p>
        </w:tc>
        <w:tc>
          <w:tcPr>
            <w:tcW w:w="2360" w:type="dxa"/>
            <w:vAlign w:val="bottom"/>
            <w:gridSpan w:val="1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2100" w:type="dxa"/>
            <w:vAlign w:val="bottom"/>
            <w:tcBorders>
              <w:top w:val="single" w:sz="8" w:color="CCEEFF"/>
              <w:bottom w:val="single" w:sz="8" w:color="0000EE"/>
            </w:tcBorders>
            <w:gridSpan w:val="11"/>
            <w:vMerge w:val="continue"/>
            <w:shd w:val="clear" w:color="auto" w:fill="CCEEFF"/>
          </w:tcPr>
          <w:p>
            <w:pPr>
              <w:spacing w:after="0"/>
              <w:rPr>
                <w:sz w:val="2"/>
                <w:szCs w:val="2"/>
                <w:color w:val="auto"/>
              </w:rPr>
            </w:pPr>
          </w:p>
        </w:tc>
        <w:tc>
          <w:tcPr>
            <w:tcW w:w="240" w:type="dxa"/>
            <w:vAlign w:val="bottom"/>
            <w:tcBorders>
              <w:top w:val="single" w:sz="8" w:color="CCEEFF"/>
              <w:bottom w:val="single" w:sz="8" w:color="CCEEFF"/>
            </w:tcBorders>
            <w:vMerge w:val="continue"/>
            <w:shd w:val="clear" w:color="auto" w:fill="CCEEFF"/>
          </w:tcPr>
          <w:p>
            <w:pPr>
              <w:spacing w:after="0"/>
              <w:rPr>
                <w:sz w:val="2"/>
                <w:szCs w:val="2"/>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left w:val="single" w:sz="8" w:color="CCEEFF"/>
              <w:bottom w:val="single" w:sz="8" w:color="CCEEFF"/>
            </w:tcBorders>
            <w:shd w:val="clear" w:color="auto" w:fill="CCEEFF"/>
          </w:tcPr>
          <w:p>
            <w:pPr>
              <w:spacing w:after="0"/>
              <w:rPr>
                <w:sz w:val="2"/>
                <w:szCs w:val="2"/>
                <w:color w:val="auto"/>
              </w:rPr>
            </w:pPr>
          </w:p>
        </w:tc>
        <w:tc>
          <w:tcPr>
            <w:tcW w:w="100" w:type="dxa"/>
            <w:vAlign w:val="bottom"/>
            <w:tcBorders>
              <w:left w:val="single" w:sz="8" w:color="CCEEFF"/>
            </w:tcBorders>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top w:val="single" w:sz="8" w:color="0000EE"/>
              <w:bottom w:val="single" w:sz="8" w:color="0000EE"/>
            </w:tcBorders>
            <w:gridSpan w:val="2"/>
            <w:vMerge w:val="restart"/>
          </w:tcPr>
          <w:p>
            <w:pPr>
              <w:spacing w:after="0"/>
              <w:rPr>
                <w:sz w:val="20"/>
                <w:szCs w:val="20"/>
                <w:color w:val="auto"/>
              </w:rPr>
            </w:pPr>
            <w:r>
              <w:rPr>
                <w:rFonts w:ascii="Times New Roman" w:cs="Times New Roman" w:eastAsia="Times New Roman" w:hAnsi="Times New Roman"/>
                <w:sz w:val="12"/>
                <w:szCs w:val="12"/>
                <w:color w:val="0000EE"/>
                <w:w w:val="99"/>
              </w:rPr>
              <w:t>EXPERTS</w:t>
            </w: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120" w:type="dxa"/>
            <w:vAlign w:val="bottom"/>
            <w:tcBorders>
              <w:bottom w:val="single" w:sz="8" w:color="CCEEFF"/>
            </w:tcBorders>
            <w:shd w:val="clear" w:color="auto" w:fill="CCEEFF"/>
          </w:tcPr>
          <w:p>
            <w:pPr>
              <w:spacing w:after="0"/>
              <w:rPr>
                <w:sz w:val="10"/>
                <w:szCs w:val="10"/>
                <w:color w:val="auto"/>
              </w:rPr>
            </w:pPr>
          </w:p>
        </w:tc>
        <w:tc>
          <w:tcPr>
            <w:tcW w:w="1520" w:type="dxa"/>
            <w:vAlign w:val="bottom"/>
            <w:tcBorders>
              <w:bottom w:val="single" w:sz="8" w:color="0000EE"/>
            </w:tcBorders>
            <w:gridSpan w:val="7"/>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000EE"/>
              </w:rPr>
              <w:t>ANALYSIS OF FINANCIAL</w:t>
            </w:r>
          </w:p>
        </w:tc>
        <w:tc>
          <w:tcPr>
            <w:tcW w:w="700" w:type="dxa"/>
            <w:vAlign w:val="bottom"/>
            <w:tcBorders>
              <w:bottom w:val="single" w:sz="8" w:color="CCEEFF"/>
            </w:tcBorders>
            <w:gridSpan w:val="4"/>
            <w:shd w:val="clear" w:color="auto" w:fill="CCEEFF"/>
          </w:tcPr>
          <w:p>
            <w:pPr>
              <w:spacing w:after="0"/>
              <w:rPr>
                <w:sz w:val="10"/>
                <w:szCs w:val="10"/>
                <w:color w:val="auto"/>
              </w:rPr>
            </w:pP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140" w:type="dxa"/>
            <w:vAlign w:val="bottom"/>
            <w:tcBorders>
              <w:left w:val="single" w:sz="8" w:color="CCEEFF"/>
              <w:bottom w:val="single" w:sz="8" w:color="CCEEFF"/>
            </w:tcBorders>
            <w:shd w:val="clear" w:color="auto" w:fill="CCEEFF"/>
          </w:tcPr>
          <w:p>
            <w:pPr>
              <w:spacing w:after="0"/>
              <w:rPr>
                <w:sz w:val="10"/>
                <w:szCs w:val="10"/>
                <w:color w:val="auto"/>
              </w:rPr>
            </w:pPr>
          </w:p>
        </w:tc>
        <w:tc>
          <w:tcPr>
            <w:tcW w:w="100" w:type="dxa"/>
            <w:vAlign w:val="bottom"/>
            <w:tcBorders>
              <w:left w:val="single" w:sz="8" w:color="CCEEFF"/>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0000EE"/>
            </w:tcBorders>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8"/>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20" w:type="dxa"/>
            <w:vAlign w:val="bottom"/>
            <w:shd w:val="clear" w:color="auto" w:fill="CCEEFF"/>
          </w:tcPr>
          <w:p>
            <w:pPr>
              <w:spacing w:after="0"/>
              <w:rPr>
                <w:sz w:val="11"/>
                <w:szCs w:val="11"/>
                <w:color w:val="auto"/>
              </w:rPr>
            </w:pPr>
          </w:p>
        </w:tc>
        <w:tc>
          <w:tcPr>
            <w:tcW w:w="2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2"/>
                <w:szCs w:val="12"/>
                <w:color w:val="0000EE"/>
              </w:rPr>
              <w:t>CONDITION AND RESULTS OF</w:t>
            </w: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tcBorders>
              <w:left w:val="single" w:sz="8" w:color="CCEEFF"/>
            </w:tcBorders>
          </w:tcPr>
          <w:p>
            <w:pPr>
              <w:spacing w:after="0"/>
              <w:rPr>
                <w:sz w:val="11"/>
                <w:szCs w:val="11"/>
                <w:color w:val="auto"/>
              </w:rPr>
            </w:pPr>
          </w:p>
        </w:tc>
        <w:tc>
          <w:tcPr>
            <w:tcW w:w="2360" w:type="dxa"/>
            <w:vAlign w:val="bottom"/>
            <w:gridSpan w:val="14"/>
          </w:tcPr>
          <w:p>
            <w:pPr>
              <w:ind w:left="60"/>
              <w:spacing w:after="0"/>
              <w:rPr>
                <w:sz w:val="20"/>
                <w:szCs w:val="20"/>
                <w:color w:val="auto"/>
              </w:rPr>
            </w:pPr>
            <w:r>
              <w:rPr>
                <w:rFonts w:ascii="Times New Roman" w:cs="Times New Roman" w:eastAsia="Times New Roman" w:hAnsi="Times New Roman"/>
                <w:sz w:val="12"/>
                <w:szCs w:val="12"/>
                <w:color w:val="0000EE"/>
              </w:rPr>
              <w:t>WHERE YOU CAN FIND ADDITIONAL</w:t>
            </w:r>
          </w:p>
        </w:tc>
        <w:tc>
          <w:tcPr>
            <w:tcW w:w="0" w:type="dxa"/>
            <w:vAlign w:val="bottom"/>
          </w:tcPr>
          <w:p>
            <w:pPr>
              <w:spacing w:after="0"/>
              <w:rPr>
                <w:sz w:val="1"/>
                <w:szCs w:val="1"/>
                <w:color w:val="auto"/>
              </w:rPr>
            </w:pPr>
          </w:p>
        </w:tc>
      </w:tr>
      <w:tr>
        <w:trPr>
          <w:trHeight w:val="127"/>
        </w:trPr>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0000EE"/>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0000EE"/>
                <w:w w:val="96"/>
              </w:rPr>
              <w:t>OPERATIONS</w:t>
            </w:r>
          </w:p>
        </w:tc>
        <w:tc>
          <w:tcPr>
            <w:tcW w:w="1000" w:type="dxa"/>
            <w:vAlign w:val="bottom"/>
            <w:tcBorders>
              <w:top w:val="single" w:sz="8" w:color="0000EE"/>
              <w:left w:val="single" w:sz="8" w:color="CCEEFF"/>
            </w:tcBorders>
            <w:gridSpan w:val="7"/>
            <w:shd w:val="clear" w:color="auto" w:fill="CCEEFF"/>
          </w:tcPr>
          <w:p>
            <w:pPr>
              <w:spacing w:after="0"/>
              <w:rPr>
                <w:sz w:val="11"/>
                <w:szCs w:val="11"/>
                <w:color w:val="auto"/>
              </w:rPr>
            </w:pPr>
          </w:p>
        </w:tc>
        <w:tc>
          <w:tcPr>
            <w:tcW w:w="460" w:type="dxa"/>
            <w:vAlign w:val="bottom"/>
            <w:tcBorders>
              <w:top w:val="single" w:sz="8" w:color="CCEEFF"/>
            </w:tcBorders>
            <w:gridSpan w:val="2"/>
            <w:shd w:val="clear" w:color="auto" w:fill="CCEEFF"/>
          </w:tcPr>
          <w:p>
            <w:pPr>
              <w:spacing w:after="0"/>
              <w:rPr>
                <w:sz w:val="11"/>
                <w:szCs w:val="11"/>
                <w:color w:val="auto"/>
              </w:rPr>
            </w:pPr>
          </w:p>
        </w:tc>
        <w:tc>
          <w:tcPr>
            <w:tcW w:w="360" w:type="dxa"/>
            <w:vAlign w:val="bottom"/>
            <w:tcBorders>
              <w:top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0000EE"/>
              </w:rPr>
              <w:t>84</w:t>
            </w:r>
          </w:p>
        </w:tc>
        <w:tc>
          <w:tcPr>
            <w:tcW w:w="100" w:type="dxa"/>
            <w:vAlign w:val="bottom"/>
            <w:tcBorders>
              <w:left w:val="single" w:sz="8" w:color="CCEEFF"/>
            </w:tcBorders>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1"/>
                <w:szCs w:val="11"/>
                <w:color w:val="auto"/>
              </w:rPr>
            </w:pPr>
          </w:p>
        </w:tc>
        <w:tc>
          <w:tcPr>
            <w:tcW w:w="2220" w:type="dxa"/>
            <w:vAlign w:val="bottom"/>
            <w:tcBorders>
              <w:top w:val="single" w:sz="8" w:color="0000EE"/>
            </w:tcBorders>
            <w:gridSpan w:val="12"/>
          </w:tcPr>
          <w:p>
            <w:pPr>
              <w:ind w:left="120"/>
              <w:spacing w:after="0" w:line="118" w:lineRule="exact"/>
              <w:rPr>
                <w:sz w:val="20"/>
                <w:szCs w:val="20"/>
                <w:color w:val="auto"/>
              </w:rPr>
            </w:pPr>
            <w:r>
              <w:rPr>
                <w:rFonts w:ascii="Times New Roman" w:cs="Times New Roman" w:eastAsia="Times New Roman" w:hAnsi="Times New Roman"/>
                <w:sz w:val="12"/>
                <w:szCs w:val="12"/>
                <w:color w:val="0000EE"/>
              </w:rPr>
              <w:t>INFORMATION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CCEEFF"/>
            </w:tcBorders>
            <w:shd w:val="clear" w:color="auto" w:fill="CCEEFF"/>
          </w:tcPr>
          <w:p>
            <w:pPr>
              <w:spacing w:after="0" w:line="20" w:lineRule="exact"/>
              <w:rPr>
                <w:sz w:val="1"/>
                <w:szCs w:val="1"/>
                <w:color w:val="auto"/>
              </w:rPr>
            </w:pPr>
          </w:p>
        </w:tc>
        <w:tc>
          <w:tcPr>
            <w:tcW w:w="480" w:type="dxa"/>
            <w:vAlign w:val="bottom"/>
            <w:tcBorders>
              <w:bottom w:val="single" w:sz="8" w:color="CCEEFF"/>
            </w:tcBorders>
            <w:shd w:val="clear" w:color="auto" w:fill="0000EE"/>
          </w:tcPr>
          <w:p>
            <w:pPr>
              <w:spacing w:after="0" w:line="20" w:lineRule="exact"/>
              <w:rPr>
                <w:sz w:val="1"/>
                <w:szCs w:val="1"/>
                <w:color w:val="auto"/>
              </w:rPr>
            </w:pPr>
          </w:p>
        </w:tc>
        <w:tc>
          <w:tcPr>
            <w:tcW w:w="280" w:type="dxa"/>
            <w:vAlign w:val="bottom"/>
            <w:tcBorders>
              <w:bottom w:val="single" w:sz="8" w:color="CCEEFF"/>
            </w:tcBorders>
            <w:shd w:val="clear" w:color="auto" w:fill="0000EE"/>
          </w:tcPr>
          <w:p>
            <w:pPr>
              <w:spacing w:after="0" w:line="20" w:lineRule="exact"/>
              <w:rPr>
                <w:sz w:val="1"/>
                <w:szCs w:val="1"/>
                <w:color w:val="auto"/>
              </w:rPr>
            </w:pPr>
          </w:p>
        </w:tc>
        <w:tc>
          <w:tcPr>
            <w:tcW w:w="140" w:type="dxa"/>
            <w:vAlign w:val="bottom"/>
            <w:tcBorders>
              <w:left w:val="single" w:sz="8" w:color="CCEEFF"/>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28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18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24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0000EE"/>
              <w:bottom w:val="single" w:sz="8" w:color="CCEEFF"/>
            </w:tcBorders>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00" w:type="dxa"/>
            <w:vAlign w:val="bottom"/>
            <w:tcBorders>
              <w:bottom w:val="single" w:sz="8" w:color="0000EE"/>
            </w:tcBorders>
            <w:gridSpan w:val="2"/>
          </w:tcPr>
          <w:p>
            <w:pPr>
              <w:spacing w:after="0" w:line="127" w:lineRule="exact"/>
              <w:rPr>
                <w:sz w:val="20"/>
                <w:szCs w:val="20"/>
                <w:color w:val="auto"/>
              </w:rPr>
            </w:pPr>
            <w:r>
              <w:rPr>
                <w:rFonts w:ascii="Times New Roman" w:cs="Times New Roman" w:eastAsia="Times New Roman" w:hAnsi="Times New Roman"/>
                <w:sz w:val="12"/>
                <w:szCs w:val="12"/>
                <w:color w:val="0000EE"/>
              </w:rPr>
              <w:t>BUSINESS</w:t>
            </w:r>
          </w:p>
        </w:tc>
        <w:tc>
          <w:tcPr>
            <w:tcW w:w="280" w:type="dxa"/>
            <w:vAlign w:val="bottom"/>
          </w:tcPr>
          <w:p>
            <w:pPr>
              <w:spacing w:after="0"/>
              <w:rPr>
                <w:sz w:val="13"/>
                <w:szCs w:val="13"/>
                <w:color w:val="auto"/>
              </w:rPr>
            </w:pPr>
          </w:p>
        </w:tc>
        <w:tc>
          <w:tcPr>
            <w:tcW w:w="840" w:type="dxa"/>
            <w:vAlign w:val="bottom"/>
            <w:gridSpan w:val="6"/>
          </w:tcPr>
          <w:p>
            <w:pPr>
              <w:spacing w:after="0"/>
              <w:rPr>
                <w:sz w:val="13"/>
                <w:szCs w:val="13"/>
                <w:color w:val="auto"/>
              </w:rPr>
            </w:pPr>
          </w:p>
        </w:tc>
        <w:tc>
          <w:tcPr>
            <w:tcW w:w="620" w:type="dxa"/>
            <w:vAlign w:val="bottom"/>
            <w:gridSpan w:val="3"/>
          </w:tcPr>
          <w:p>
            <w:pPr>
              <w:spacing w:after="0"/>
              <w:rPr>
                <w:sz w:val="13"/>
                <w:szCs w:val="13"/>
                <w:color w:val="auto"/>
              </w:rPr>
            </w:pPr>
          </w:p>
        </w:tc>
        <w:tc>
          <w:tcPr>
            <w:tcW w:w="220" w:type="dxa"/>
            <w:vAlign w:val="bottom"/>
          </w:tcPr>
          <w:p>
            <w:pPr>
              <w:ind w:left="4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auto"/>
                <w:w w:val="72"/>
              </w:rPr>
              <w:t>​</w:t>
            </w:r>
            <w:r>
              <w:rPr>
                <w:rFonts w:ascii="Times New Roman" w:cs="Times New Roman" w:eastAsia="Times New Roman" w:hAnsi="Times New Roman"/>
                <w:sz w:val="11"/>
                <w:szCs w:val="11"/>
                <w:color w:val="0000EE"/>
                <w:w w:val="72"/>
              </w:rPr>
              <w:t>103</w:t>
            </w: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3"/>
                <w:szCs w:val="13"/>
                <w:color w:val="auto"/>
              </w:rPr>
            </w:pPr>
          </w:p>
        </w:tc>
        <w:tc>
          <w:tcPr>
            <w:tcW w:w="2300" w:type="dxa"/>
            <w:vAlign w:val="bottom"/>
            <w:tcBorders>
              <w:bottom w:val="single" w:sz="8" w:color="0000EE"/>
            </w:tcBorders>
            <w:gridSpan w:val="13"/>
          </w:tcPr>
          <w:p>
            <w:pPr>
              <w:spacing w:after="0" w:line="125" w:lineRule="exact"/>
              <w:rPr>
                <w:sz w:val="20"/>
                <w:szCs w:val="20"/>
                <w:color w:val="auto"/>
              </w:rPr>
            </w:pPr>
            <w:r>
              <w:rPr>
                <w:rFonts w:ascii="Times New Roman" w:cs="Times New Roman" w:eastAsia="Times New Roman" w:hAnsi="Times New Roman"/>
                <w:sz w:val="12"/>
                <w:szCs w:val="12"/>
                <w:color w:val="0000EE"/>
              </w:rPr>
              <w:t>INDEX TO CONSOLIDATED FINANCIAL</w:t>
            </w:r>
          </w:p>
        </w:tc>
        <w:tc>
          <w:tcPr>
            <w:tcW w:w="0" w:type="dxa"/>
            <w:vAlign w:val="bottom"/>
          </w:tcPr>
          <w:p>
            <w:pPr>
              <w:spacing w:after="0"/>
              <w:rPr>
                <w:sz w:val="1"/>
                <w:szCs w:val="1"/>
                <w:color w:val="auto"/>
              </w:rPr>
            </w:pPr>
          </w:p>
        </w:tc>
      </w:tr>
      <w:tr>
        <w:trPr>
          <w:trHeight w:val="107"/>
        </w:trPr>
        <w:tc>
          <w:tcPr>
            <w:tcW w:w="880" w:type="dxa"/>
            <w:vAlign w:val="bottom"/>
            <w:tcBorders>
              <w:bottom w:val="single" w:sz="8" w:color="CCEEFF"/>
            </w:tcBorders>
            <w:gridSpan w:val="3"/>
            <w:vMerge w:val="restart"/>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0000EE"/>
                <w:w w:val="96"/>
              </w:rPr>
              <w:t>MANAGEMENT</w:t>
            </w:r>
          </w:p>
        </w:tc>
        <w:tc>
          <w:tcPr>
            <w:tcW w:w="840" w:type="dxa"/>
            <w:vAlign w:val="bottom"/>
            <w:tcBorders>
              <w:left w:val="single" w:sz="8" w:color="CCEEFF"/>
              <w:bottom w:val="single" w:sz="8" w:color="CCEEFF"/>
              <w:right w:val="single" w:sz="8" w:color="CCEEFF"/>
            </w:tcBorders>
            <w:gridSpan w:val="6"/>
            <w:shd w:val="clear" w:color="auto" w:fill="CCEEFF"/>
          </w:tcPr>
          <w:p>
            <w:pPr>
              <w:spacing w:after="0"/>
              <w:rPr>
                <w:sz w:val="9"/>
                <w:szCs w:val="9"/>
                <w:color w:val="auto"/>
              </w:rPr>
            </w:pPr>
          </w:p>
        </w:tc>
        <w:tc>
          <w:tcPr>
            <w:tcW w:w="620" w:type="dxa"/>
            <w:vAlign w:val="bottom"/>
            <w:tcBorders>
              <w:bottom w:val="single" w:sz="8" w:color="CCEEFF"/>
            </w:tcBorders>
            <w:gridSpan w:val="3"/>
            <w:shd w:val="clear" w:color="auto" w:fill="CCEEFF"/>
          </w:tcPr>
          <w:p>
            <w:pPr>
              <w:spacing w:after="0"/>
              <w:rPr>
                <w:sz w:val="9"/>
                <w:szCs w:val="9"/>
                <w:color w:val="auto"/>
              </w:rPr>
            </w:pPr>
          </w:p>
        </w:tc>
        <w:tc>
          <w:tcPr>
            <w:tcW w:w="220" w:type="dxa"/>
            <w:vAlign w:val="bottom"/>
            <w:tcBorders>
              <w:bottom w:val="single" w:sz="8" w:color="CCEEFF"/>
              <w:right w:val="single" w:sz="8" w:color="CCEEFF"/>
            </w:tcBorders>
            <w:vMerge w:val="restart"/>
            <w:shd w:val="clear" w:color="auto" w:fill="CCEEFF"/>
          </w:tcPr>
          <w:p>
            <w:pPr>
              <w:ind w:left="4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140" w:type="dxa"/>
            <w:vAlign w:val="bottom"/>
            <w:tcBorders>
              <w:left w:val="single" w:sz="8" w:color="CCEEFF"/>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2"/>
              </w:rPr>
              <w:t>​</w:t>
            </w:r>
            <w:r>
              <w:rPr>
                <w:rFonts w:ascii="Times New Roman" w:cs="Times New Roman" w:eastAsia="Times New Roman" w:hAnsi="Times New Roman"/>
                <w:sz w:val="11"/>
                <w:szCs w:val="11"/>
                <w:color w:val="0000EE"/>
                <w:w w:val="72"/>
              </w:rPr>
              <w:t>149</w:t>
            </w:r>
          </w:p>
        </w:tc>
        <w:tc>
          <w:tcPr>
            <w:tcW w:w="100" w:type="dxa"/>
            <w:vAlign w:val="bottom"/>
            <w:tcBorders>
              <w:left w:val="single" w:sz="8" w:color="CCEEFF"/>
            </w:tcBorders>
            <w:vMerge w:val="restart"/>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800" w:type="dxa"/>
            <w:vAlign w:val="bottom"/>
            <w:tcBorders>
              <w:bottom w:val="single" w:sz="8" w:color="0000EE"/>
            </w:tcBorders>
            <w:gridSpan w:val="2"/>
          </w:tcPr>
          <w:p>
            <w:pPr>
              <w:spacing w:after="0" w:line="89" w:lineRule="exact"/>
              <w:rPr>
                <w:sz w:val="20"/>
                <w:szCs w:val="20"/>
                <w:color w:val="auto"/>
              </w:rPr>
            </w:pPr>
            <w:r>
              <w:rPr>
                <w:rFonts w:ascii="Times New Roman" w:cs="Times New Roman" w:eastAsia="Times New Roman" w:hAnsi="Times New Roman"/>
                <w:sz w:val="10"/>
                <w:szCs w:val="10"/>
                <w:color w:val="0000EE"/>
              </w:rPr>
              <w:t>STATEMENTS</w:t>
            </w:r>
          </w:p>
        </w:tc>
        <w:tc>
          <w:tcPr>
            <w:tcW w:w="1380" w:type="dxa"/>
            <w:vAlign w:val="bottom"/>
            <w:gridSpan w:val="10"/>
            <w:vMerge w:val="restart"/>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880" w:type="dxa"/>
            <w:vAlign w:val="bottom"/>
            <w:tcBorders>
              <w:bottom w:val="single" w:sz="8" w:color="0000EE"/>
            </w:tcBorders>
            <w:gridSpan w:val="3"/>
            <w:vMerge w:val="continue"/>
            <w:shd w:val="clear" w:color="auto" w:fill="CCEEFF"/>
          </w:tcPr>
          <w:p>
            <w:pPr>
              <w:spacing w:after="0"/>
              <w:rPr>
                <w:sz w:val="2"/>
                <w:szCs w:val="2"/>
                <w:color w:val="auto"/>
              </w:rPr>
            </w:pPr>
          </w:p>
        </w:tc>
        <w:tc>
          <w:tcPr>
            <w:tcW w:w="840" w:type="dxa"/>
            <w:vAlign w:val="bottom"/>
            <w:tcBorders>
              <w:left w:val="single" w:sz="8" w:color="CCEEFF"/>
              <w:bottom w:val="single" w:sz="8" w:color="CCEEFF"/>
              <w:right w:val="single" w:sz="8" w:color="CCEEFF"/>
            </w:tcBorders>
            <w:gridSpan w:val="6"/>
            <w:shd w:val="clear" w:color="auto" w:fill="CCEEFF"/>
          </w:tcPr>
          <w:p>
            <w:pPr>
              <w:spacing w:after="0"/>
              <w:rPr>
                <w:sz w:val="2"/>
                <w:szCs w:val="2"/>
                <w:color w:val="auto"/>
              </w:rPr>
            </w:pPr>
          </w:p>
        </w:tc>
        <w:tc>
          <w:tcPr>
            <w:tcW w:w="620" w:type="dxa"/>
            <w:vAlign w:val="bottom"/>
            <w:tcBorders>
              <w:bottom w:val="single" w:sz="8" w:color="CCEEFF"/>
            </w:tcBorders>
            <w:gridSpan w:val="3"/>
            <w:shd w:val="clear" w:color="auto" w:fill="CCEEFF"/>
          </w:tcPr>
          <w:p>
            <w:pPr>
              <w:spacing w:after="0"/>
              <w:rPr>
                <w:sz w:val="2"/>
                <w:szCs w:val="2"/>
                <w:color w:val="auto"/>
              </w:rPr>
            </w:pPr>
          </w:p>
        </w:tc>
        <w:tc>
          <w:tcPr>
            <w:tcW w:w="220" w:type="dxa"/>
            <w:vAlign w:val="bottom"/>
            <w:tcBorders>
              <w:bottom w:val="single" w:sz="8" w:color="CCEEFF"/>
              <w:right w:val="single" w:sz="8" w:color="CCEEFF"/>
            </w:tcBorders>
            <w:vMerge w:val="continue"/>
            <w:shd w:val="clear" w:color="auto" w:fill="CCEEFF"/>
          </w:tcPr>
          <w:p>
            <w:pPr>
              <w:spacing w:after="0"/>
              <w:rPr>
                <w:sz w:val="2"/>
                <w:szCs w:val="2"/>
                <w:color w:val="auto"/>
              </w:rPr>
            </w:pPr>
          </w:p>
        </w:tc>
        <w:tc>
          <w:tcPr>
            <w:tcW w:w="140" w:type="dxa"/>
            <w:vAlign w:val="bottom"/>
            <w:tcBorders>
              <w:left w:val="single" w:sz="8" w:color="CCEEFF"/>
              <w:bottom w:val="single" w:sz="8" w:color="0000EE"/>
            </w:tcBorders>
            <w:vMerge w:val="continue"/>
            <w:shd w:val="clear" w:color="auto" w:fill="CCEEFF"/>
          </w:tcPr>
          <w:p>
            <w:pPr>
              <w:spacing w:after="0"/>
              <w:rPr>
                <w:sz w:val="2"/>
                <w:szCs w:val="2"/>
                <w:color w:val="auto"/>
              </w:rPr>
            </w:pPr>
          </w:p>
        </w:tc>
        <w:tc>
          <w:tcPr>
            <w:tcW w:w="100" w:type="dxa"/>
            <w:vAlign w:val="bottom"/>
            <w:tcBorders>
              <w:left w:val="single" w:sz="8" w:color="CCEEFF"/>
            </w:tcBorders>
            <w:vMerge w:val="continue"/>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800" w:type="dxa"/>
            <w:vAlign w:val="bottom"/>
            <w:gridSpan w:val="2"/>
          </w:tcPr>
          <w:p>
            <w:pPr>
              <w:spacing w:after="0"/>
              <w:rPr>
                <w:sz w:val="2"/>
                <w:szCs w:val="2"/>
                <w:color w:val="auto"/>
              </w:rPr>
            </w:pPr>
          </w:p>
        </w:tc>
        <w:tc>
          <w:tcPr>
            <w:tcW w:w="1380" w:type="dxa"/>
            <w:vAlign w:val="bottom"/>
            <w:gridSpan w:val="10"/>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720" w:type="dxa"/>
            <w:vAlign w:val="bottom"/>
            <w:gridSpan w:val="9"/>
          </w:tcPr>
          <w:p>
            <w:pPr>
              <w:spacing w:after="0"/>
              <w:rPr>
                <w:sz w:val="20"/>
                <w:szCs w:val="20"/>
                <w:color w:val="auto"/>
              </w:rPr>
            </w:pPr>
            <w:r>
              <w:rPr>
                <w:rFonts w:ascii="Times New Roman" w:cs="Times New Roman" w:eastAsia="Times New Roman" w:hAnsi="Times New Roman"/>
                <w:sz w:val="12"/>
                <w:szCs w:val="12"/>
                <w:color w:val="0000EE"/>
              </w:rPr>
              <w:t>EXECUTIVE COMPENSATION</w:t>
            </w:r>
          </w:p>
        </w:tc>
        <w:tc>
          <w:tcPr>
            <w:tcW w:w="620" w:type="dxa"/>
            <w:vAlign w:val="bottom"/>
            <w:gridSpan w:val="3"/>
          </w:tcPr>
          <w:p>
            <w:pPr>
              <w:spacing w:after="0"/>
              <w:rPr>
                <w:sz w:val="12"/>
                <w:szCs w:val="12"/>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0000EE"/>
              </w:rPr>
              <w:t>157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174625</wp:posOffset>
            </wp:positionV>
            <wp:extent cx="74422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4220" cy="5715"/>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-1371600</wp:posOffset>
            </wp:positionV>
            <wp:extent cx="1721485" cy="110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21485" cy="110490"/>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-1150620</wp:posOffset>
            </wp:positionV>
            <wp:extent cx="1721485" cy="296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21485" cy="296545"/>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-743585</wp:posOffset>
            </wp:positionV>
            <wp:extent cx="1721485" cy="1104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21485" cy="110490"/>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-522605</wp:posOffset>
            </wp:positionV>
            <wp:extent cx="1721485" cy="203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21485" cy="2038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u w:val="single" w:color="auto"/>
          <w:color w:val="0000EE"/>
        </w:rPr>
        <w:t>175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12"/>
          <w:szCs w:val="12"/>
          <w:u w:val="single" w:color="auto"/>
          <w:color w:val="0000EE"/>
        </w:rPr>
        <w:t>181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12"/>
          <w:szCs w:val="12"/>
          <w:u w:val="single" w:color="auto"/>
          <w:color w:val="0000EE"/>
        </w:rPr>
        <w:t>184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u w:val="single" w:color="auto"/>
          <w:color w:val="0000EE"/>
        </w:rPr>
        <w:t>189</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u w:val="single" w:color="auto"/>
          <w:color w:val="0000EE"/>
        </w:rPr>
        <w:t>191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12"/>
          <w:szCs w:val="12"/>
          <w:u w:val="single" w:color="auto"/>
          <w:color w:val="0000EE"/>
        </w:rPr>
        <w:t>195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12"/>
          <w:szCs w:val="12"/>
          <w:u w:val="single" w:color="auto"/>
          <w:color w:val="0000EE"/>
        </w:rPr>
        <w:t>204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12"/>
          <w:szCs w:val="12"/>
          <w:u w:val="single" w:color="auto"/>
          <w:color w:val="0000EE"/>
        </w:rPr>
        <w:t>204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u w:val="single" w:color="auto"/>
          <w:color w:val="0000EE"/>
        </w:rPr>
        <w:t>204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u w:val="single" w:color="auto"/>
          <w:color w:val="0000EE"/>
        </w:rPr>
        <w:t>F-1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413" w:lineRule="exact"/>
        <w:rPr>
          <w:sz w:val="20"/>
          <w:szCs w:val="20"/>
          <w:color w:val="auto"/>
        </w:rPr>
      </w:pPr>
    </w:p>
    <w:p>
      <w:pPr>
        <w:sectPr>
          <w:pgSz w:w="11900" w:h="16838" w:orient="portrait"/>
          <w:cols w:equalWidth="0" w:num="2">
            <w:col w:w="6880" w:space="60"/>
            <w:col w:w="2079"/>
          </w:cols>
          <w:pgMar w:left="1440" w:top="106" w:right="1440" w:bottom="1440" w:gutter="0" w:footer="0" w:header="0"/>
          <w:type w:val="continuous"/>
        </w:sectPr>
      </w:pPr>
    </w:p>
    <w:p>
      <w:pPr>
        <w:spacing w:after="0" w:line="263"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Neither we nor the underwriters have authorized anyone to provide you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228"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3" w:name="page4"/>
    <w:bookmarkEnd w:id="3"/>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219710</wp:posOffset>
            </wp:positionV>
            <wp:extent cx="3746500" cy="5403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46500" cy="540385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PROSPECTUS SUMMARY</w:t>
      </w:r>
    </w:p>
    <w:p>
      <w:pPr>
        <w:spacing w:after="0" w:line="109" w:lineRule="exact"/>
        <w:rPr>
          <w:sz w:val="20"/>
          <w:szCs w:val="20"/>
          <w:color w:val="auto"/>
        </w:rPr>
      </w:pPr>
    </w:p>
    <w:p>
      <w:pPr>
        <w:jc w:val="both"/>
        <w:ind w:left="1740" w:right="1719"/>
        <w:spacing w:after="0" w:line="260" w:lineRule="auto"/>
        <w:rPr>
          <w:sz w:val="20"/>
          <w:szCs w:val="20"/>
          <w:color w:val="auto"/>
        </w:rPr>
      </w:pPr>
      <w:r>
        <w:rPr>
          <w:rFonts w:ascii="Times New Roman" w:cs="Times New Roman" w:eastAsia="Times New Roman" w:hAnsi="Times New Roman"/>
          <w:sz w:val="12"/>
          <w:szCs w:val="12"/>
          <w:i w:val="1"/>
          <w:iCs w:val="1"/>
          <w:color w:val="auto"/>
        </w:rPr>
        <w:t>This summary highlights selected information contained elsewhere in this prospectus and is qualified in its entirety by the more detailed information and financial statements included elsewhere in this prospectus. This summary does not contain all of the information you should consider before investing in our common stock. You should carefully read this entire prospectus, including the information under the sections titled “Risk Factors,” “Special Note Regarding Forward-Looking Statements” and “Management’s Discussion and Analysis of Financial Condition and Results of Operations” and our consolidated financial statements and related notes included elsewhere in this prospectus, before making an investment decision. Unless the context requires otherwise, references in this prospectus to “Alumis,” the “Company,” “we,” “us” and “our” refer to Alumis Inc.</w:t>
      </w:r>
    </w:p>
    <w:p>
      <w:pPr>
        <w:spacing w:after="0" w:line="26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11" w:lineRule="exact"/>
        <w:rPr>
          <w:sz w:val="20"/>
          <w:szCs w:val="20"/>
          <w:color w:val="auto"/>
        </w:rPr>
      </w:pPr>
    </w:p>
    <w:p>
      <w:pPr>
        <w:jc w:val="both"/>
        <w:ind w:left="1740" w:right="1719"/>
        <w:spacing w:after="0" w:line="272" w:lineRule="auto"/>
        <w:rPr>
          <w:sz w:val="20"/>
          <w:szCs w:val="20"/>
          <w:color w:val="auto"/>
        </w:rPr>
      </w:pPr>
      <w:r>
        <w:rPr>
          <w:rFonts w:ascii="Times New Roman" w:cs="Times New Roman" w:eastAsia="Times New Roman" w:hAnsi="Times New Roman"/>
          <w:sz w:val="12"/>
          <w:szCs w:val="12"/>
          <w:color w:val="auto"/>
        </w:rPr>
        <w:t>Our mission is to significantly improve the lives of patients by replacing broad immunosuppression with targeted therapies. Our name, Alumis, captures our mission to enlighten immunology, and is inspired by the words “allumer”—French for illuminate—and “immunis”—Latin for the immune system.</w:t>
      </w:r>
    </w:p>
    <w:p>
      <w:pPr>
        <w:spacing w:after="0" w:line="62" w:lineRule="exact"/>
        <w:rPr>
          <w:sz w:val="20"/>
          <w:szCs w:val="20"/>
          <w:color w:val="auto"/>
        </w:rPr>
      </w:pPr>
    </w:p>
    <w:p>
      <w:pPr>
        <w:jc w:val="both"/>
        <w:ind w:left="1740" w:right="1719"/>
        <w:spacing w:after="0" w:line="258" w:lineRule="auto"/>
        <w:rPr>
          <w:sz w:val="20"/>
          <w:szCs w:val="20"/>
          <w:color w:val="auto"/>
        </w:rPr>
      </w:pPr>
      <w:r>
        <w:rPr>
          <w:rFonts w:ascii="Times New Roman" w:cs="Times New Roman" w:eastAsia="Times New Roman" w:hAnsi="Times New Roman"/>
          <w:sz w:val="12"/>
          <w:szCs w:val="12"/>
          <w:color w:val="auto"/>
        </w:rPr>
        <w:t>We are a clinical stage biopharmaceutical company with an initial focus on developing our two Tyrosine Kinase 2 (TYK2) inhibitors: ESK-001, a second-generation inhibitor that we are developing to maximize target inhibition and optimize tolerability, and A-005, a central nervous system (CNS) penetrant molecule. ESK-001 has demonstrated significant therapeutic effect in our Phase 2 program in patients with PsO, which we define as moderate-to-severe plaque psoriasis (PsO), and is currently being evaluated in an additional Phase 2 clinical trial in patients with systemic lupus erythematosus (SLE), for which we expect to report results in 2026. With the favorable results in our Phase 2 clinical trial in PsO, we intend to initiate multiple Phase 3 clinical trials of ESK-001 in the second half of 2024 in this indication. TYK2 genetic mutations are associated with a strong protective effect in multiple sclerosis, motivating us to develop our second product candidate, A-005, as a CNS-penetrant, allosteric TYK2 inhibitor for neuroinflammatory and neurodegenerative diseases. In April 2024, we initiated our Phase 1 program of A-005 in healthy volunteers and expect to report initial results by the end of 2024.</w:t>
      </w:r>
    </w:p>
    <w:p>
      <w:pPr>
        <w:spacing w:after="0" w:line="227" w:lineRule="exact"/>
        <w:rPr>
          <w:sz w:val="20"/>
          <w:szCs w:val="20"/>
          <w:color w:val="auto"/>
        </w:rPr>
      </w:pPr>
    </w:p>
    <w:p>
      <w:pPr>
        <w:jc w:val="both"/>
        <w:ind w:left="1740" w:right="1719"/>
        <w:spacing w:after="0" w:line="262" w:lineRule="auto"/>
        <w:rPr>
          <w:sz w:val="20"/>
          <w:szCs w:val="20"/>
          <w:color w:val="auto"/>
        </w:rPr>
      </w:pPr>
      <w:r>
        <w:rPr>
          <w:rFonts w:ascii="Times New Roman" w:cs="Times New Roman" w:eastAsia="Times New Roman" w:hAnsi="Times New Roman"/>
          <w:sz w:val="12"/>
          <w:szCs w:val="12"/>
          <w:color w:val="auto"/>
        </w:rPr>
        <w:t>We utilize our proprietary precision data analytics platform, biological insights and team of experienced research and development experts to deepen our understanding of disease pathologies, accelerate research and development and increase the probability of clinical success. Our collective insights informed our selection of TYK2 as the target for our two lead programs. Beyond TYK2, our proprietary precision data analytics platform and drug discovery expertise have led to the identification of additional preclinical programs that exemplify our precision approach.</w:t>
      </w:r>
    </w:p>
    <w:p>
      <w:pPr>
        <w:spacing w:after="0" w:line="76" w:lineRule="exact"/>
        <w:rPr>
          <w:sz w:val="20"/>
          <w:szCs w:val="20"/>
          <w:color w:val="auto"/>
        </w:rPr>
      </w:pPr>
    </w:p>
    <w:p>
      <w:pPr>
        <w:jc w:val="both"/>
        <w:ind w:left="1740" w:right="1719"/>
        <w:spacing w:after="0" w:line="266" w:lineRule="auto"/>
        <w:rPr>
          <w:sz w:val="20"/>
          <w:szCs w:val="20"/>
          <w:color w:val="auto"/>
        </w:rPr>
      </w:pPr>
      <w:r>
        <w:rPr>
          <w:rFonts w:ascii="Times New Roman" w:cs="Times New Roman" w:eastAsia="Times New Roman" w:hAnsi="Times New Roman"/>
          <w:sz w:val="12"/>
          <w:szCs w:val="12"/>
          <w:color w:val="auto"/>
        </w:rPr>
        <w:t>We recognize that patients living with immune-mediated diseases need alternatives to currently available therapies. Despite recent advances and innovations in the treatment of immune-mediated diseases, many patients continue to suffer, cycling through currently approved therapies while looking for a solution that alleviates the debilitating impact of their disease without life-limiting side effects.</w:t>
      </w:r>
    </w:p>
    <w:p>
      <w:pPr>
        <w:spacing w:after="0" w:line="66" w:lineRule="exact"/>
        <w:rPr>
          <w:sz w:val="20"/>
          <w:szCs w:val="20"/>
          <w:color w:val="auto"/>
        </w:rPr>
      </w:pPr>
    </w:p>
    <w:p>
      <w:pPr>
        <w:jc w:val="both"/>
        <w:ind w:left="1740" w:right="1719"/>
        <w:spacing w:after="0" w:line="263" w:lineRule="auto"/>
        <w:rPr>
          <w:sz w:val="20"/>
          <w:szCs w:val="20"/>
          <w:color w:val="auto"/>
        </w:rPr>
      </w:pPr>
      <w:r>
        <w:rPr>
          <w:rFonts w:ascii="Times New Roman" w:cs="Times New Roman" w:eastAsia="Times New Roman" w:hAnsi="Times New Roman"/>
          <w:sz w:val="12"/>
          <w:szCs w:val="12"/>
          <w:color w:val="auto"/>
        </w:rPr>
        <w:t>Addressing the needs of these patients is why we exist. We are pioneering a precision approach that leverages insights derived from powerful data analytics to select the right target, right molecule, right indication, right patient, right endpoint and right combination to dramatically improve patient outcomes. We believe that combining our insights with an integrated approach to drug development will produce the next generation of treatments to address immune dysfunction.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4" w:name="page5"/>
    <w:bookmarkEnd w:id="4"/>
    <w:p>
      <w:pPr>
        <w:ind w:left="8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219710</wp:posOffset>
            </wp:positionV>
            <wp:extent cx="3746500" cy="5490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46500" cy="5490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b w:val="1"/>
          <w:bCs w:val="1"/>
          <w:color w:val="auto"/>
        </w:rPr>
        <w:t>Our Pipeline</w:t>
      </w:r>
    </w:p>
    <w:p>
      <w:pPr>
        <w:spacing w:after="0" w:line="111" w:lineRule="exact"/>
        <w:rPr>
          <w:sz w:val="20"/>
          <w:szCs w:val="20"/>
          <w:color w:val="auto"/>
        </w:rPr>
      </w:pPr>
    </w:p>
    <w:p>
      <w:pPr>
        <w:jc w:val="both"/>
        <w:ind w:left="1740" w:right="1719"/>
        <w:spacing w:after="0" w:line="262" w:lineRule="auto"/>
        <w:rPr>
          <w:sz w:val="20"/>
          <w:szCs w:val="20"/>
          <w:color w:val="auto"/>
        </w:rPr>
      </w:pPr>
      <w:r>
        <w:rPr>
          <w:rFonts w:ascii="Times New Roman" w:cs="Times New Roman" w:eastAsia="Times New Roman" w:hAnsi="Times New Roman"/>
          <w:sz w:val="12"/>
          <w:szCs w:val="12"/>
          <w:color w:val="auto"/>
        </w:rPr>
        <w:t>We are building a pipeline of molecules with the potential to address a broad range of immune-mediated diseases as monotherapy or combination therapies. Within our TYK2 franchise, we are developing our most advanced product candidate, ESK-001, an allosteric TYK2 inhibitor for the treatment of PsO and SLE. We are developing our second TYK2 product candidate, A-005, as a CNS-penetrant, allosteric TYK2 inhibitor, to offer the therapeutic benefit of TYK2 inhibition within the CNS for a broad range of neuroinflammatory and neurodegenerative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1740" w:right="1719"/>
        <w:spacing w:after="0" w:line="257" w:lineRule="auto"/>
        <w:rPr>
          <w:sz w:val="20"/>
          <w:szCs w:val="20"/>
          <w:color w:val="auto"/>
        </w:rPr>
      </w:pPr>
      <w:r>
        <w:rPr>
          <w:rFonts w:ascii="Times New Roman" w:cs="Times New Roman" w:eastAsia="Times New Roman" w:hAnsi="Times New Roman"/>
          <w:sz w:val="12"/>
          <w:szCs w:val="12"/>
          <w:color w:val="auto"/>
        </w:rPr>
        <w:t>Our most advanced product candidate, ESK-001, is an oral, highly selective, small molecule, allosteric inhibitor of TYK2. At the 2024 American Academy of Dermatology (AAD) Annual Meeting in March 2024, we announced positive data from our Phase 2 clinical program of ESK-001 in patients with PsO, which included the results of our Phase 2 STRIDE trial and interim results of our open label extension (OLE) as of a December 8, 2023 data cut. An additional OLE data cut was performed when all patients reached 28 weeks of treatment based on data through March 1, 2024. Our data demonstrated that ESK-001’s ability to maximally inhibit TYK2 translates to the achievement of high rates of response, as measured by the Psoriasis Area and Severity Index (PASI), in patients, with response rates in the range observed with existing biologic therapies. Our Phase 2 STRIDE trial, in which 228 patients with PsO were randomized to one of five ESK-001 dose cohorts or placebo, met its primary endpoint, the proportion of patients achieving a 75% improvement in the PASI Score (PASI 75) at week 12 compared to placebo, and key secondary efficacy endpoints at all clinically relevant doses tested. Clear dose-dependent responses were observed, with the highest response rates and maximal TYK2 inhibition achieved at the highest dose of 40 mg twice daily (BID). At the 40 mg BID dose and at the 40 mg once daily (QD) dose, 64% and 56% of evaluable patients, respectively, achieved PASI 75 at week 12 compared to 0% for placebo. See the subsection titled “</w:t>
      </w:r>
      <w:r>
        <w:rPr>
          <w:rFonts w:ascii="Times New Roman" w:cs="Times New Roman" w:eastAsia="Times New Roman" w:hAnsi="Times New Roman"/>
          <w:sz w:val="12"/>
          <w:szCs w:val="12"/>
          <w:i w:val="1"/>
          <w:iCs w:val="1"/>
          <w:color w:val="auto"/>
        </w:rPr>
        <w:t>Business—Our TYK2 Franchise</w:t>
      </w:r>
      <w:r>
        <w:rPr>
          <w:rFonts w:ascii="Times New Roman" w:cs="Times New Roman" w:eastAsia="Times New Roman" w:hAnsi="Times New Roman"/>
          <w:sz w:val="12"/>
          <w:szCs w:val="12"/>
          <w:color w:val="auto"/>
        </w:rPr>
        <w:t>” for a summary of certain adverse events observed in our Phase 2 STRIDE Trial.</w:t>
      </w:r>
    </w:p>
    <w:p>
      <w:pPr>
        <w:spacing w:after="0" w:line="218" w:lineRule="exact"/>
        <w:rPr>
          <w:sz w:val="20"/>
          <w:szCs w:val="20"/>
          <w:color w:val="auto"/>
        </w:rPr>
      </w:pPr>
    </w:p>
    <w:p>
      <w:pPr>
        <w:jc w:val="both"/>
        <w:ind w:left="1740" w:right="1719"/>
        <w:spacing w:after="0" w:line="257" w:lineRule="auto"/>
        <w:rPr>
          <w:sz w:val="20"/>
          <w:szCs w:val="20"/>
          <w:color w:val="auto"/>
        </w:rPr>
      </w:pPr>
      <w:r>
        <w:rPr>
          <w:rFonts w:ascii="Times New Roman" w:cs="Times New Roman" w:eastAsia="Times New Roman" w:hAnsi="Times New Roman"/>
          <w:sz w:val="12"/>
          <w:szCs w:val="12"/>
          <w:color w:val="auto"/>
        </w:rPr>
        <w:t>Patients who completed the randomized placebo-controlled Phase 2 STRIDE trial were eligible to participate in the OLE. In the OLE, 165 eligible patients were randomized; of these, 164 patients were assigned to receive either 40 mg BID or 40 mg QD (one patient was not dosed and was not included in the population analysis). As shown in the figure below, as of the March 1, 2024 data cut, interim OLE data following 28 weeks of treatment in the extension period showed sustained increases in PASI response rates over time, with the majority of patients (93% of evaluable patients, 83% using a modified non-responder imputation (mNRI)) achieving PASI 75 at the 40 mg BID dose, as well as a continued favorable tolerability profile. Maximal target inhibition at the 40 mg BID dose, confirmed by blood and skin biopsy biomarkers, translated into the highest response rates, as compared with substantially lower response rates at the 40 mg QD dose. Given the tolerability profile we observed at the highest dose in our Phase 2 STRIDE trial, we intend to advance that dose into Phase 3 pivotal clinical trials. We are also developing a once-a-day modified release formulation that we plan to have available at the time of market launch, if approved, or within the first year post approval. Data in the table below are presented both “as observed” ​(AO) and applying mNRI where patients who dropped out of the trial due to adverse event or inadequate response were assumed to be non-responders for all time points after drug study discontinuation, and for patients who dropped out of the trial for all other reasons the last observation was carried forward.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5" w:name="page6"/>
    <w:bookmarkEnd w:id="5"/>
    <w:p>
      <w:pPr>
        <w:ind w:left="8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219710</wp:posOffset>
            </wp:positionV>
            <wp:extent cx="3746500" cy="54444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46500" cy="54444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OLE ESK-001 40 mg BID Cohort</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As Observed (AO) and modified Non-Responder Imputation (NRI) Analyses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0"/>
          <w:szCs w:val="10"/>
          <w:color w:val="auto"/>
        </w:rPr>
        <w:t>Note: The shaded column in the figure above represents a four-week period during which no treatment was administered (the washout</w:t>
      </w:r>
    </w:p>
    <w:p>
      <w:pPr>
        <w:ind w:left="1740"/>
        <w:spacing w:after="0"/>
        <w:rPr>
          <w:sz w:val="20"/>
          <w:szCs w:val="20"/>
          <w:color w:val="auto"/>
        </w:rPr>
      </w:pPr>
      <w:r>
        <w:rPr>
          <w:rFonts w:ascii="Times New Roman" w:cs="Times New Roman" w:eastAsia="Times New Roman" w:hAnsi="Times New Roman"/>
          <w:sz w:val="10"/>
          <w:szCs w:val="10"/>
          <w:color w:val="auto"/>
        </w:rPr>
        <w:t>period). mNRI: modified Non-Responder Imputation</w:t>
      </w:r>
    </w:p>
    <w:p>
      <w:pPr>
        <w:spacing w:after="0" w:line="78" w:lineRule="exact"/>
        <w:rPr>
          <w:sz w:val="20"/>
          <w:szCs w:val="20"/>
          <w:color w:val="auto"/>
        </w:rPr>
      </w:pPr>
    </w:p>
    <w:p>
      <w:pPr>
        <w:jc w:val="both"/>
        <w:ind w:left="1740" w:right="1719"/>
        <w:spacing w:after="0" w:line="256" w:lineRule="auto"/>
        <w:rPr>
          <w:sz w:val="20"/>
          <w:szCs w:val="20"/>
          <w:color w:val="auto"/>
        </w:rPr>
      </w:pPr>
      <w:r>
        <w:rPr>
          <w:rFonts w:ascii="Times New Roman" w:cs="Times New Roman" w:eastAsia="Times New Roman" w:hAnsi="Times New Roman"/>
          <w:sz w:val="12"/>
          <w:szCs w:val="12"/>
          <w:color w:val="auto"/>
        </w:rPr>
        <w:t>These data suggest a differentiated profile of ESK-001 relative to first-generation TYK2 inhibitors. We plan to initiate our Phase 3 pivotal clinical trials in PsO in the second half of 2024. We are also evaluating ESK-001 in LUMUS, a Phase 2b clinical trial of ESK-001 for the treatment of patients with SLE, and we expect to report top-line results for this trial in 2026.</w:t>
      </w:r>
    </w:p>
    <w:p>
      <w:pPr>
        <w:spacing w:after="0" w:line="71" w:lineRule="exact"/>
        <w:rPr>
          <w:sz w:val="20"/>
          <w:szCs w:val="20"/>
          <w:color w:val="auto"/>
        </w:rPr>
      </w:pPr>
    </w:p>
    <w:p>
      <w:pPr>
        <w:jc w:val="both"/>
        <w:ind w:left="1740" w:right="1719"/>
        <w:spacing w:after="0" w:line="248" w:lineRule="auto"/>
        <w:rPr>
          <w:sz w:val="20"/>
          <w:szCs w:val="20"/>
          <w:color w:val="auto"/>
        </w:rPr>
      </w:pPr>
      <w:r>
        <w:rPr>
          <w:rFonts w:ascii="Times New Roman" w:cs="Times New Roman" w:eastAsia="Times New Roman" w:hAnsi="Times New Roman"/>
          <w:sz w:val="12"/>
          <w:szCs w:val="12"/>
          <w:color w:val="auto"/>
        </w:rPr>
        <w:t>Beyond our initial two ongoing clinical indications of ESK-001, we plan to leverage our large clinical and genetic datasets to prioritize future indications, such as psoriatic arthritis and gastrointestinal and other indications where we believe ESK-001 could be differentiated from existing therapies. We believe ESK -001 has the potential to address a broad range of immune-mediated diseases and unmet patient needs that represent substantial commercial opportunities. We identified TYK2 as our first target of interest and acquired ESK-001 via a stock purchase of FronThera U.S. Holdings, Inc. and its wholly owned subsidiary, FronThera U.S. Pharmaceuticals LLC (the FronThera Acquisition). See the section titled “</w:t>
      </w:r>
      <w:r>
        <w:rPr>
          <w:rFonts w:ascii="Times New Roman" w:cs="Times New Roman" w:eastAsia="Times New Roman" w:hAnsi="Times New Roman"/>
          <w:sz w:val="12"/>
          <w:szCs w:val="12"/>
          <w:i w:val="1"/>
          <w:iCs w:val="1"/>
          <w:color w:val="auto"/>
        </w:rPr>
        <w:t>Management’s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Discussion and Analysis of Financial Condition and Results of Operations—Contractual Obligations and Commitments</w:t>
      </w:r>
      <w:r>
        <w:rPr>
          <w:rFonts w:ascii="Times New Roman" w:cs="Times New Roman" w:eastAsia="Times New Roman" w:hAnsi="Times New Roman"/>
          <w:sz w:val="12"/>
          <w:szCs w:val="12"/>
          <w:color w:val="auto"/>
        </w:rPr>
        <w:t>” for additional information on the FronThera Acquisition, including with respect to certain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contingent milestone payments payable by us under the related acquisition agreement.</w:t>
      </w:r>
    </w:p>
    <w:p>
      <w:pPr>
        <w:spacing w:after="0" w:line="76" w:lineRule="exact"/>
        <w:rPr>
          <w:sz w:val="20"/>
          <w:szCs w:val="20"/>
          <w:color w:val="auto"/>
        </w:rPr>
      </w:pPr>
    </w:p>
    <w:p>
      <w:pPr>
        <w:jc w:val="both"/>
        <w:ind w:left="1740" w:right="1719"/>
        <w:spacing w:after="0" w:line="250" w:lineRule="auto"/>
        <w:rPr>
          <w:sz w:val="20"/>
          <w:szCs w:val="20"/>
          <w:color w:val="auto"/>
        </w:rPr>
      </w:pPr>
      <w:r>
        <w:rPr>
          <w:rFonts w:ascii="Times New Roman" w:cs="Times New Roman" w:eastAsia="Times New Roman" w:hAnsi="Times New Roman"/>
          <w:sz w:val="12"/>
          <w:szCs w:val="12"/>
          <w:color w:val="auto"/>
        </w:rPr>
        <w:t xml:space="preserve">We have incorporated our learnings from ESK-001 to develop A-005, as a CNS-penetrant, allosteric TYK2 inhibitor with potential application in multiple sclerosis (MS) and other neuroinflammatory and neurodegenerative diseases. Our large proprietary genetic data set as well as scientific literature have shown that the naturally occurring TYK2 loss-of-function genetic variant has a protective effect in MS. In our preclinical studies, A-005 has demonstrated protective effects in prophylactic and therapeutic </w:t>
      </w:r>
      <w:r>
        <w:rPr>
          <w:rFonts w:ascii="Times New Roman" w:cs="Times New Roman" w:eastAsia="Times New Roman" w:hAnsi="Times New Roman"/>
          <w:sz w:val="12"/>
          <w:szCs w:val="12"/>
          <w:i w:val="1"/>
          <w:iCs w:val="1"/>
          <w:color w:val="auto"/>
        </w:rPr>
        <w:t>in vivo</w:t>
      </w:r>
      <w:r>
        <w:rPr>
          <w:rFonts w:ascii="Times New Roman" w:cs="Times New Roman" w:eastAsia="Times New Roman" w:hAnsi="Times New Roman"/>
          <w:sz w:val="12"/>
          <w:szCs w:val="12"/>
          <w:color w:val="auto"/>
        </w:rPr>
        <w:t xml:space="preserve"> experimental autoimmune encephalitis (EAE) models of neuroinflammation. In April 2024, we initiated the first Phase 1 study of A-005 in healthy volunteers and expect to report initial results by the end of 2024.</w:t>
      </w:r>
    </w:p>
    <w:p>
      <w:pPr>
        <w:spacing w:after="0" w:line="1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b w:val="1"/>
          <w:bCs w:val="1"/>
          <w:color w:val="auto"/>
        </w:rPr>
        <w:t>Our Team</w:t>
      </w:r>
    </w:p>
    <w:p>
      <w:pPr>
        <w:spacing w:after="0" w:line="111" w:lineRule="exact"/>
        <w:rPr>
          <w:sz w:val="20"/>
          <w:szCs w:val="20"/>
          <w:color w:val="auto"/>
        </w:rPr>
      </w:pPr>
    </w:p>
    <w:p>
      <w:pPr>
        <w:jc w:val="both"/>
        <w:ind w:left="1740" w:right="1719"/>
        <w:spacing w:after="0" w:line="252" w:lineRule="auto"/>
        <w:rPr>
          <w:sz w:val="20"/>
          <w:szCs w:val="20"/>
          <w:color w:val="auto"/>
        </w:rPr>
      </w:pPr>
      <w:r>
        <w:rPr>
          <w:rFonts w:ascii="Times New Roman" w:cs="Times New Roman" w:eastAsia="Times New Roman" w:hAnsi="Times New Roman"/>
          <w:sz w:val="12"/>
          <w:szCs w:val="12"/>
          <w:color w:val="auto"/>
        </w:rPr>
        <w:t>We have assembled an executive team of industry veterans experienced in small-molecule compound drug development for immune-mediated diseases. Our senior leaders bring together a wealth of scientific, clinical, business and commercial expertise in the biopharmaceutical industry. Many of our employees and executives previously worked together at Genentech, Roche, Principia and MyoKardia and have united to work together</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6" w:name="page7"/>
    <w:bookmarkEnd w:id="6"/>
    <w:p>
      <w:pPr>
        <w:ind w:left="8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219710</wp:posOffset>
            </wp:positionV>
            <wp:extent cx="3746500" cy="55200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46500" cy="55200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both"/>
        <w:ind w:left="1740" w:right="1719"/>
        <w:spacing w:after="0" w:line="266" w:lineRule="auto"/>
        <w:rPr>
          <w:sz w:val="20"/>
          <w:szCs w:val="20"/>
          <w:color w:val="auto"/>
        </w:rPr>
      </w:pPr>
      <w:r>
        <w:rPr>
          <w:rFonts w:ascii="Times New Roman" w:cs="Times New Roman" w:eastAsia="Times New Roman" w:hAnsi="Times New Roman"/>
          <w:sz w:val="12"/>
          <w:szCs w:val="12"/>
          <w:color w:val="auto"/>
        </w:rPr>
        <w:t>again. Collectively, our executives have contributed to the research, development, approval and commercial launch of multiple drugs across several therapeutic areas, including Adbry, Avastin, Camzyos, Fasenra, Lucentis, Ocrevus, Rituxan, Saphnelo, Siliq, Tarceva, Tezspire, Uplizna, Xeljanz and Xolair. To date, we have raised more than $600 million and are backed by established blue-chip life science investors.</w:t>
      </w:r>
    </w:p>
    <w:p>
      <w:pPr>
        <w:spacing w:after="0" w:line="11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b w:val="1"/>
          <w:bCs w:val="1"/>
          <w:color w:val="auto"/>
        </w:rPr>
        <w:t>Our Precision Approach and Capabilities</w:t>
      </w:r>
    </w:p>
    <w:p>
      <w:pPr>
        <w:spacing w:after="0" w:line="111" w:lineRule="exact"/>
        <w:rPr>
          <w:sz w:val="20"/>
          <w:szCs w:val="20"/>
          <w:color w:val="auto"/>
        </w:rPr>
      </w:pPr>
    </w:p>
    <w:p>
      <w:pPr>
        <w:jc w:val="both"/>
        <w:ind w:left="1740" w:right="1719"/>
        <w:spacing w:after="0" w:line="259" w:lineRule="auto"/>
        <w:rPr>
          <w:sz w:val="20"/>
          <w:szCs w:val="20"/>
          <w:color w:val="auto"/>
        </w:rPr>
      </w:pPr>
      <w:r>
        <w:rPr>
          <w:rFonts w:ascii="Times New Roman" w:cs="Times New Roman" w:eastAsia="Times New Roman" w:hAnsi="Times New Roman"/>
          <w:sz w:val="12"/>
          <w:szCs w:val="12"/>
          <w:color w:val="auto"/>
        </w:rPr>
        <w:t>We apply our precision approach to immunology by focusing on the key drivers of immune dysfunction. We have established and continue to uncover key genetic and translational insights to significantly impact clinical outcomes. Foundational to our approach is our proprietary precision data analytics platform, which combines our proprietary genetic, genomic and proteomic data, data from public third-party sources, and our management’s own genomic insights, supported by the data analytics services we receive from Foresite Labs, LLC (Foresite Labs). Leveraging this platform allows us to potentially increase speed of development, probability of success and precision of therapy. We employ our insights and capabilities through every stage of development, always aiming to improve the likelihood of clinical success while achieving the best outcomes for patients. We believe our precision approach can bring forth advances in each of the following key areas:</w:t>
      </w:r>
    </w:p>
    <w:p>
      <w:pPr>
        <w:spacing w:after="0" w:line="196" w:lineRule="exact"/>
        <w:rPr>
          <w:sz w:val="20"/>
          <w:szCs w:val="20"/>
          <w:color w:val="auto"/>
        </w:rPr>
      </w:pPr>
    </w:p>
    <w:p>
      <w:pPr>
        <w:ind w:left="2100" w:right="1719" w:hanging="124"/>
        <w:spacing w:after="0" w:line="294" w:lineRule="auto"/>
        <w:tabs>
          <w:tab w:leader="none" w:pos="21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Right target: </w:t>
      </w:r>
      <w:r>
        <w:rPr>
          <w:rFonts w:ascii="Times New Roman" w:cs="Times New Roman" w:eastAsia="Times New Roman" w:hAnsi="Times New Roman"/>
          <w:sz w:val="12"/>
          <w:szCs w:val="12"/>
          <w:color w:val="auto"/>
        </w:rPr>
        <w:t>We select drug targets based on our understanding of their role in immune-mediated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diseases in an effort to maximize clinical benefit and probability of success.</w:t>
      </w:r>
    </w:p>
    <w:p>
      <w:pPr>
        <w:spacing w:after="0" w:line="28" w:lineRule="exact"/>
        <w:rPr>
          <w:rFonts w:ascii="Times New Roman" w:cs="Times New Roman" w:eastAsia="Times New Roman" w:hAnsi="Times New Roman"/>
          <w:sz w:val="12"/>
          <w:szCs w:val="12"/>
          <w:color w:val="auto"/>
        </w:rPr>
      </w:pPr>
    </w:p>
    <w:p>
      <w:pPr>
        <w:ind w:left="2100" w:right="1719" w:hanging="124"/>
        <w:spacing w:after="0" w:line="294" w:lineRule="auto"/>
        <w:tabs>
          <w:tab w:leader="none" w:pos="21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Right molecule: </w:t>
      </w:r>
      <w:r>
        <w:rPr>
          <w:rFonts w:ascii="Times New Roman" w:cs="Times New Roman" w:eastAsia="Times New Roman" w:hAnsi="Times New Roman"/>
          <w:sz w:val="12"/>
          <w:szCs w:val="12"/>
          <w:color w:val="auto"/>
        </w:rPr>
        <w:t>We seek to design our molecules to achieve maximal target engagement and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favorable pharmacological profile, and to optimize tolerability.</w:t>
      </w:r>
    </w:p>
    <w:p>
      <w:pPr>
        <w:spacing w:after="0" w:line="28" w:lineRule="exact"/>
        <w:rPr>
          <w:rFonts w:ascii="Times New Roman" w:cs="Times New Roman" w:eastAsia="Times New Roman" w:hAnsi="Times New Roman"/>
          <w:sz w:val="12"/>
          <w:szCs w:val="12"/>
          <w:color w:val="auto"/>
        </w:rPr>
      </w:pPr>
    </w:p>
    <w:p>
      <w:pPr>
        <w:ind w:left="2100" w:right="1719" w:hanging="124"/>
        <w:spacing w:after="0" w:line="294" w:lineRule="auto"/>
        <w:tabs>
          <w:tab w:leader="none" w:pos="21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Right indication: </w:t>
      </w:r>
      <w:r>
        <w:rPr>
          <w:rFonts w:ascii="Times New Roman" w:cs="Times New Roman" w:eastAsia="Times New Roman" w:hAnsi="Times New Roman"/>
          <w:sz w:val="12"/>
          <w:szCs w:val="12"/>
          <w:color w:val="auto"/>
        </w:rPr>
        <w:t>We select indications based on weight of evidence and biological insights from 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proprietary precision data analytics platform.</w:t>
      </w:r>
    </w:p>
    <w:p>
      <w:pPr>
        <w:spacing w:after="0" w:line="37" w:lineRule="exact"/>
        <w:rPr>
          <w:rFonts w:ascii="Times New Roman" w:cs="Times New Roman" w:eastAsia="Times New Roman" w:hAnsi="Times New Roman"/>
          <w:sz w:val="12"/>
          <w:szCs w:val="12"/>
          <w:color w:val="auto"/>
        </w:rPr>
      </w:pPr>
    </w:p>
    <w:p>
      <w:pPr>
        <w:ind w:left="2100" w:right="1719" w:hanging="124"/>
        <w:spacing w:after="0" w:line="294" w:lineRule="auto"/>
        <w:tabs>
          <w:tab w:leader="none" w:pos="21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Right endpoint: </w:t>
      </w:r>
      <w:r>
        <w:rPr>
          <w:rFonts w:ascii="Times New Roman" w:cs="Times New Roman" w:eastAsia="Times New Roman" w:hAnsi="Times New Roman"/>
          <w:sz w:val="12"/>
          <w:szCs w:val="12"/>
          <w:color w:val="auto"/>
        </w:rPr>
        <w:t>We seek to accelerate drug development and improve the clinical probability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success through selection of optimal clinical endpoints for our trials.</w:t>
      </w:r>
    </w:p>
    <w:p>
      <w:pPr>
        <w:spacing w:after="0" w:line="28" w:lineRule="exact"/>
        <w:rPr>
          <w:rFonts w:ascii="Times New Roman" w:cs="Times New Roman" w:eastAsia="Times New Roman" w:hAnsi="Times New Roman"/>
          <w:sz w:val="12"/>
          <w:szCs w:val="12"/>
          <w:color w:val="auto"/>
        </w:rPr>
      </w:pPr>
    </w:p>
    <w:p>
      <w:pPr>
        <w:ind w:left="2100" w:right="1719" w:hanging="124"/>
        <w:spacing w:after="0" w:line="294" w:lineRule="auto"/>
        <w:tabs>
          <w:tab w:leader="none" w:pos="21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Right patient: </w:t>
      </w:r>
      <w:r>
        <w:rPr>
          <w:rFonts w:ascii="Times New Roman" w:cs="Times New Roman" w:eastAsia="Times New Roman" w:hAnsi="Times New Roman"/>
          <w:sz w:val="12"/>
          <w:szCs w:val="12"/>
          <w:color w:val="auto"/>
        </w:rPr>
        <w:t>We gain insights from our proprietary clinical samples to identify patients that we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believe are most likely to benefit from our therapies.</w:t>
      </w:r>
    </w:p>
    <w:p>
      <w:pPr>
        <w:spacing w:after="0" w:line="28" w:lineRule="exact"/>
        <w:rPr>
          <w:rFonts w:ascii="Times New Roman" w:cs="Times New Roman" w:eastAsia="Times New Roman" w:hAnsi="Times New Roman"/>
          <w:sz w:val="12"/>
          <w:szCs w:val="12"/>
          <w:color w:val="auto"/>
        </w:rPr>
      </w:pPr>
    </w:p>
    <w:p>
      <w:pPr>
        <w:ind w:left="2100" w:right="1719" w:hanging="124"/>
        <w:spacing w:after="0" w:line="294" w:lineRule="auto"/>
        <w:tabs>
          <w:tab w:leader="none" w:pos="21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Right combinations: </w:t>
      </w:r>
      <w:r>
        <w:rPr>
          <w:rFonts w:ascii="Times New Roman" w:cs="Times New Roman" w:eastAsia="Times New Roman" w:hAnsi="Times New Roman"/>
          <w:sz w:val="12"/>
          <w:szCs w:val="12"/>
          <w:color w:val="auto"/>
        </w:rPr>
        <w:t>We identify future combination strategies with the potential to break through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efficacy limitations of existing therapies without broadly suppressing the immune system.</w:t>
      </w:r>
    </w:p>
    <w:p>
      <w:pPr>
        <w:spacing w:after="0" w:line="10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b w:val="1"/>
          <w:bCs w:val="1"/>
          <w:color w:val="auto"/>
        </w:rPr>
        <w:t>Our Strategy</w:t>
      </w:r>
    </w:p>
    <w:p>
      <w:pPr>
        <w:spacing w:after="0" w:line="111" w:lineRule="exact"/>
        <w:rPr>
          <w:sz w:val="20"/>
          <w:szCs w:val="20"/>
          <w:color w:val="auto"/>
        </w:rPr>
      </w:pPr>
    </w:p>
    <w:p>
      <w:pPr>
        <w:jc w:val="both"/>
        <w:ind w:left="1740" w:right="1719"/>
        <w:spacing w:after="0" w:line="263" w:lineRule="auto"/>
        <w:rPr>
          <w:sz w:val="20"/>
          <w:szCs w:val="20"/>
          <w:color w:val="auto"/>
        </w:rPr>
      </w:pPr>
      <w:r>
        <w:rPr>
          <w:rFonts w:ascii="Times New Roman" w:cs="Times New Roman" w:eastAsia="Times New Roman" w:hAnsi="Times New Roman"/>
          <w:sz w:val="12"/>
          <w:szCs w:val="12"/>
          <w:color w:val="auto"/>
        </w:rPr>
        <w:t>Our mission is to significantly improve the lives of patients by replacing broad immunosuppression with targeted therapies. As our driving principle, we are using our precision approach focused on the important drivers of immune dysfunction. We use our key insights to pursue our mission of significantly improving outcomes for patients. We select drug targets that have been previously validated by strong human genetic evidence and human clinical data.</w:t>
      </w:r>
    </w:p>
    <w:p>
      <w:pPr>
        <w:spacing w:after="0" w:line="6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color w:val="auto"/>
        </w:rPr>
        <w:t>The core components of our business strategy include:</w:t>
      </w:r>
    </w:p>
    <w:p>
      <w:pPr>
        <w:spacing w:after="0" w:line="80" w:lineRule="exact"/>
        <w:rPr>
          <w:sz w:val="20"/>
          <w:szCs w:val="20"/>
          <w:color w:val="auto"/>
        </w:rPr>
      </w:pPr>
    </w:p>
    <w:p>
      <w:pPr>
        <w:ind w:left="2100" w:right="1719" w:hanging="124"/>
        <w:spacing w:after="0" w:line="294" w:lineRule="auto"/>
        <w:tabs>
          <w:tab w:leader="none" w:pos="2100"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Maximize the opportunity presented by ESK-001’s differentiated pharmacological profile and breadth of potential indications.</w:t>
      </w:r>
    </w:p>
    <w:p>
      <w:pPr>
        <w:spacing w:after="0" w:line="28" w:lineRule="exact"/>
        <w:rPr>
          <w:rFonts w:ascii="Times New Roman" w:cs="Times New Roman" w:eastAsia="Times New Roman" w:hAnsi="Times New Roman"/>
          <w:sz w:val="12"/>
          <w:szCs w:val="12"/>
          <w:b w:val="1"/>
          <w:bCs w:val="1"/>
          <w:color w:val="auto"/>
        </w:rPr>
      </w:pPr>
    </w:p>
    <w:p>
      <w:pPr>
        <w:ind w:left="2100" w:right="1719" w:hanging="124"/>
        <w:spacing w:after="0" w:line="294" w:lineRule="auto"/>
        <w:tabs>
          <w:tab w:leader="none" w:pos="2100"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Expand our TYK2 franchise with A-005, our allosteric TYK2 inhibitor selected to penetrate the CNS to treat neuroinflammation.</w:t>
      </w:r>
    </w:p>
    <w:p>
      <w:pPr>
        <w:spacing w:after="0" w:line="28" w:lineRule="exact"/>
        <w:rPr>
          <w:rFonts w:ascii="Times New Roman" w:cs="Times New Roman" w:eastAsia="Times New Roman" w:hAnsi="Times New Roman"/>
          <w:sz w:val="12"/>
          <w:szCs w:val="12"/>
          <w:b w:val="1"/>
          <w:bCs w:val="1"/>
          <w:color w:val="auto"/>
        </w:rPr>
      </w:pPr>
    </w:p>
    <w:p>
      <w:pPr>
        <w:ind w:left="2100" w:hanging="124"/>
        <w:spacing w:after="0"/>
        <w:tabs>
          <w:tab w:leader="none" w:pos="2100"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Discover and advance earlier-stage product candidates into clinical development.</w:t>
      </w:r>
    </w:p>
    <w:p>
      <w:pPr>
        <w:spacing w:after="0" w:line="81" w:lineRule="exact"/>
        <w:rPr>
          <w:rFonts w:ascii="Times New Roman" w:cs="Times New Roman" w:eastAsia="Times New Roman" w:hAnsi="Times New Roman"/>
          <w:sz w:val="12"/>
          <w:szCs w:val="12"/>
          <w:b w:val="1"/>
          <w:bCs w:val="1"/>
          <w:color w:val="auto"/>
        </w:rPr>
      </w:pPr>
    </w:p>
    <w:p>
      <w:pPr>
        <w:ind w:left="2100" w:right="1719" w:hanging="124"/>
        <w:spacing w:after="0" w:line="294" w:lineRule="auto"/>
        <w:tabs>
          <w:tab w:leader="none" w:pos="2100"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Leverage our precision approach to increase speed of development, probability of success and precision of therapy.</w:t>
      </w:r>
    </w:p>
    <w:p>
      <w:pPr>
        <w:spacing w:after="0" w:line="28" w:lineRule="exact"/>
        <w:rPr>
          <w:rFonts w:ascii="Times New Roman" w:cs="Times New Roman" w:eastAsia="Times New Roman" w:hAnsi="Times New Roman"/>
          <w:sz w:val="12"/>
          <w:szCs w:val="12"/>
          <w:b w:val="1"/>
          <w:bCs w:val="1"/>
          <w:color w:val="auto"/>
        </w:rPr>
      </w:pPr>
    </w:p>
    <w:p>
      <w:pPr>
        <w:ind w:left="2100" w:hanging="124"/>
        <w:spacing w:after="0"/>
        <w:tabs>
          <w:tab w:leader="none" w:pos="2100"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Evaluate strategic collaborations to maximize the global impact of our product candidates.</w:t>
      </w:r>
    </w:p>
    <w:p>
      <w:pPr>
        <w:spacing w:after="0" w:line="15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b w:val="1"/>
          <w:bCs w:val="1"/>
          <w:color w:val="auto"/>
        </w:rPr>
        <w:t>Risk Factor Summary</w:t>
      </w:r>
    </w:p>
    <w:p>
      <w:pPr>
        <w:spacing w:after="0" w:line="111" w:lineRule="exact"/>
        <w:rPr>
          <w:sz w:val="20"/>
          <w:szCs w:val="20"/>
          <w:color w:val="auto"/>
        </w:rPr>
      </w:pPr>
    </w:p>
    <w:p>
      <w:pPr>
        <w:ind w:left="1740" w:right="1719"/>
        <w:spacing w:after="0" w:line="291" w:lineRule="auto"/>
        <w:rPr>
          <w:sz w:val="20"/>
          <w:szCs w:val="20"/>
          <w:color w:val="auto"/>
        </w:rPr>
      </w:pPr>
      <w:r>
        <w:rPr>
          <w:rFonts w:ascii="Times New Roman" w:cs="Times New Roman" w:eastAsia="Times New Roman" w:hAnsi="Times New Roman"/>
          <w:sz w:val="12"/>
          <w:szCs w:val="12"/>
          <w:color w:val="auto"/>
        </w:rPr>
        <w:t>Investing in our common stock involves substantial risk. The risks described under the section titled “Risk Factors” immediately following this prospectus summary may cause us to not realize the full benefits of our</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7" w:name="page8"/>
    <w:bookmarkEnd w:id="7"/>
    <w:p>
      <w:pPr>
        <w:ind w:left="8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219710</wp:posOffset>
            </wp:positionV>
            <wp:extent cx="3746500" cy="54444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46500" cy="54444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740" w:right="1719"/>
        <w:spacing w:after="0" w:line="291" w:lineRule="auto"/>
        <w:rPr>
          <w:sz w:val="20"/>
          <w:szCs w:val="20"/>
          <w:color w:val="auto"/>
        </w:rPr>
      </w:pPr>
      <w:r>
        <w:rPr>
          <w:rFonts w:ascii="Times New Roman" w:cs="Times New Roman" w:eastAsia="Times New Roman" w:hAnsi="Times New Roman"/>
          <w:sz w:val="12"/>
          <w:szCs w:val="12"/>
          <w:color w:val="auto"/>
        </w:rPr>
        <w:t>objectives or may cause us to be unable to successfully execute all or part of our strategy. Some of the more significant challenges include the following:</w:t>
      </w:r>
    </w:p>
    <w:p>
      <w:pPr>
        <w:spacing w:after="0" w:line="23" w:lineRule="exact"/>
        <w:rPr>
          <w:sz w:val="20"/>
          <w:szCs w:val="20"/>
          <w:color w:val="auto"/>
        </w:rPr>
      </w:pPr>
    </w:p>
    <w:p>
      <w:pPr>
        <w:jc w:val="both"/>
        <w:ind w:left="2100" w:right="1719" w:hanging="124"/>
        <w:spacing w:after="0" w:line="272" w:lineRule="auto"/>
        <w:tabs>
          <w:tab w:leader="none" w:pos="21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a clinical stage biopharmaceutical company with a limited operating history and no products approved for commercial sale, and have incurred substantial losses since our inception and anticipate incurring substantial and increasing losses for the foreseeable future.</w:t>
      </w:r>
    </w:p>
    <w:p>
      <w:pPr>
        <w:spacing w:after="0" w:line="43" w:lineRule="exact"/>
        <w:rPr>
          <w:rFonts w:ascii="Times New Roman" w:cs="Times New Roman" w:eastAsia="Times New Roman" w:hAnsi="Times New Roman"/>
          <w:sz w:val="12"/>
          <w:szCs w:val="12"/>
          <w:color w:val="auto"/>
        </w:rPr>
      </w:pPr>
    </w:p>
    <w:p>
      <w:pPr>
        <w:jc w:val="both"/>
        <w:ind w:left="2100" w:right="1719" w:hanging="124"/>
        <w:spacing w:after="0" w:line="266" w:lineRule="auto"/>
        <w:tabs>
          <w:tab w:leader="none" w:pos="21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Enrollment and retention of participants in clinical trials is an expensive and time-consuming process and could be made more difficult or rendered impossible by multiple factors outside our control, including difficulties in identifying patients, the availability of competitive products, and significant competition for recruiting participants in clinical trials.</w:t>
      </w:r>
    </w:p>
    <w:p>
      <w:pPr>
        <w:spacing w:after="0" w:line="47" w:lineRule="exact"/>
        <w:rPr>
          <w:rFonts w:ascii="Times New Roman" w:cs="Times New Roman" w:eastAsia="Times New Roman" w:hAnsi="Times New Roman"/>
          <w:sz w:val="12"/>
          <w:szCs w:val="12"/>
          <w:color w:val="auto"/>
        </w:rPr>
      </w:pPr>
    </w:p>
    <w:p>
      <w:pPr>
        <w:jc w:val="both"/>
        <w:ind w:left="2100" w:right="1719" w:hanging="124"/>
        <w:spacing w:after="0" w:line="272" w:lineRule="auto"/>
        <w:tabs>
          <w:tab w:leader="none" w:pos="21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require substantial additional financing to achieve our goals and failure to obtain additional capital when needed, or on acceptable terms to us, could cause us to delay, limit, reduce, or terminate our product development or future commercialization efforts.</w:t>
      </w:r>
    </w:p>
    <w:p>
      <w:pPr>
        <w:spacing w:after="0" w:line="43" w:lineRule="exact"/>
        <w:rPr>
          <w:rFonts w:ascii="Times New Roman" w:cs="Times New Roman" w:eastAsia="Times New Roman" w:hAnsi="Times New Roman"/>
          <w:sz w:val="12"/>
          <w:szCs w:val="12"/>
          <w:color w:val="auto"/>
        </w:rPr>
      </w:pPr>
    </w:p>
    <w:p>
      <w:pPr>
        <w:jc w:val="both"/>
        <w:ind w:left="2100" w:right="1719" w:hanging="124"/>
        <w:spacing w:after="0" w:line="265" w:lineRule="auto"/>
        <w:tabs>
          <w:tab w:leader="none" w:pos="21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Preclinical and 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current product candidates or any future product candidates.</w:t>
      </w:r>
    </w:p>
    <w:p>
      <w:pPr>
        <w:spacing w:after="0" w:line="196" w:lineRule="exact"/>
        <w:rPr>
          <w:rFonts w:ascii="Times New Roman" w:cs="Times New Roman" w:eastAsia="Times New Roman" w:hAnsi="Times New Roman"/>
          <w:sz w:val="12"/>
          <w:szCs w:val="12"/>
          <w:color w:val="auto"/>
        </w:rPr>
      </w:pPr>
    </w:p>
    <w:p>
      <w:pPr>
        <w:jc w:val="both"/>
        <w:ind w:left="2100" w:right="1719" w:hanging="124"/>
        <w:spacing w:after="0" w:line="272" w:lineRule="auto"/>
        <w:tabs>
          <w:tab w:leader="none" w:pos="21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clinical trials may reveal significant adverse events not seen in our preclinical studies or prior clinical trials and may result in a safety or tolerability profile that could delay or prevent regulatory approval or market acceptance of ESK-001, A-005 or any future product candidates.</w:t>
      </w:r>
    </w:p>
    <w:p>
      <w:pPr>
        <w:spacing w:after="0" w:line="43" w:lineRule="exact"/>
        <w:rPr>
          <w:rFonts w:ascii="Times New Roman" w:cs="Times New Roman" w:eastAsia="Times New Roman" w:hAnsi="Times New Roman"/>
          <w:sz w:val="12"/>
          <w:szCs w:val="12"/>
          <w:color w:val="auto"/>
        </w:rPr>
      </w:pPr>
    </w:p>
    <w:p>
      <w:pPr>
        <w:jc w:val="both"/>
        <w:ind w:left="2100" w:right="1719" w:hanging="124"/>
        <w:spacing w:after="0" w:line="270" w:lineRule="auto"/>
        <w:tabs>
          <w:tab w:leader="none" w:pos="21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face competition from entities that have made substantial investments into the rapid development of competitor treatments for immunological indications, including large and specialty pharmaceutical and biotechnology companies, many of which already have approved therapies in our current indications.</w:t>
      </w:r>
    </w:p>
    <w:p>
      <w:pPr>
        <w:spacing w:after="0" w:line="193" w:lineRule="exact"/>
        <w:rPr>
          <w:rFonts w:ascii="Times New Roman" w:cs="Times New Roman" w:eastAsia="Times New Roman" w:hAnsi="Times New Roman"/>
          <w:sz w:val="12"/>
          <w:szCs w:val="12"/>
          <w:color w:val="auto"/>
        </w:rPr>
      </w:pPr>
    </w:p>
    <w:p>
      <w:pPr>
        <w:jc w:val="both"/>
        <w:ind w:left="2100" w:right="1719" w:hanging="124"/>
        <w:spacing w:after="0" w:line="263" w:lineRule="auto"/>
        <w:tabs>
          <w:tab w:leader="none" w:pos="21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business is highly dependent on the success of our most advanced product candidate, ESK-001, and we cannot guarantee that ESK-001 will successfully complete development, receive regulatory approval or be successfully commercialized. If we are unable to develop, receive regulatory approval for, and ultimately successfully commercialize our product candidates, or if we experience significant delays in doing so, our business will be materially harmed.</w:t>
      </w:r>
    </w:p>
    <w:p>
      <w:pPr>
        <w:spacing w:after="0" w:line="49" w:lineRule="exact"/>
        <w:rPr>
          <w:rFonts w:ascii="Times New Roman" w:cs="Times New Roman" w:eastAsia="Times New Roman" w:hAnsi="Times New Roman"/>
          <w:sz w:val="12"/>
          <w:szCs w:val="12"/>
          <w:color w:val="auto"/>
        </w:rPr>
      </w:pPr>
    </w:p>
    <w:p>
      <w:pPr>
        <w:jc w:val="both"/>
        <w:ind w:left="2100" w:right="1719" w:hanging="124"/>
        <w:spacing w:after="0" w:line="272" w:lineRule="auto"/>
        <w:tabs>
          <w:tab w:leader="none" w:pos="21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43" w:lineRule="exact"/>
        <w:rPr>
          <w:rFonts w:ascii="Times New Roman" w:cs="Times New Roman" w:eastAsia="Times New Roman" w:hAnsi="Times New Roman"/>
          <w:sz w:val="12"/>
          <w:szCs w:val="12"/>
          <w:color w:val="auto"/>
        </w:rPr>
      </w:pPr>
    </w:p>
    <w:p>
      <w:pPr>
        <w:jc w:val="both"/>
        <w:ind w:left="2100" w:right="1719" w:hanging="124"/>
        <w:spacing w:after="0" w:line="272" w:lineRule="auto"/>
        <w:tabs>
          <w:tab w:leader="none" w:pos="21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dependent on the services of our management team and other clinical and scientific personnel, and if we are not able to retain these individuals or recruit additional management or clinical and scientific personnel, our business will suffer.</w:t>
      </w:r>
    </w:p>
    <w:p>
      <w:pPr>
        <w:spacing w:after="0" w:line="43" w:lineRule="exact"/>
        <w:rPr>
          <w:rFonts w:ascii="Times New Roman" w:cs="Times New Roman" w:eastAsia="Times New Roman" w:hAnsi="Times New Roman"/>
          <w:sz w:val="12"/>
          <w:szCs w:val="12"/>
          <w:color w:val="auto"/>
        </w:rPr>
      </w:pPr>
    </w:p>
    <w:p>
      <w:pPr>
        <w:jc w:val="both"/>
        <w:ind w:left="2100" w:right="1719" w:hanging="124"/>
        <w:spacing w:after="0" w:line="263" w:lineRule="auto"/>
        <w:tabs>
          <w:tab w:leader="none" w:pos="21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49" w:lineRule="exact"/>
        <w:rPr>
          <w:rFonts w:ascii="Times New Roman" w:cs="Times New Roman" w:eastAsia="Times New Roman" w:hAnsi="Times New Roman"/>
          <w:sz w:val="12"/>
          <w:szCs w:val="12"/>
          <w:color w:val="auto"/>
        </w:rPr>
      </w:pPr>
    </w:p>
    <w:p>
      <w:pPr>
        <w:jc w:val="both"/>
        <w:ind w:left="2100" w:right="1719" w:hanging="124"/>
        <w:spacing w:after="0" w:line="272" w:lineRule="auto"/>
        <w:tabs>
          <w:tab w:leader="none" w:pos="21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cannot ensure that patent rights relating to inventions described and claimed in our or any future licensors pending patent applications will issue or that patents based on our or any future licensors patent applications will not be challenged and rendered invalid and/or unenforceable.</w:t>
      </w:r>
    </w:p>
    <w:p>
      <w:pPr>
        <w:spacing w:after="0" w:line="43" w:lineRule="exact"/>
        <w:rPr>
          <w:rFonts w:ascii="Times New Roman" w:cs="Times New Roman" w:eastAsia="Times New Roman" w:hAnsi="Times New Roman"/>
          <w:sz w:val="12"/>
          <w:szCs w:val="12"/>
          <w:color w:val="auto"/>
        </w:rPr>
      </w:pPr>
    </w:p>
    <w:p>
      <w:pPr>
        <w:jc w:val="both"/>
        <w:ind w:left="2100" w:right="1719" w:hanging="124"/>
        <w:spacing w:after="0" w:line="283" w:lineRule="auto"/>
        <w:tabs>
          <w:tab w:leader="none" w:pos="21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form or seek collaborations or strategic alliances or enter into licensing arrangements in the future, and we may neither enter into, nor realize the benefits of, such alliances or licensing arrangements.</w:t>
      </w:r>
    </w:p>
    <w:p>
      <w:pPr>
        <w:spacing w:after="0" w:line="187" w:lineRule="exact"/>
        <w:rPr>
          <w:rFonts w:ascii="Times New Roman" w:cs="Times New Roman" w:eastAsia="Times New Roman" w:hAnsi="Times New Roman"/>
          <w:sz w:val="12"/>
          <w:szCs w:val="12"/>
          <w:color w:val="auto"/>
        </w:rPr>
      </w:pPr>
    </w:p>
    <w:p>
      <w:pPr>
        <w:jc w:val="both"/>
        <w:ind w:left="2100" w:right="1719" w:hanging="124"/>
        <w:spacing w:after="0" w:line="272" w:lineRule="auto"/>
        <w:tabs>
          <w:tab w:leader="none" w:pos="21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Even if we receive regulatory approval for our product candidates, we will be subject to ongoing regulatory obligations and continued regulatory review, which may result in significant additional expense. Additionally, our product candidates, if approved, could be subject to labeling and other</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8" w:name="page9"/>
    <w:bookmarkEnd w:id="8"/>
    <w:p>
      <w:pPr>
        <w:ind w:left="8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219710</wp:posOffset>
            </wp:positionV>
            <wp:extent cx="3746500" cy="5572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46500" cy="557212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2100" w:right="1719"/>
        <w:spacing w:after="0" w:line="291" w:lineRule="auto"/>
        <w:rPr>
          <w:sz w:val="20"/>
          <w:szCs w:val="20"/>
          <w:color w:val="auto"/>
        </w:rPr>
      </w:pPr>
      <w:r>
        <w:rPr>
          <w:rFonts w:ascii="Times New Roman" w:cs="Times New Roman" w:eastAsia="Times New Roman" w:hAnsi="Times New Roman"/>
          <w:sz w:val="12"/>
          <w:szCs w:val="12"/>
          <w:color w:val="auto"/>
        </w:rPr>
        <w:t>restrictions and market withdrawal. We may also be subject to penalties if we fail to comply with regulatory requirements or experience unanticipated problems with our product candidates.</w:t>
      </w:r>
    </w:p>
    <w:p>
      <w:pPr>
        <w:spacing w:after="0" w:line="23" w:lineRule="exact"/>
        <w:rPr>
          <w:sz w:val="20"/>
          <w:szCs w:val="20"/>
          <w:color w:val="auto"/>
        </w:rPr>
      </w:pPr>
    </w:p>
    <w:p>
      <w:pPr>
        <w:ind w:left="2100" w:right="1719" w:hanging="124"/>
        <w:spacing w:after="0" w:line="291" w:lineRule="auto"/>
        <w:tabs>
          <w:tab w:leader="none" w:pos="21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have conflicts with any future licensors or collaborators that could delay or prevent the development or commercialization of our product candidates.</w:t>
      </w:r>
    </w:p>
    <w:p>
      <w:pPr>
        <w:spacing w:after="0" w:line="31" w:lineRule="exact"/>
        <w:rPr>
          <w:rFonts w:ascii="Times New Roman" w:cs="Times New Roman" w:eastAsia="Times New Roman" w:hAnsi="Times New Roman"/>
          <w:sz w:val="12"/>
          <w:szCs w:val="12"/>
          <w:color w:val="auto"/>
        </w:rPr>
      </w:pPr>
    </w:p>
    <w:p>
      <w:pPr>
        <w:jc w:val="both"/>
        <w:ind w:left="2100" w:right="1719" w:hanging="124"/>
        <w:spacing w:after="0" w:line="272" w:lineRule="auto"/>
        <w:tabs>
          <w:tab w:leader="none" w:pos="21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result of our history of losses and negative cash flows from operations, our consolidated financial statements contain a statement regarding a substantial doubt about our ability to continue as a going concern.</w:t>
      </w:r>
    </w:p>
    <w:p>
      <w:pPr>
        <w:spacing w:after="0" w:line="11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b w:val="1"/>
          <w:bCs w:val="1"/>
          <w:color w:val="auto"/>
        </w:rPr>
        <w:t>Corporate Information</w:t>
      </w:r>
    </w:p>
    <w:p>
      <w:pPr>
        <w:spacing w:after="0" w:line="102" w:lineRule="exact"/>
        <w:rPr>
          <w:sz w:val="20"/>
          <w:szCs w:val="20"/>
          <w:color w:val="auto"/>
        </w:rPr>
      </w:pPr>
    </w:p>
    <w:p>
      <w:pPr>
        <w:jc w:val="both"/>
        <w:ind w:left="1740" w:right="1719"/>
        <w:spacing w:after="0" w:line="252" w:lineRule="auto"/>
        <w:rPr>
          <w:sz w:val="20"/>
          <w:szCs w:val="20"/>
          <w:color w:val="auto"/>
        </w:rPr>
      </w:pPr>
      <w:r>
        <w:rPr>
          <w:rFonts w:ascii="Times New Roman" w:cs="Times New Roman" w:eastAsia="Times New Roman" w:hAnsi="Times New Roman"/>
          <w:sz w:val="12"/>
          <w:szCs w:val="12"/>
          <w:color w:val="auto"/>
        </w:rPr>
        <w:t>We were founded in January 2021 as a Delaware corporation under the name FL2021-001, Inc. We changed our name to Esker Therapeutics, Inc. in March 2021, and subsequently to Alumis Inc. in January 2022. Our principal executive offices are located at 280 East Grand Avenue, South San Francisco, California 94080, and our telephone number is (650) 231-6625. Our website address is www.alumis.com. Information contained in, or accessible through, our website is not a part of this prospectus, and the inclusion of our website address in this prospectus is only an inactive textual reference.</w:t>
      </w:r>
    </w:p>
    <w:p>
      <w:pPr>
        <w:spacing w:after="0" w:line="1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b w:val="1"/>
          <w:bCs w:val="1"/>
          <w:color w:val="auto"/>
        </w:rPr>
        <w:t>Trademarks, Trade Names and Service Marks</w:t>
      </w:r>
    </w:p>
    <w:p>
      <w:pPr>
        <w:spacing w:after="0" w:line="111" w:lineRule="exact"/>
        <w:rPr>
          <w:sz w:val="20"/>
          <w:szCs w:val="20"/>
          <w:color w:val="auto"/>
        </w:rPr>
      </w:pPr>
    </w:p>
    <w:p>
      <w:pPr>
        <w:jc w:val="both"/>
        <w:ind w:left="1740" w:right="1719"/>
        <w:spacing w:after="0" w:line="248" w:lineRule="auto"/>
        <w:rPr>
          <w:sz w:val="20"/>
          <w:szCs w:val="20"/>
          <w:color w:val="auto"/>
        </w:rPr>
      </w:pPr>
      <w:r>
        <w:rPr>
          <w:rFonts w:ascii="Times New Roman" w:cs="Times New Roman" w:eastAsia="Times New Roman" w:hAnsi="Times New Roman"/>
          <w:sz w:val="12"/>
          <w:szCs w:val="12"/>
          <w:color w:val="auto"/>
        </w:rPr>
        <w:t>We use the Alumis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b w:val="1"/>
          <w:bCs w:val="1"/>
          <w:color w:val="auto"/>
        </w:rPr>
        <w:t>Implications of Being an Emerging Growth Company and a Smaller Reporting Company</w:t>
      </w:r>
    </w:p>
    <w:p>
      <w:pPr>
        <w:spacing w:after="0" w:line="102" w:lineRule="exact"/>
        <w:rPr>
          <w:sz w:val="20"/>
          <w:szCs w:val="20"/>
          <w:color w:val="auto"/>
        </w:rPr>
      </w:pPr>
    </w:p>
    <w:p>
      <w:pPr>
        <w:jc w:val="both"/>
        <w:ind w:left="1740" w:right="1719"/>
        <w:spacing w:after="0" w:line="256" w:lineRule="auto"/>
        <w:rPr>
          <w:sz w:val="20"/>
          <w:szCs w:val="20"/>
          <w:color w:val="auto"/>
        </w:rPr>
      </w:pPr>
      <w:r>
        <w:rPr>
          <w:rFonts w:ascii="Times New Roman" w:cs="Times New Roman" w:eastAsia="Times New Roman" w:hAnsi="Times New Roman"/>
          <w:sz w:val="12"/>
          <w:szCs w:val="12"/>
          <w:color w:val="auto"/>
        </w:rPr>
        <w:t>We are an emerging growth company, as defined in Section 2(a) of the Securities Act of 1933, as amended (the Securities Act), as modified by the Jumpstart Our Business Startups Act of 2012 (the JOBS Act), and we may take advantage of certain exemptions from various reporting requirements that are applicable to other public companies that are not emerging growth companies, including:</w:t>
      </w:r>
    </w:p>
    <w:p>
      <w:pPr>
        <w:spacing w:after="0" w:line="52" w:lineRule="exact"/>
        <w:rPr>
          <w:sz w:val="20"/>
          <w:szCs w:val="20"/>
          <w:color w:val="auto"/>
        </w:rPr>
      </w:pPr>
    </w:p>
    <w:p>
      <w:pPr>
        <w:jc w:val="both"/>
        <w:ind w:left="2100" w:right="1719" w:hanging="124"/>
        <w:spacing w:after="0" w:line="272" w:lineRule="auto"/>
        <w:tabs>
          <w:tab w:leader="none" w:pos="21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34" w:lineRule="exact"/>
        <w:rPr>
          <w:rFonts w:ascii="Times New Roman" w:cs="Times New Roman" w:eastAsia="Times New Roman" w:hAnsi="Times New Roman"/>
          <w:sz w:val="12"/>
          <w:szCs w:val="12"/>
          <w:color w:val="auto"/>
        </w:rPr>
      </w:pPr>
    </w:p>
    <w:p>
      <w:pPr>
        <w:ind w:left="2100" w:right="1719" w:hanging="124"/>
        <w:spacing w:after="0" w:line="291" w:lineRule="auto"/>
        <w:tabs>
          <w:tab w:leader="none" w:pos="21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relief from the auditor attestation requirements of Section 404 of the Sarbanes-Oxley Act of 2002, as amended (the Sarbanes-Oxley Act),</w:t>
      </w:r>
    </w:p>
    <w:p>
      <w:pPr>
        <w:spacing w:after="0" w:line="31" w:lineRule="exact"/>
        <w:rPr>
          <w:rFonts w:ascii="Times New Roman" w:cs="Times New Roman" w:eastAsia="Times New Roman" w:hAnsi="Times New Roman"/>
          <w:sz w:val="12"/>
          <w:szCs w:val="12"/>
          <w:color w:val="auto"/>
        </w:rPr>
      </w:pPr>
    </w:p>
    <w:p>
      <w:pPr>
        <w:jc w:val="both"/>
        <w:ind w:left="2100" w:right="1719" w:hanging="124"/>
        <w:spacing w:after="0" w:line="283" w:lineRule="auto"/>
        <w:tabs>
          <w:tab w:leader="none" w:pos="21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relief from compliance with the requirements of the Public Company Accounting Oversight Board regarding the communication of critical audit matters in the auditor’s report on the financial statements,</w:t>
      </w:r>
    </w:p>
    <w:p>
      <w:pPr>
        <w:spacing w:after="0" w:line="187" w:lineRule="exact"/>
        <w:rPr>
          <w:rFonts w:ascii="Times New Roman" w:cs="Times New Roman" w:eastAsia="Times New Roman" w:hAnsi="Times New Roman"/>
          <w:sz w:val="12"/>
          <w:szCs w:val="12"/>
          <w:color w:val="auto"/>
        </w:rPr>
      </w:pPr>
    </w:p>
    <w:p>
      <w:pPr>
        <w:ind w:left="2100" w:right="1719" w:hanging="124"/>
        <w:spacing w:after="0" w:line="291" w:lineRule="auto"/>
        <w:tabs>
          <w:tab w:leader="none" w:pos="21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less extensive disclosure obligations regarding executive compensation in our registration statements, periodic reports and proxy statements,</w:t>
      </w:r>
    </w:p>
    <w:p>
      <w:pPr>
        <w:spacing w:after="0" w:line="31" w:lineRule="exact"/>
        <w:rPr>
          <w:rFonts w:ascii="Times New Roman" w:cs="Times New Roman" w:eastAsia="Times New Roman" w:hAnsi="Times New Roman"/>
          <w:sz w:val="12"/>
          <w:szCs w:val="12"/>
          <w:color w:val="auto"/>
        </w:rPr>
      </w:pPr>
    </w:p>
    <w:p>
      <w:pPr>
        <w:ind w:left="2100" w:right="1719" w:hanging="124"/>
        <w:spacing w:after="0" w:line="265" w:lineRule="auto"/>
        <w:tabs>
          <w:tab w:leader="none" w:pos="21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exemptions from the requirements to hold a nonbinding advisory vote on executive compensation, and</w:t>
      </w:r>
    </w:p>
    <w:p>
      <w:pPr>
        <w:spacing w:after="0" w:line="213" w:lineRule="exact"/>
        <w:rPr>
          <w:rFonts w:ascii="Times New Roman" w:cs="Times New Roman" w:eastAsia="Times New Roman" w:hAnsi="Times New Roman"/>
          <w:sz w:val="12"/>
          <w:szCs w:val="12"/>
          <w:color w:val="auto"/>
        </w:rPr>
      </w:pPr>
    </w:p>
    <w:p>
      <w:pPr>
        <w:ind w:left="2100" w:hanging="124"/>
        <w:spacing w:after="0"/>
        <w:tabs>
          <w:tab w:leader="none" w:pos="21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exemptions from stockholder approval of any golden parachute payments not previously approved.</w:t>
      </w:r>
    </w:p>
    <w:p>
      <w:pPr>
        <w:spacing w:after="0" w:line="109" w:lineRule="exact"/>
        <w:rPr>
          <w:sz w:val="20"/>
          <w:szCs w:val="20"/>
          <w:color w:val="auto"/>
        </w:rPr>
      </w:pPr>
    </w:p>
    <w:p>
      <w:pPr>
        <w:jc w:val="both"/>
        <w:ind w:left="1740" w:right="1719"/>
        <w:spacing w:after="0" w:line="259" w:lineRule="auto"/>
        <w:rPr>
          <w:sz w:val="20"/>
          <w:szCs w:val="20"/>
          <w:color w:val="auto"/>
        </w:rPr>
      </w:pPr>
      <w:r>
        <w:rPr>
          <w:rFonts w:ascii="Times New Roman" w:cs="Times New Roman" w:eastAsia="Times New Roman" w:hAnsi="Times New Roman"/>
          <w:sz w:val="12"/>
          <w:szCs w:val="12"/>
          <w:color w:val="auto"/>
        </w:rPr>
        <w:t>We may also elect to take advantage of other reduced reporting requirements in future filings. As a result, our stockholders may not have access to certain information that they may deem important and the information that we provide to our stockholders may be different than, and not comparable to, information presented by other public reporting companies. We could remain an emerging growth company until the earlier of   (i) the last day of the year following the fifth anniversary of the completion of this offering,</w:t>
      </w:r>
    </w:p>
    <w:p>
      <w:pPr>
        <w:ind w:left="1740" w:right="1719" w:hanging="8"/>
        <w:spacing w:after="0" w:line="269" w:lineRule="auto"/>
        <w:tabs>
          <w:tab w:leader="none" w:pos="19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last day of the year in which we have total annual gross revenue of at least $1.235 billion, (iii) the last day of the year in which</w:t>
      </w: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9" w:name="page10"/>
    <w:bookmarkEnd w:id="9"/>
    <w:p>
      <w:pPr>
        <w:ind w:left="8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219710</wp:posOffset>
            </wp:positionV>
            <wp:extent cx="3746500" cy="5403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46500" cy="540385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both"/>
        <w:ind w:left="1740" w:right="1719"/>
        <w:spacing w:after="0" w:line="263" w:lineRule="auto"/>
        <w:rPr>
          <w:sz w:val="20"/>
          <w:szCs w:val="20"/>
          <w:color w:val="auto"/>
        </w:rPr>
      </w:pPr>
      <w:r>
        <w:rPr>
          <w:rFonts w:ascii="Times New Roman" w:cs="Times New Roman" w:eastAsia="Times New Roman" w:hAnsi="Times New Roman"/>
          <w:sz w:val="12"/>
          <w:szCs w:val="12"/>
          <w:color w:val="auto"/>
        </w:rPr>
        <w:t>we are deemed to be a “large accelerated filer” as defined in Rule 12b-2 under the Securities Exchange Act of 1934, as amended (the Exchange Act), which would occur if the market value of our common stock and non-voting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77" w:lineRule="exact"/>
        <w:rPr>
          <w:sz w:val="20"/>
          <w:szCs w:val="20"/>
          <w:color w:val="auto"/>
        </w:rPr>
      </w:pPr>
    </w:p>
    <w:p>
      <w:pPr>
        <w:jc w:val="both"/>
        <w:ind w:left="1740" w:right="1719"/>
        <w:spacing w:after="0" w:line="260" w:lineRule="auto"/>
        <w:rPr>
          <w:sz w:val="20"/>
          <w:szCs w:val="20"/>
          <w:color w:val="auto"/>
        </w:rPr>
      </w:pPr>
      <w:r>
        <w:rPr>
          <w:rFonts w:ascii="Times New Roman" w:cs="Times New Roman" w:eastAsia="Times New Roman" w:hAnsi="Times New Roman"/>
          <w:sz w:val="12"/>
          <w:szCs w:val="12"/>
          <w:color w:val="auto"/>
        </w:rPr>
        <w:t>In addition, the JOBS Act also provides that an emerging growth company may take advantage of the extended transition period provided in the Securities Act for complying with new or revised accounting standards. An emerging growth company may therefore delay the adoption of certain accounting standards until those standards would otherwise apply to private companies. We have elected to avail ourselves of this exemption and, as a result, will not be subject to the same implementation timing for new or revised accounting standards as are required of other public companies that are not emerging growth companies, which may make comparison of our financial information to those of other public companies more difficult.</w:t>
      </w:r>
    </w:p>
    <w:p>
      <w:pPr>
        <w:spacing w:after="0" w:line="80" w:lineRule="exact"/>
        <w:rPr>
          <w:sz w:val="20"/>
          <w:szCs w:val="20"/>
          <w:color w:val="auto"/>
        </w:rPr>
      </w:pPr>
    </w:p>
    <w:p>
      <w:pPr>
        <w:jc w:val="both"/>
        <w:ind w:left="1740" w:right="1719"/>
        <w:spacing w:after="0" w:line="258" w:lineRule="auto"/>
        <w:rPr>
          <w:sz w:val="20"/>
          <w:szCs w:val="20"/>
          <w:color w:val="auto"/>
        </w:rPr>
      </w:pPr>
      <w:r>
        <w:rPr>
          <w:rFonts w:ascii="Times New Roman" w:cs="Times New Roman" w:eastAsia="Times New Roman" w:hAnsi="Times New Roman"/>
          <w:sz w:val="12"/>
          <w:szCs w:val="12"/>
          <w:color w:val="auto"/>
        </w:rPr>
        <w:t>We are also a “smaller reporting company,” meaning that the market value of our common stock and non-voting common stock held by non-affiliates is less than $700.0 million and our annual revenue is less than $100.0 million during the most recently completed fiscal year. We may continue to be a smaller reporting company after this offering if either (i) the market value of our common stock and non-voting common stock held by non-affiliates is less than $250.0 million or (ii) our annual revenue is less than $100.0 million during the most recently completed fiscal year and the market value of our common stock and non-voting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2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b w:val="1"/>
          <w:bCs w:val="1"/>
          <w:color w:val="auto"/>
        </w:rPr>
        <w:t>Basis of Presentation</w:t>
      </w:r>
    </w:p>
    <w:p>
      <w:pPr>
        <w:spacing w:after="0" w:line="102" w:lineRule="exact"/>
        <w:rPr>
          <w:sz w:val="20"/>
          <w:szCs w:val="20"/>
          <w:color w:val="auto"/>
        </w:rPr>
      </w:pPr>
    </w:p>
    <w:p>
      <w:pPr>
        <w:jc w:val="both"/>
        <w:ind w:left="1740" w:right="1719"/>
        <w:spacing w:after="0" w:line="265" w:lineRule="auto"/>
        <w:rPr>
          <w:sz w:val="20"/>
          <w:szCs w:val="20"/>
          <w:color w:val="auto"/>
        </w:rPr>
      </w:pPr>
      <w:r>
        <w:rPr>
          <w:rFonts w:ascii="Times New Roman" w:cs="Times New Roman" w:eastAsia="Times New Roman" w:hAnsi="Times New Roman"/>
          <w:sz w:val="12"/>
          <w:szCs w:val="12"/>
          <w:color w:val="auto"/>
        </w:rPr>
        <w:t>Certain monetary amounts, percentages, and other figures included elsewhere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0" w:name="page11"/>
    <w:bookmarkEnd w:id="10"/>
    <w:p>
      <w:pPr>
        <w:ind w:left="860"/>
        <w:spacing w:after="0"/>
        <w:rPr>
          <w:sz w:val="20"/>
          <w:szCs w:val="20"/>
          <w:color w:val="auto"/>
        </w:rPr>
      </w:pPr>
      <w:r>
        <w:rPr>
          <w:rFonts w:ascii="Calibri" w:cs="Calibri" w:eastAsia="Calibri" w:hAnsi="Calibri"/>
          <w:sz w:val="9"/>
          <w:szCs w:val="9"/>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223520</wp:posOffset>
            </wp:positionV>
            <wp:extent cx="3746500" cy="5496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46500" cy="549656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b w:val="1"/>
          <w:bCs w:val="1"/>
          <w:color w:val="auto"/>
        </w:rPr>
        <w:t>Common stock offered by us</w:t>
      </w:r>
    </w:p>
    <w:p>
      <w:pPr>
        <w:spacing w:after="0" w:line="8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b w:val="1"/>
          <w:bCs w:val="1"/>
          <w:color w:val="auto"/>
        </w:rPr>
        <w:t>Underwriters’ over-allotment</w:t>
      </w:r>
    </w:p>
    <w:p>
      <w:pPr>
        <w:spacing w:after="0" w:line="2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2"/>
          <w:szCs w:val="12"/>
          <w:b w:val="1"/>
          <w:bCs w:val="1"/>
          <w:color w:val="auto"/>
        </w:rPr>
        <w:t>option of common stock</w:t>
      </w:r>
    </w:p>
    <w:p>
      <w:pPr>
        <w:spacing w:after="0" w:line="6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b w:val="1"/>
          <w:bCs w:val="1"/>
          <w:color w:val="auto"/>
        </w:rPr>
        <w:t>Total common stock and non-</w:t>
      </w:r>
    </w:p>
    <w:p>
      <w:pPr>
        <w:spacing w:after="0" w:line="2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2"/>
          <w:szCs w:val="12"/>
          <w:b w:val="1"/>
          <w:bCs w:val="1"/>
          <w:color w:val="auto"/>
        </w:rPr>
        <w:t>voting common stock to be</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1"/>
          <w:szCs w:val="11"/>
          <w:b w:val="1"/>
          <w:bCs w:val="1"/>
          <w:color w:val="auto"/>
        </w:rPr>
        <w:t>outstanding immediately after</w:t>
      </w:r>
    </w:p>
    <w:p>
      <w:pPr>
        <w:spacing w:after="0" w:line="2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2"/>
          <w:szCs w:val="12"/>
          <w:b w:val="1"/>
          <w:bCs w:val="1"/>
          <w:color w:val="auto"/>
        </w:rPr>
        <w:t>this offering</w:t>
      </w:r>
    </w:p>
    <w:p>
      <w:pPr>
        <w:spacing w:after="0" w:line="200" w:lineRule="exact"/>
        <w:rPr>
          <w:sz w:val="20"/>
          <w:szCs w:val="20"/>
          <w:color w:val="auto"/>
        </w:rPr>
      </w:pPr>
    </w:p>
    <w:p>
      <w:pPr>
        <w:spacing w:after="0" w:line="3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b w:val="1"/>
          <w:bCs w:val="1"/>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b w:val="1"/>
          <w:bCs w:val="1"/>
          <w:color w:val="auto"/>
        </w:rPr>
        <w:t>Risk factors</w:t>
      </w:r>
    </w:p>
    <w:p>
      <w:pPr>
        <w:spacing w:after="0" w:line="37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1"/>
          <w:szCs w:val="11"/>
          <w:b w:val="1"/>
          <w:bCs w:val="1"/>
          <w:color w:val="auto"/>
        </w:rPr>
        <w:t>Proposed Nasdaq Global Market</w:t>
      </w:r>
    </w:p>
    <w:p>
      <w:pPr>
        <w:spacing w:after="0" w:line="3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2"/>
          <w:szCs w:val="12"/>
          <w:b w:val="1"/>
          <w:bCs w:val="1"/>
          <w:color w:val="auto"/>
        </w:rPr>
        <w:t>trading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The Offering</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17,650,000 shares.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2,647,500 shares.</w:t>
      </w:r>
    </w:p>
    <w:p>
      <w:pPr>
        <w:spacing w:after="0" w:line="200" w:lineRule="exact"/>
        <w:rPr>
          <w:sz w:val="20"/>
          <w:szCs w:val="20"/>
          <w:color w:val="auto"/>
        </w:rPr>
      </w:pPr>
    </w:p>
    <w:p>
      <w:pPr>
        <w:spacing w:after="0" w:line="321" w:lineRule="exact"/>
        <w:rPr>
          <w:sz w:val="20"/>
          <w:szCs w:val="20"/>
          <w:color w:val="auto"/>
        </w:rPr>
      </w:pPr>
    </w:p>
    <w:p>
      <w:pPr>
        <w:jc w:val="both"/>
        <w:ind w:right="1719"/>
        <w:spacing w:after="0" w:line="270" w:lineRule="auto"/>
        <w:rPr>
          <w:sz w:val="20"/>
          <w:szCs w:val="20"/>
          <w:color w:val="auto"/>
        </w:rPr>
      </w:pPr>
      <w:r>
        <w:rPr>
          <w:rFonts w:ascii="Times New Roman" w:cs="Times New Roman" w:eastAsia="Times New Roman" w:hAnsi="Times New Roman"/>
          <w:sz w:val="12"/>
          <w:szCs w:val="12"/>
          <w:color w:val="auto"/>
        </w:rPr>
        <w:t>56,369,729 shares (of which 49,184,821 shares will be common stock), or 59,017,229 shares (of which 51,832,321 shares will be common stock) if the underwriters exercise their over-allotment option in full.</w:t>
      </w:r>
    </w:p>
    <w:p>
      <w:pPr>
        <w:spacing w:after="0" w:line="194" w:lineRule="exact"/>
        <w:rPr>
          <w:sz w:val="20"/>
          <w:szCs w:val="20"/>
          <w:color w:val="auto"/>
        </w:rPr>
      </w:pPr>
    </w:p>
    <w:p>
      <w:pPr>
        <w:jc w:val="both"/>
        <w:ind w:right="1719"/>
        <w:spacing w:after="0" w:line="262" w:lineRule="auto"/>
        <w:rPr>
          <w:sz w:val="20"/>
          <w:szCs w:val="20"/>
          <w:color w:val="auto"/>
        </w:rPr>
      </w:pPr>
      <w:r>
        <w:rPr>
          <w:rFonts w:ascii="Times New Roman" w:cs="Times New Roman" w:eastAsia="Times New Roman" w:hAnsi="Times New Roman"/>
          <w:sz w:val="12"/>
          <w:szCs w:val="12"/>
          <w:color w:val="auto"/>
        </w:rPr>
        <w:t>We estimate that the net proceeds from this offering will be approximately $274.0 million (or approximately $315.9 million if the underwriter’s over-allotment option is exercised in full), based on the assumed initial public offering price of $17.00 per share, after deducting underwriting discounts and commissions and estimated offering expenses payable by us.</w:t>
      </w:r>
    </w:p>
    <w:p>
      <w:pPr>
        <w:spacing w:after="0" w:line="76" w:lineRule="exact"/>
        <w:rPr>
          <w:sz w:val="20"/>
          <w:szCs w:val="20"/>
          <w:color w:val="auto"/>
        </w:rPr>
      </w:pPr>
    </w:p>
    <w:p>
      <w:pPr>
        <w:jc w:val="both"/>
        <w:ind w:right="1719"/>
        <w:spacing w:after="0" w:line="262" w:lineRule="auto"/>
        <w:rPr>
          <w:sz w:val="20"/>
          <w:szCs w:val="20"/>
          <w:color w:val="auto"/>
        </w:rPr>
      </w:pPr>
      <w:r>
        <w:rPr>
          <w:rFonts w:ascii="Times New Roman" w:cs="Times New Roman" w:eastAsia="Times New Roman" w:hAnsi="Times New Roman"/>
          <w:sz w:val="12"/>
          <w:szCs w:val="12"/>
          <w:color w:val="auto"/>
        </w:rPr>
        <w:t>We currently intend to use the net proceeds from this offering, together with our existing cash, cash equivalents and marketable securities, primarily to fund clinical development and related studies for our product candidates as well as our activities in preparation for such clinical development. See the section titled “Use of Proceeds” for additional information.</w:t>
      </w:r>
    </w:p>
    <w:p>
      <w:pPr>
        <w:spacing w:after="0" w:line="49" w:lineRule="exact"/>
        <w:rPr>
          <w:sz w:val="20"/>
          <w:szCs w:val="20"/>
          <w:color w:val="auto"/>
        </w:rPr>
      </w:pPr>
    </w:p>
    <w:p>
      <w:pPr>
        <w:jc w:val="both"/>
        <w:ind w:right="1719"/>
        <w:spacing w:after="0" w:line="266" w:lineRule="auto"/>
        <w:rPr>
          <w:sz w:val="20"/>
          <w:szCs w:val="20"/>
          <w:color w:val="auto"/>
        </w:rPr>
      </w:pPr>
      <w:r>
        <w:rPr>
          <w:rFonts w:ascii="Times New Roman" w:cs="Times New Roman" w:eastAsia="Times New Roman" w:hAnsi="Times New Roman"/>
          <w:sz w:val="12"/>
          <w:szCs w:val="12"/>
          <w:color w:val="auto"/>
        </w:rPr>
        <w:t>We have two classes of common stock: the common stock offered hereby and non-voting common stock. The rights of the holders of common stock and non-voting common stock are identical, except with respect to voting and conversion.</w:t>
      </w:r>
    </w:p>
    <w:p>
      <w:pPr>
        <w:spacing w:after="0" w:line="75" w:lineRule="exact"/>
        <w:rPr>
          <w:sz w:val="20"/>
          <w:szCs w:val="20"/>
          <w:color w:val="auto"/>
        </w:rPr>
      </w:pPr>
    </w:p>
    <w:p>
      <w:pPr>
        <w:jc w:val="both"/>
        <w:ind w:right="1719"/>
        <w:spacing w:after="0" w:line="259" w:lineRule="auto"/>
        <w:rPr>
          <w:sz w:val="20"/>
          <w:szCs w:val="20"/>
          <w:color w:val="auto"/>
        </w:rPr>
      </w:pPr>
      <w:r>
        <w:rPr>
          <w:rFonts w:ascii="Times New Roman" w:cs="Times New Roman" w:eastAsia="Times New Roman" w:hAnsi="Times New Roman"/>
          <w:sz w:val="12"/>
          <w:szCs w:val="12"/>
          <w:color w:val="auto"/>
        </w:rPr>
        <w:t>Each share of common stock will be entitled to one vote and shares of non-voting common stock will be non-voting, except as required by law. Each share of non-voting stock may be converted into one share of common stock at the option of the holder, subject to the beneficial ownership limitations provided for in our amended and restated certificate of incorporation to become effective upon closing of this offering. For a description of the rights of the common stock and non-voting common stock, see the section titled “Description of Capital Stock.”</w:t>
      </w:r>
    </w:p>
    <w:p>
      <w:pPr>
        <w:spacing w:after="0" w:line="52" w:lineRule="exact"/>
        <w:rPr>
          <w:sz w:val="20"/>
          <w:szCs w:val="20"/>
          <w:color w:val="auto"/>
        </w:rPr>
      </w:pPr>
    </w:p>
    <w:p>
      <w:pPr>
        <w:jc w:val="both"/>
        <w:ind w:right="1719"/>
        <w:spacing w:after="0" w:line="272" w:lineRule="auto"/>
        <w:rPr>
          <w:sz w:val="20"/>
          <w:szCs w:val="20"/>
          <w:color w:val="auto"/>
        </w:rPr>
      </w:pPr>
      <w:r>
        <w:rPr>
          <w:rFonts w:ascii="Times New Roman" w:cs="Times New Roman" w:eastAsia="Times New Roman" w:hAnsi="Times New Roman"/>
          <w:sz w:val="12"/>
          <w:szCs w:val="12"/>
          <w:color w:val="auto"/>
        </w:rPr>
        <w:t>See the section titled “Risk Factors” and other information included in this prospectus for a discussion of factors you should consider carefully before deciding to invest in our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“ALMS”</w:t>
      </w:r>
    </w:p>
    <w:p>
      <w:pPr>
        <w:spacing w:after="0" w:line="100" w:lineRule="exact"/>
        <w:rPr>
          <w:sz w:val="20"/>
          <w:szCs w:val="20"/>
          <w:color w:val="auto"/>
        </w:rPr>
      </w:pPr>
    </w:p>
    <w:p>
      <w:pPr>
        <w:sectPr>
          <w:pgSz w:w="11900" w:h="16838" w:orient="portrait"/>
          <w:cols w:equalWidth="0" w:num="2">
            <w:col w:w="3380" w:space="400"/>
            <w:col w:w="5239"/>
          </w:cols>
          <w:pgMar w:left="1440" w:top="112" w:right="1440" w:bottom="1440" w:gutter="0" w:footer="0" w:header="0"/>
          <w:type w:val="continuous"/>
        </w:sectPr>
      </w:pPr>
    </w:p>
    <w:p>
      <w:pPr>
        <w:jc w:val="both"/>
        <w:ind w:left="1740" w:right="1719"/>
        <w:spacing w:after="0" w:line="260" w:lineRule="auto"/>
        <w:rPr>
          <w:sz w:val="20"/>
          <w:szCs w:val="20"/>
          <w:color w:val="auto"/>
        </w:rPr>
      </w:pPr>
      <w:r>
        <w:rPr>
          <w:rFonts w:ascii="Times New Roman" w:cs="Times New Roman" w:eastAsia="Times New Roman" w:hAnsi="Times New Roman"/>
          <w:sz w:val="12"/>
          <w:szCs w:val="12"/>
          <w:color w:val="auto"/>
        </w:rPr>
        <w:t>The number of shares of our common stock and non-voting common stock to be outstanding immediately after this offering is based on an aggregate of 38,719,729 shares of common stock and non-voting common stock (which includes 275,295 shares of unvested restricted common stock subject to a repurchase option by us) outstanding as of March 31, 2024, after giving effect to the (i) issuance of 41,264,892 shares of Series C redeemable convertible preferred stock, convertible into 8,826,699 shares of common stock, in May 2024 and (ii) Preferred Stock Conversion and the Common Stock Reclassification (each as defined below), as if each had occurred as of March 31, 2024, and excludes:</w:t>
      </w:r>
    </w:p>
    <w:p>
      <w:pPr>
        <w:spacing w:after="0" w:line="53" w:lineRule="exact"/>
        <w:rPr>
          <w:sz w:val="20"/>
          <w:szCs w:val="20"/>
          <w:color w:val="auto"/>
        </w:rPr>
      </w:pPr>
    </w:p>
    <w:p>
      <w:pPr>
        <w:ind w:left="2100" w:right="1719" w:hanging="124"/>
        <w:spacing w:after="0" w:line="291" w:lineRule="auto"/>
        <w:tabs>
          <w:tab w:leader="none" w:pos="21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5,565,543 shares of our common stock issuable upon the exercise of outstanding stock options as of March 31, 2024, with a weighted-average exercise price of $8.44 per share;</w:t>
      </w: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type w:val="continuous"/>
        </w:sectPr>
      </w:pPr>
    </w:p>
    <w:bookmarkStart w:id="11" w:name="page12"/>
    <w:bookmarkEnd w:id="11"/>
    <w:p>
      <w:pPr>
        <w:ind w:left="8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219710</wp:posOffset>
            </wp:positionV>
            <wp:extent cx="3746500" cy="5624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46500" cy="562483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both"/>
        <w:ind w:left="2100" w:right="1719" w:hanging="124"/>
        <w:spacing w:after="0" w:line="272" w:lineRule="auto"/>
        <w:tabs>
          <w:tab w:leader="none" w:pos="21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1,276,629 shares of our common stock issuable upon the exercise of outstanding stock options granted subsequent to March 31, 2024 under our 2021 Stock Plan (2021 Plan), with a weighted-average exercise price of $13.16 per share;</w:t>
      </w:r>
    </w:p>
    <w:p>
      <w:pPr>
        <w:spacing w:after="0" w:line="43" w:lineRule="exact"/>
        <w:rPr>
          <w:rFonts w:ascii="Times New Roman" w:cs="Times New Roman" w:eastAsia="Times New Roman" w:hAnsi="Times New Roman"/>
          <w:sz w:val="12"/>
          <w:szCs w:val="12"/>
          <w:color w:val="auto"/>
        </w:rPr>
      </w:pPr>
    </w:p>
    <w:p>
      <w:pPr>
        <w:jc w:val="both"/>
        <w:ind w:left="2100" w:right="1719" w:hanging="124"/>
        <w:spacing w:after="0" w:line="270" w:lineRule="auto"/>
        <w:tabs>
          <w:tab w:leader="none" w:pos="21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1,880,680 shares of our common stock issuable upon the exercise of outstanding stock options granted subsequent to March 31, 2024 under our 2024 Performance Option Plan (2024 POP), with a weighted-average exercise price of $10.19 per share, subject to certain share price valuation vesting targets;</w:t>
      </w:r>
    </w:p>
    <w:p>
      <w:pPr>
        <w:spacing w:after="0" w:line="175" w:lineRule="exact"/>
        <w:rPr>
          <w:rFonts w:ascii="Times New Roman" w:cs="Times New Roman" w:eastAsia="Times New Roman" w:hAnsi="Times New Roman"/>
          <w:sz w:val="12"/>
          <w:szCs w:val="12"/>
          <w:color w:val="auto"/>
        </w:rPr>
      </w:pPr>
    </w:p>
    <w:p>
      <w:pPr>
        <w:jc w:val="both"/>
        <w:ind w:left="2100" w:right="1719" w:hanging="124"/>
        <w:spacing w:after="0" w:line="259" w:lineRule="auto"/>
        <w:tabs>
          <w:tab w:leader="none" w:pos="21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14,629,339 shares of our common stock reserved for future issuance under our 2024 Equity Incentive Plan (2024 Plan), which will become effective once the registration statement of which this prospectus forms a part is declared effective, including 7,800,000 new shares plus the number of shares (not to exceed 6,829,339 shares) that (i) remain available for grant of future awards under our 2021 Plan and will cease to be available for issuance under the 2021 Plan at the time our 2024 Plan becomes effective in connection with this offering, and (ii) are underlying outstanding stock awards granted under our 2021 Plan, that expire or are repurchased, forfeited, cancelled or withheld, as well as any future automatic annual increases in the number of shares of common stock reserved for issuance under our 2024 Plan and, as more fully described in the section titled “Executive Compensation—Equity Benefit Plans;”</w:t>
      </w:r>
    </w:p>
    <w:p>
      <w:pPr>
        <w:spacing w:after="0" w:line="170" w:lineRule="exact"/>
        <w:rPr>
          <w:rFonts w:ascii="Times New Roman" w:cs="Times New Roman" w:eastAsia="Times New Roman" w:hAnsi="Times New Roman"/>
          <w:sz w:val="12"/>
          <w:szCs w:val="12"/>
          <w:color w:val="auto"/>
        </w:rPr>
      </w:pPr>
    </w:p>
    <w:p>
      <w:pPr>
        <w:jc w:val="both"/>
        <w:ind w:left="2100" w:right="1719" w:hanging="124"/>
        <w:spacing w:after="0" w:line="263" w:lineRule="auto"/>
        <w:tabs>
          <w:tab w:leader="none" w:pos="21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650,000 shares of our common stock reserved for issuance under our 2024 Employee Stock Purchase Plan (ESPP), which will become effective once the registration statement of which this prospectus forms a part is declared effective, as well as any future automatic annual increases in the number of shares of common stock reserved for future issuance under our ESPP, as more fully described in the section titled “Executive Compensation—Equity Benefit Plans;” and</w:t>
      </w:r>
    </w:p>
    <w:p>
      <w:pPr>
        <w:spacing w:after="0" w:line="22" w:lineRule="exact"/>
        <w:rPr>
          <w:rFonts w:ascii="Times New Roman" w:cs="Times New Roman" w:eastAsia="Times New Roman" w:hAnsi="Times New Roman"/>
          <w:sz w:val="12"/>
          <w:szCs w:val="12"/>
          <w:color w:val="auto"/>
        </w:rPr>
      </w:pPr>
    </w:p>
    <w:p>
      <w:pPr>
        <w:jc w:val="both"/>
        <w:ind w:left="2100" w:right="1719" w:hanging="124"/>
        <w:spacing w:after="0" w:line="272" w:lineRule="auto"/>
        <w:tabs>
          <w:tab w:leader="none" w:pos="21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163,131 shares of our common stock issuable upon the exercise of stock options granted to certain of our directors and officers under our 2024 Plan, which will become effective in connection with this offering, at an exercise price per share equal to the initial public offering price in this offering.</w:t>
      </w:r>
    </w:p>
    <w:p>
      <w:pPr>
        <w:spacing w:after="0" w:line="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Unless otherwise indicated, this prospectus assumes or gives effect to:</w:t>
      </w:r>
    </w:p>
    <w:p>
      <w:pPr>
        <w:spacing w:after="0" w:line="54" w:lineRule="exact"/>
        <w:rPr>
          <w:sz w:val="20"/>
          <w:szCs w:val="20"/>
          <w:color w:val="auto"/>
        </w:rPr>
      </w:pPr>
    </w:p>
    <w:p>
      <w:pPr>
        <w:ind w:left="2100" w:right="2039" w:hanging="124"/>
        <w:spacing w:after="0" w:line="291" w:lineRule="auto"/>
        <w:tabs>
          <w:tab w:leader="none" w:pos="21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1-for-4.675 reverse stock split of our Class A and Class B common stock effected on June 20, 2024;</w:t>
      </w:r>
    </w:p>
    <w:p>
      <w:pPr>
        <w:spacing w:after="0" w:line="4" w:lineRule="exact"/>
        <w:rPr>
          <w:rFonts w:ascii="Times New Roman" w:cs="Times New Roman" w:eastAsia="Times New Roman" w:hAnsi="Times New Roman"/>
          <w:sz w:val="12"/>
          <w:szCs w:val="12"/>
          <w:color w:val="auto"/>
        </w:rPr>
      </w:pPr>
    </w:p>
    <w:p>
      <w:pPr>
        <w:ind w:left="2100" w:right="1719" w:hanging="124"/>
        <w:spacing w:after="0" w:line="291" w:lineRule="auto"/>
        <w:tabs>
          <w:tab w:leader="none" w:pos="21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issuance of 41,264,892 shares of Series C redeemable convertible preferred stock, convertible into 8,826,699 shares of common stock, in May 2024;</w:t>
      </w:r>
    </w:p>
    <w:p>
      <w:pPr>
        <w:spacing w:after="0" w:line="13" w:lineRule="exact"/>
        <w:rPr>
          <w:rFonts w:ascii="Times New Roman" w:cs="Times New Roman" w:eastAsia="Times New Roman" w:hAnsi="Times New Roman"/>
          <w:sz w:val="12"/>
          <w:szCs w:val="12"/>
          <w:color w:val="auto"/>
        </w:rPr>
      </w:pPr>
    </w:p>
    <w:p>
      <w:pPr>
        <w:jc w:val="both"/>
        <w:ind w:left="2100" w:right="1719" w:hanging="124"/>
        <w:spacing w:after="0" w:line="270" w:lineRule="auto"/>
        <w:tabs>
          <w:tab w:leader="none" w:pos="21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automatic conversion of 168,489,871 outstanding shares of our redeemable convertible preferred stock into 28,855,656 shares of our Class A common stock and 7,184,908 shares of our Class B common stock, which will occur immediately prior to the closing of this offering (the Preferred Stock Conversion);</w:t>
      </w:r>
    </w:p>
    <w:p>
      <w:pPr>
        <w:spacing w:after="0" w:line="166" w:lineRule="exact"/>
        <w:rPr>
          <w:rFonts w:ascii="Times New Roman" w:cs="Times New Roman" w:eastAsia="Times New Roman" w:hAnsi="Times New Roman"/>
          <w:sz w:val="12"/>
          <w:szCs w:val="12"/>
          <w:color w:val="auto"/>
        </w:rPr>
      </w:pPr>
    </w:p>
    <w:p>
      <w:pPr>
        <w:jc w:val="both"/>
        <w:ind w:left="2100" w:right="1719" w:hanging="124"/>
        <w:spacing w:after="0" w:line="266" w:lineRule="auto"/>
        <w:tabs>
          <w:tab w:leader="none" w:pos="21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redesignation of all outstanding shares of Class A and Class B common stock (following the Preferred Stock Conversion) into an equivalent number of shares of common stock and non-voting common stock, respectively, which will occur immediately prior to the completion of this offering (the Common Stock Reclassification);</w:t>
      </w:r>
    </w:p>
    <w:p>
      <w:pPr>
        <w:spacing w:after="0" w:line="20" w:lineRule="exact"/>
        <w:rPr>
          <w:rFonts w:ascii="Times New Roman" w:cs="Times New Roman" w:eastAsia="Times New Roman" w:hAnsi="Times New Roman"/>
          <w:sz w:val="12"/>
          <w:szCs w:val="12"/>
          <w:color w:val="auto"/>
        </w:rPr>
      </w:pPr>
    </w:p>
    <w:p>
      <w:pPr>
        <w:jc w:val="both"/>
        <w:ind w:left="2100" w:right="1719" w:hanging="124"/>
        <w:spacing w:after="0" w:line="283" w:lineRule="auto"/>
        <w:tabs>
          <w:tab w:leader="none" w:pos="21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redesignation of all shares of Class A common stock underlying outstanding options under our 2021 Plan into shares of common stock, which will occur immediately prior to the completion of this offering;</w:t>
      </w:r>
    </w:p>
    <w:p>
      <w:pPr>
        <w:spacing w:after="0" w:line="169" w:lineRule="exact"/>
        <w:rPr>
          <w:rFonts w:ascii="Times New Roman" w:cs="Times New Roman" w:eastAsia="Times New Roman" w:hAnsi="Times New Roman"/>
          <w:sz w:val="12"/>
          <w:szCs w:val="12"/>
          <w:color w:val="auto"/>
        </w:rPr>
      </w:pPr>
    </w:p>
    <w:p>
      <w:pPr>
        <w:ind w:left="2100" w:hanging="124"/>
        <w:spacing w:after="0"/>
        <w:tabs>
          <w:tab w:leader="none" w:pos="21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exercise of outstanding stock options referred to above;</w:t>
      </w:r>
    </w:p>
    <w:p>
      <w:pPr>
        <w:spacing w:after="0" w:line="54" w:lineRule="exact"/>
        <w:rPr>
          <w:rFonts w:ascii="Times New Roman" w:cs="Times New Roman" w:eastAsia="Times New Roman" w:hAnsi="Times New Roman"/>
          <w:sz w:val="12"/>
          <w:szCs w:val="12"/>
          <w:color w:val="auto"/>
        </w:rPr>
      </w:pPr>
    </w:p>
    <w:p>
      <w:pPr>
        <w:ind w:left="2100" w:right="1719" w:hanging="124"/>
        <w:spacing w:after="0" w:line="291" w:lineRule="auto"/>
        <w:tabs>
          <w:tab w:leader="none" w:pos="21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repurchases by us of 275,295 shares of outstanding unvested restricted common stock subsequent to March 31, 2024;</w:t>
      </w:r>
    </w:p>
    <w:p>
      <w:pPr>
        <w:spacing w:after="0" w:line="4" w:lineRule="exact"/>
        <w:rPr>
          <w:rFonts w:ascii="Times New Roman" w:cs="Times New Roman" w:eastAsia="Times New Roman" w:hAnsi="Times New Roman"/>
          <w:sz w:val="12"/>
          <w:szCs w:val="12"/>
          <w:color w:val="auto"/>
        </w:rPr>
      </w:pPr>
    </w:p>
    <w:p>
      <w:pPr>
        <w:ind w:left="2100" w:hanging="124"/>
        <w:spacing w:after="0"/>
        <w:tabs>
          <w:tab w:leader="none" w:pos="21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exercise by the underwriters of their over-allotment option;</w:t>
      </w:r>
    </w:p>
    <w:p>
      <w:pPr>
        <w:spacing w:after="0" w:line="63" w:lineRule="exact"/>
        <w:rPr>
          <w:rFonts w:ascii="Times New Roman" w:cs="Times New Roman" w:eastAsia="Times New Roman" w:hAnsi="Times New Roman"/>
          <w:sz w:val="12"/>
          <w:szCs w:val="12"/>
          <w:color w:val="auto"/>
        </w:rPr>
      </w:pPr>
    </w:p>
    <w:p>
      <w:pPr>
        <w:ind w:left="2100" w:hanging="124"/>
        <w:spacing w:after="0"/>
        <w:tabs>
          <w:tab w:leader="none" w:pos="21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purchases of shares of our common stock in this offering by our existing stockholders;</w:t>
      </w:r>
    </w:p>
    <w:p>
      <w:pPr>
        <w:spacing w:after="0" w:line="54" w:lineRule="exact"/>
        <w:rPr>
          <w:rFonts w:ascii="Times New Roman" w:cs="Times New Roman" w:eastAsia="Times New Roman" w:hAnsi="Times New Roman"/>
          <w:sz w:val="12"/>
          <w:szCs w:val="12"/>
          <w:color w:val="auto"/>
        </w:rPr>
      </w:pPr>
    </w:p>
    <w:p>
      <w:pPr>
        <w:ind w:left="2100" w:right="1719" w:hanging="124"/>
        <w:spacing w:after="0" w:line="291" w:lineRule="auto"/>
        <w:tabs>
          <w:tab w:leader="none" w:pos="21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assumed initial public offering price of $17.00 per share, which is the midpoint of the estimated price range set forth on the cover page of this prospectus; and</w:t>
      </w:r>
    </w:p>
    <w:p>
      <w:pPr>
        <w:spacing w:after="0" w:line="31" w:lineRule="exact"/>
        <w:rPr>
          <w:rFonts w:ascii="Times New Roman" w:cs="Times New Roman" w:eastAsia="Times New Roman" w:hAnsi="Times New Roman"/>
          <w:sz w:val="12"/>
          <w:szCs w:val="12"/>
          <w:color w:val="auto"/>
        </w:rPr>
      </w:pPr>
    </w:p>
    <w:p>
      <w:pPr>
        <w:jc w:val="both"/>
        <w:ind w:left="2100" w:right="1719" w:hanging="124"/>
        <w:spacing w:after="0" w:line="272" w:lineRule="auto"/>
        <w:tabs>
          <w:tab w:leader="none" w:pos="21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filing and effectiveness of our amended and restated certificate of incorporation and the effectiveness of our amended and restated bylaws, each of which will occur immediately prior to the completion of this offering.</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2" w:name="page13"/>
    <w:bookmarkEnd w:id="12"/>
    <w:p>
      <w:pPr>
        <w:ind w:left="8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219710</wp:posOffset>
            </wp:positionV>
            <wp:extent cx="3746500" cy="5403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46500" cy="540385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Summary Consolidated Financial Data</w:t>
      </w:r>
    </w:p>
    <w:p>
      <w:pPr>
        <w:spacing w:after="0" w:line="111" w:lineRule="exact"/>
        <w:rPr>
          <w:sz w:val="20"/>
          <w:szCs w:val="20"/>
          <w:color w:val="auto"/>
        </w:rPr>
      </w:pPr>
    </w:p>
    <w:p>
      <w:pPr>
        <w:jc w:val="both"/>
        <w:ind w:left="1740" w:right="1719"/>
        <w:spacing w:after="0" w:line="257" w:lineRule="auto"/>
        <w:rPr>
          <w:sz w:val="20"/>
          <w:szCs w:val="20"/>
          <w:color w:val="auto"/>
        </w:rPr>
      </w:pPr>
      <w:r>
        <w:rPr>
          <w:rFonts w:ascii="Times New Roman" w:cs="Times New Roman" w:eastAsia="Times New Roman" w:hAnsi="Times New Roman"/>
          <w:sz w:val="12"/>
          <w:szCs w:val="12"/>
          <w:color w:val="auto"/>
        </w:rPr>
        <w:t>The following tables set forth our summary consolidated financial data for the periods and as of the dates indicated. The following summary consolidated statements of operations data for the years ended December 31, 2022 and 2023 have been derived from our audited consolidated financial statements included elsewhere in this prospectus. The following summary interim condensed consolidated statements of operations data for the three months ended March 31, 2023 and 2024, and the summary interim condensed consolidated balance sheet data as of March 31, 2024, have been derived from our unaudited interim condensed consolidated financial statements included elsewhere in this prospectus. Our audited consolidated financial statements and unaudited interim condensed consolidated financial statements included elsewhere in this prospectus have been prepared in accordance with U.S. generally accepted accounting principles (U.S. GAAP). Our unaudited interim condensed consolidated financial statements were prepared on a basis consistent with our audited consolidated financial statements and include, in our opinion, all adjustments of a normal and recurring nature that are necessary for the fair statement of the financial information set forth in those statements included elsewhere in this prospectus. Our historical results are not necessarily indicative of the results that may be expected for any period in the future and results for the three months ended March 31, 2024 are not necessarily indicative of results to be expected for the year ending December 31, 2024.</w:t>
      </w:r>
    </w:p>
    <w:p>
      <w:pPr>
        <w:spacing w:after="0" w:line="229" w:lineRule="exact"/>
        <w:rPr>
          <w:sz w:val="20"/>
          <w:szCs w:val="20"/>
          <w:color w:val="auto"/>
        </w:rPr>
      </w:pPr>
    </w:p>
    <w:p>
      <w:pPr>
        <w:jc w:val="both"/>
        <w:ind w:left="1740" w:right="1719"/>
        <w:spacing w:after="0" w:line="263" w:lineRule="auto"/>
        <w:rPr>
          <w:sz w:val="20"/>
          <w:szCs w:val="20"/>
          <w:color w:val="auto"/>
        </w:rPr>
      </w:pPr>
      <w:r>
        <w:rPr>
          <w:rFonts w:ascii="Times New Roman" w:cs="Times New Roman" w:eastAsia="Times New Roman" w:hAnsi="Times New Roman"/>
          <w:sz w:val="12"/>
          <w:szCs w:val="12"/>
          <w:color w:val="auto"/>
        </w:rPr>
        <w:t>You should read the following summary consolidated financial data together with the section titled “Management’s Discussion and Analysis of Financial Condition and Results of Operations” and our audited consolidated financial statements and unaudited interim condensed consolidated financial statements and the related notes included elsewhere in this prospectus. The summary consolidated financial data included in this section are not intended to replace the consolidated financial statements and the related notes included elsewhere in this prospectus.</w:t>
      </w:r>
    </w:p>
    <w:p>
      <w:pPr>
        <w:spacing w:after="0" w:line="233"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6"/>
          </w:tcPr>
          <w:p>
            <w:pPr>
              <w:ind w:left="24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w w:val="94"/>
              </w:rPr>
              <w:t>Three Months Ended</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80" w:type="dxa"/>
            <w:vAlign w:val="bottom"/>
            <w:tcBorders>
              <w:bottom w:val="single" w:sz="8" w:color="auto"/>
            </w:tcBorders>
          </w:tcPr>
          <w:p>
            <w:pPr>
              <w:spacing w:after="0"/>
              <w:rPr>
                <w:sz w:val="12"/>
                <w:szCs w:val="12"/>
                <w:color w:val="auto"/>
              </w:rPr>
            </w:pP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0"/>
                <w:szCs w:val="10"/>
                <w:b w:val="1"/>
                <w:bCs w:val="1"/>
                <w:color w:val="auto"/>
              </w:rPr>
              <w:t>​ ​</w:t>
            </w: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4"/>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0"/>
                <w:szCs w:val="10"/>
                <w:b w:val="1"/>
                <w:bCs w:val="1"/>
                <w:color w:val="auto"/>
              </w:rPr>
              <w:t>​ ​</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Borders>
              <w:bottom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4"/>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Consolidated Statements of Operations Data:</w:t>
            </w:r>
          </w:p>
        </w:tc>
        <w:tc>
          <w:tcPr>
            <w:tcW w:w="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120" w:type="dxa"/>
            <w:vAlign w:val="bottom"/>
          </w:tcPr>
          <w:p>
            <w:pPr>
              <w:spacing w:after="0"/>
              <w:rPr>
                <w:sz w:val="13"/>
                <w:szCs w:val="13"/>
                <w:color w:val="auto"/>
              </w:rPr>
            </w:pPr>
          </w:p>
        </w:tc>
        <w:tc>
          <w:tcPr>
            <w:tcW w:w="2240" w:type="dxa"/>
            <w:vAlign w:val="bottom"/>
            <w:gridSpan w:val="14"/>
          </w:tcPr>
          <w:p>
            <w:pPr>
              <w:ind w:left="220"/>
              <w:spacing w:after="0"/>
              <w:rPr>
                <w:sz w:val="20"/>
                <w:szCs w:val="20"/>
                <w:color w:val="auto"/>
              </w:rPr>
            </w:pPr>
            <w:r>
              <w:rPr>
                <w:rFonts w:ascii="Times New Roman" w:cs="Times New Roman" w:eastAsia="Times New Roman" w:hAnsi="Times New Roman"/>
                <w:sz w:val="10"/>
                <w:szCs w:val="10"/>
                <w:b w:val="1"/>
                <w:bCs w:val="1"/>
                <w:color w:val="auto"/>
                <w:w w:val="99"/>
              </w:rPr>
              <w:t>(in thousands, except share and per share data)</w:t>
            </w:r>
          </w:p>
        </w:tc>
        <w:tc>
          <w:tcPr>
            <w:tcW w:w="18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74"/>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Operating expenses: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2"/>
        </w:trPr>
        <w:tc>
          <w:tcPr>
            <w:tcW w:w="2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Research and development expenses, including related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9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party expenses of $1,570 and $1,519 for the years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ended December 31, 2022 and 2023, respectively, 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related party expenses of $325 and $421 for the three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9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months ended March 31, 2023 and 2024, respectively</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101,304​​​​$</w:t>
            </w:r>
          </w:p>
        </w:tc>
        <w:tc>
          <w:tcPr>
            <w:tcW w:w="8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137,676​​​​$</w:t>
            </w:r>
          </w:p>
        </w:tc>
        <w:tc>
          <w:tcPr>
            <w:tcW w:w="80" w:type="dxa"/>
            <w:vAlign w:val="bottom"/>
          </w:tcPr>
          <w:p>
            <w:pPr>
              <w:spacing w:after="0"/>
              <w:rPr>
                <w:sz w:val="14"/>
                <w:szCs w:val="14"/>
                <w:color w:val="auto"/>
              </w:rPr>
            </w:pPr>
          </w:p>
        </w:tc>
        <w:tc>
          <w:tcPr>
            <w:tcW w:w="680" w:type="dxa"/>
            <w:vAlign w:val="bottom"/>
            <w:gridSpan w:val="4"/>
          </w:tcPr>
          <w:p>
            <w:pPr>
              <w:jc w:val="right"/>
              <w:ind w:right="42"/>
              <w:spacing w:after="0"/>
              <w:rPr>
                <w:sz w:val="20"/>
                <w:szCs w:val="20"/>
                <w:color w:val="auto"/>
              </w:rPr>
            </w:pPr>
            <w:r>
              <w:rPr>
                <w:rFonts w:ascii="Times New Roman" w:cs="Times New Roman" w:eastAsia="Times New Roman" w:hAnsi="Times New Roman"/>
                <w:sz w:val="12"/>
                <w:szCs w:val="12"/>
                <w:color w:val="auto"/>
              </w:rPr>
              <w:t>32,435​​​​$</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41,961​</w:t>
            </w:r>
          </w:p>
        </w:tc>
        <w:tc>
          <w:tcPr>
            <w:tcW w:w="0" w:type="dxa"/>
            <w:vAlign w:val="bottom"/>
          </w:tcPr>
          <w:p>
            <w:pPr>
              <w:spacing w:after="0"/>
              <w:rPr>
                <w:sz w:val="1"/>
                <w:szCs w:val="1"/>
                <w:color w:val="auto"/>
              </w:rPr>
            </w:pPr>
          </w:p>
        </w:tc>
      </w:tr>
      <w:tr>
        <w:trPr>
          <w:trHeight w:val="18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2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680" w:type="dxa"/>
            <w:vAlign w:val="bottom"/>
            <w:gridSpan w:val="5"/>
            <w:shd w:val="clear" w:color="auto" w:fill="CCEEFF"/>
          </w:tcPr>
          <w:p>
            <w:pPr>
              <w:jc w:val="right"/>
              <w:spacing w:after="0" w:line="184" w:lineRule="exact"/>
              <w:rPr>
                <w:sz w:val="20"/>
                <w:szCs w:val="20"/>
                <w:color w:val="auto"/>
              </w:rPr>
            </w:pPr>
            <w:r>
              <w:rPr>
                <w:rFonts w:ascii="Times New Roman" w:cs="Times New Roman" w:eastAsia="Times New Roman" w:hAnsi="Times New Roman"/>
                <w:sz w:val="11"/>
                <w:szCs w:val="11"/>
                <w:color w:val="auto"/>
              </w:rPr>
              <w:t>12,546</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660" w:type="dxa"/>
            <w:vAlign w:val="bottom"/>
            <w:gridSpan w:val="4"/>
            <w:shd w:val="clear" w:color="auto" w:fill="CCEEFF"/>
          </w:tcPr>
          <w:p>
            <w:pPr>
              <w:jc w:val="right"/>
              <w:spacing w:after="0" w:line="184" w:lineRule="exact"/>
              <w:rPr>
                <w:sz w:val="20"/>
                <w:szCs w:val="20"/>
                <w:color w:val="auto"/>
              </w:rPr>
            </w:pPr>
            <w:r>
              <w:rPr>
                <w:rFonts w:ascii="Times New Roman" w:cs="Times New Roman" w:eastAsia="Times New Roman" w:hAnsi="Times New Roman"/>
                <w:sz w:val="11"/>
                <w:szCs w:val="11"/>
                <w:color w:val="auto"/>
              </w:rPr>
              <w:t>20,498</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680" w:type="dxa"/>
            <w:vAlign w:val="bottom"/>
            <w:gridSpan w:val="4"/>
            <w:shd w:val="clear" w:color="auto" w:fill="CCEEFF"/>
          </w:tcPr>
          <w:p>
            <w:pPr>
              <w:jc w:val="right"/>
              <w:ind w:right="2"/>
              <w:spacing w:after="0" w:line="184" w:lineRule="exact"/>
              <w:rPr>
                <w:sz w:val="20"/>
                <w:szCs w:val="20"/>
                <w:color w:val="auto"/>
              </w:rPr>
            </w:pPr>
            <w:r>
              <w:rPr>
                <w:rFonts w:ascii="Times New Roman" w:cs="Times New Roman" w:eastAsia="Times New Roman" w:hAnsi="Times New Roman"/>
                <w:sz w:val="11"/>
                <w:szCs w:val="11"/>
                <w:color w:val="auto"/>
              </w:rPr>
              <w:t>4,225</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5,632</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Total operating expenses</w:t>
            </w:r>
          </w:p>
        </w:tc>
        <w:tc>
          <w:tcPr>
            <w:tcW w:w="22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680" w:type="dxa"/>
            <w:vAlign w:val="bottom"/>
            <w:gridSpan w:val="5"/>
          </w:tcPr>
          <w:p>
            <w:pPr>
              <w:jc w:val="right"/>
              <w:spacing w:after="0" w:line="173" w:lineRule="exact"/>
              <w:rPr>
                <w:sz w:val="20"/>
                <w:szCs w:val="20"/>
                <w:color w:val="auto"/>
              </w:rPr>
            </w:pPr>
            <w:r>
              <w:rPr>
                <w:rFonts w:ascii="Times New Roman" w:cs="Times New Roman" w:eastAsia="Times New Roman" w:hAnsi="Times New Roman"/>
                <w:sz w:val="10"/>
                <w:szCs w:val="10"/>
                <w:color w:val="auto"/>
              </w:rPr>
              <w:t>113,850</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w:t>
            </w:r>
          </w:p>
        </w:tc>
        <w:tc>
          <w:tcPr>
            <w:tcW w:w="660" w:type="dxa"/>
            <w:vAlign w:val="bottom"/>
            <w:gridSpan w:val="4"/>
          </w:tcPr>
          <w:p>
            <w:pPr>
              <w:jc w:val="right"/>
              <w:spacing w:after="0" w:line="173" w:lineRule="exact"/>
              <w:rPr>
                <w:sz w:val="20"/>
                <w:szCs w:val="20"/>
                <w:color w:val="auto"/>
              </w:rPr>
            </w:pPr>
            <w:r>
              <w:rPr>
                <w:rFonts w:ascii="Times New Roman" w:cs="Times New Roman" w:eastAsia="Times New Roman" w:hAnsi="Times New Roman"/>
                <w:sz w:val="10"/>
                <w:szCs w:val="10"/>
                <w:color w:val="auto"/>
              </w:rPr>
              <w:t>158,174</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w:t>
            </w:r>
          </w:p>
        </w:tc>
        <w:tc>
          <w:tcPr>
            <w:tcW w:w="680" w:type="dxa"/>
            <w:vAlign w:val="bottom"/>
            <w:gridSpan w:val="4"/>
          </w:tcPr>
          <w:p>
            <w:pPr>
              <w:jc w:val="right"/>
              <w:ind w:right="2"/>
              <w:spacing w:after="0" w:line="173" w:lineRule="exact"/>
              <w:rPr>
                <w:sz w:val="20"/>
                <w:szCs w:val="20"/>
                <w:color w:val="auto"/>
              </w:rPr>
            </w:pPr>
            <w:r>
              <w:rPr>
                <w:rFonts w:ascii="Times New Roman" w:cs="Times New Roman" w:eastAsia="Times New Roman" w:hAnsi="Times New Roman"/>
                <w:sz w:val="10"/>
                <w:szCs w:val="10"/>
                <w:color w:val="auto"/>
              </w:rPr>
              <w:t>36,660</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w:t>
            </w:r>
          </w:p>
        </w:tc>
        <w:tc>
          <w:tcPr>
            <w:tcW w:w="440" w:type="dxa"/>
            <w:vAlign w:val="bottom"/>
            <w:gridSpan w:val="3"/>
          </w:tcPr>
          <w:p>
            <w:pPr>
              <w:jc w:val="right"/>
              <w:spacing w:after="0" w:line="173" w:lineRule="exact"/>
              <w:rPr>
                <w:sz w:val="20"/>
                <w:szCs w:val="20"/>
                <w:color w:val="auto"/>
              </w:rPr>
            </w:pPr>
            <w:r>
              <w:rPr>
                <w:rFonts w:ascii="Times New Roman" w:cs="Times New Roman" w:eastAsia="Times New Roman" w:hAnsi="Times New Roman"/>
                <w:sz w:val="10"/>
                <w:szCs w:val="10"/>
                <w:color w:val="auto"/>
              </w:rPr>
              <w:t>47,593</w:t>
            </w:r>
            <w:r>
              <w:rPr>
                <w:rFonts w:ascii="Times New Roman" w:cs="Times New Roman" w:eastAsia="Times New Roman" w:hAnsi="Times New Roman"/>
                <w:sz w:val="19"/>
                <w:szCs w:val="19"/>
                <w:color w:val="auto"/>
                <w:vertAlign w:val="subscript"/>
              </w:rPr>
              <w:t>​</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Loss from operations</w:t>
            </w:r>
          </w:p>
        </w:tc>
        <w:tc>
          <w:tcPr>
            <w:tcW w:w="8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(113,850​​​​)</w:t>
            </w:r>
          </w:p>
        </w:tc>
        <w:tc>
          <w:tcPr>
            <w:tcW w:w="6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(158,174​​​​)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(36,660​​​​) ​  (47,593</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74"/>
        </w:trPr>
        <w:tc>
          <w:tcPr>
            <w:tcW w:w="2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income (expense):</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Interest income</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1,992​​​​ ​</w:t>
            </w: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3,368​​​​ ​</w:t>
            </w:r>
          </w:p>
        </w:tc>
        <w:tc>
          <w:tcPr>
            <w:tcW w:w="24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645​​​​ ​</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8"/>
              </w:rPr>
              <w:t>854</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29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 in fair value of derivative liability</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260" w:type="dxa"/>
            <w:vAlign w:val="bottom"/>
          </w:tcPr>
          <w:p>
            <w:pPr>
              <w:spacing w:after="0"/>
              <w:rPr>
                <w:sz w:val="15"/>
                <w:szCs w:val="15"/>
                <w:color w:val="auto"/>
              </w:rPr>
            </w:pP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440" w:type="dxa"/>
            <w:vAlign w:val="bottom"/>
            <w:gridSpan w:val="3"/>
          </w:tcPr>
          <w:p>
            <w:pPr>
              <w:jc w:val="right"/>
              <w:ind w:right="2"/>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(3,095​)</w:t>
            </w:r>
          </w:p>
        </w:tc>
        <w:tc>
          <w:tcPr>
            <w:tcW w:w="0" w:type="dxa"/>
            <w:vAlign w:val="bottom"/>
          </w:tcPr>
          <w:p>
            <w:pPr>
              <w:spacing w:after="0"/>
              <w:rPr>
                <w:sz w:val="1"/>
                <w:szCs w:val="1"/>
                <w:color w:val="auto"/>
              </w:rPr>
            </w:pPr>
          </w:p>
        </w:tc>
      </w:tr>
      <w:tr>
        <w:trPr>
          <w:trHeight w:val="137"/>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income (expenses), net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(72)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340" w:type="dxa"/>
            <w:vAlign w:val="bottom"/>
            <w:tcBorders>
              <w:right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w w:val="99"/>
              </w:rPr>
              <w:t>(68)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(12)</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9"/>
              </w:rPr>
              <w:t>(15)</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46"/>
        </w:trPr>
        <w:tc>
          <w:tcPr>
            <w:tcW w:w="2940" w:type="dxa"/>
            <w:vAlign w:val="bottom"/>
            <w:shd w:val="clear" w:color="auto" w:fill="CCEEFF"/>
          </w:tcPr>
          <w:p>
            <w:pPr>
              <w:spacing w:after="0"/>
              <w:rPr>
                <w:sz w:val="3"/>
                <w:szCs w:val="3"/>
                <w:color w:val="auto"/>
              </w:rPr>
            </w:pPr>
          </w:p>
        </w:tc>
        <w:tc>
          <w:tcPr>
            <w:tcW w:w="100" w:type="dxa"/>
            <w:vAlign w:val="bottom"/>
            <w:vMerge w:val="continue"/>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gridSpan w:val="2"/>
            <w:shd w:val="clear" w:color="auto" w:fill="CCEEFF"/>
          </w:tcPr>
          <w:p>
            <w:pPr>
              <w:jc w:val="right"/>
              <w:spacing w:after="0" w:line="46" w:lineRule="exact"/>
              <w:rPr>
                <w:sz w:val="20"/>
                <w:szCs w:val="20"/>
                <w:color w:val="auto"/>
              </w:rPr>
            </w:pPr>
            <w:r>
              <w:rPr>
                <w:rFonts w:ascii="Times New Roman" w:cs="Times New Roman" w:eastAsia="Times New Roman" w:hAnsi="Times New Roman"/>
                <w:sz w:val="5"/>
                <w:szCs w:val="5"/>
                <w:color w:val="auto"/>
              </w:rPr>
              <w:t>​​​​</w:t>
            </w: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jc w:val="right"/>
              <w:spacing w:after="0" w:line="46" w:lineRule="exact"/>
              <w:rPr>
                <w:sz w:val="20"/>
                <w:szCs w:val="20"/>
                <w:color w:val="auto"/>
              </w:rPr>
            </w:pPr>
            <w:r>
              <w:rPr>
                <w:rFonts w:ascii="Times New Roman" w:cs="Times New Roman" w:eastAsia="Times New Roman" w:hAnsi="Times New Roman"/>
                <w:sz w:val="5"/>
                <w:szCs w:val="5"/>
                <w:color w:val="auto"/>
              </w:rPr>
              <w:t>​​​​</w:t>
            </w: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gridSpan w:val="2"/>
            <w:shd w:val="clear" w:color="auto" w:fill="CCEEFF"/>
          </w:tcPr>
          <w:p>
            <w:pPr>
              <w:jc w:val="right"/>
              <w:ind w:right="82"/>
              <w:spacing w:after="0" w:line="46" w:lineRule="exact"/>
              <w:rPr>
                <w:sz w:val="20"/>
                <w:szCs w:val="20"/>
                <w:color w:val="auto"/>
              </w:rPr>
            </w:pPr>
            <w:r>
              <w:rPr>
                <w:rFonts w:ascii="Times New Roman" w:cs="Times New Roman" w:eastAsia="Times New Roman" w:hAnsi="Times New Roman"/>
                <w:sz w:val="5"/>
                <w:szCs w:val="5"/>
                <w:color w:val="auto"/>
              </w:rPr>
              <w:t>​​​​</w:t>
            </w:r>
          </w:p>
        </w:tc>
        <w:tc>
          <w:tcPr>
            <w:tcW w:w="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Total other income (expense), net</w:t>
            </w:r>
          </w:p>
        </w:tc>
        <w:tc>
          <w:tcPr>
            <w:tcW w:w="22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680" w:type="dxa"/>
            <w:vAlign w:val="bottom"/>
            <w:gridSpan w:val="5"/>
          </w:tcPr>
          <w:p>
            <w:pPr>
              <w:jc w:val="right"/>
              <w:spacing w:after="0" w:line="173" w:lineRule="exact"/>
              <w:rPr>
                <w:sz w:val="20"/>
                <w:szCs w:val="20"/>
                <w:color w:val="auto"/>
              </w:rPr>
            </w:pPr>
            <w:r>
              <w:rPr>
                <w:rFonts w:ascii="Times New Roman" w:cs="Times New Roman" w:eastAsia="Times New Roman" w:hAnsi="Times New Roman"/>
                <w:sz w:val="10"/>
                <w:szCs w:val="10"/>
                <w:color w:val="auto"/>
              </w:rPr>
              <w:t>1,920</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w:t>
            </w:r>
          </w:p>
        </w:tc>
        <w:tc>
          <w:tcPr>
            <w:tcW w:w="660" w:type="dxa"/>
            <w:vAlign w:val="bottom"/>
            <w:gridSpan w:val="4"/>
          </w:tcPr>
          <w:p>
            <w:pPr>
              <w:jc w:val="right"/>
              <w:spacing w:after="0" w:line="173" w:lineRule="exact"/>
              <w:rPr>
                <w:sz w:val="20"/>
                <w:szCs w:val="20"/>
                <w:color w:val="auto"/>
              </w:rPr>
            </w:pPr>
            <w:r>
              <w:rPr>
                <w:rFonts w:ascii="Times New Roman" w:cs="Times New Roman" w:eastAsia="Times New Roman" w:hAnsi="Times New Roman"/>
                <w:sz w:val="10"/>
                <w:szCs w:val="10"/>
                <w:color w:val="auto"/>
              </w:rPr>
              <w:t>3,181</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w:t>
            </w:r>
          </w:p>
        </w:tc>
        <w:tc>
          <w:tcPr>
            <w:tcW w:w="240" w:type="dxa"/>
            <w:vAlign w:val="bottom"/>
          </w:tcPr>
          <w:p>
            <w:pPr>
              <w:spacing w:after="0"/>
              <w:rPr>
                <w:sz w:val="14"/>
                <w:szCs w:val="14"/>
                <w:color w:val="auto"/>
              </w:rPr>
            </w:pPr>
          </w:p>
        </w:tc>
        <w:tc>
          <w:tcPr>
            <w:tcW w:w="440" w:type="dxa"/>
            <w:vAlign w:val="bottom"/>
            <w:gridSpan w:val="3"/>
          </w:tcPr>
          <w:p>
            <w:pPr>
              <w:jc w:val="right"/>
              <w:ind w:right="2"/>
              <w:spacing w:after="0" w:line="173" w:lineRule="exact"/>
              <w:rPr>
                <w:sz w:val="20"/>
                <w:szCs w:val="20"/>
                <w:color w:val="auto"/>
              </w:rPr>
            </w:pPr>
            <w:r>
              <w:rPr>
                <w:rFonts w:ascii="Times New Roman" w:cs="Times New Roman" w:eastAsia="Times New Roman" w:hAnsi="Times New Roman"/>
                <w:sz w:val="19"/>
                <w:szCs w:val="19"/>
                <w:color w:val="auto"/>
                <w:vertAlign w:val="superscript"/>
              </w:rPr>
              <w:t>633</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40" w:type="dxa"/>
            <w:vAlign w:val="bottom"/>
            <w:gridSpan w:val="3"/>
          </w:tcPr>
          <w:p>
            <w:pPr>
              <w:jc w:val="right"/>
              <w:spacing w:after="0" w:line="173" w:lineRule="exact"/>
              <w:rPr>
                <w:sz w:val="20"/>
                <w:szCs w:val="20"/>
                <w:color w:val="auto"/>
              </w:rPr>
            </w:pPr>
            <w:r>
              <w:rPr>
                <w:rFonts w:ascii="Times New Roman" w:cs="Times New Roman" w:eastAsia="Times New Roman" w:hAnsi="Times New Roman"/>
                <w:sz w:val="10"/>
                <w:szCs w:val="10"/>
                <w:color w:val="auto"/>
              </w:rPr>
              <w:t>(2,256</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94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Net loss</w:t>
            </w:r>
          </w:p>
        </w:tc>
        <w:tc>
          <w:tcPr>
            <w:tcW w:w="10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shd w:val="clear" w:color="auto" w:fill="CCEEFF"/>
          </w:tcPr>
          <w:p>
            <w:pPr>
              <w:jc w:val="right"/>
              <w:ind w:right="20"/>
              <w:spacing w:after="0" w:line="127" w:lineRule="exact"/>
              <w:rPr>
                <w:sz w:val="20"/>
                <w:szCs w:val="20"/>
                <w:color w:val="auto"/>
              </w:rPr>
            </w:pPr>
            <w:r>
              <w:rPr>
                <w:rFonts w:ascii="Times New Roman" w:cs="Times New Roman" w:eastAsia="Times New Roman" w:hAnsi="Times New Roman"/>
                <w:sz w:val="12"/>
                <w:szCs w:val="12"/>
                <w:color w:val="auto"/>
                <w:w w:val="97"/>
              </w:rPr>
              <w:t>(111,930)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right w:val="single" w:sz="8" w:color="CCEEFF"/>
            </w:tcBorders>
            <w:gridSpan w:val="4"/>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(154,993) $</w:t>
            </w:r>
          </w:p>
        </w:tc>
        <w:tc>
          <w:tcPr>
            <w:tcW w:w="8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20"/>
              <w:spacing w:after="0" w:line="127" w:lineRule="exact"/>
              <w:rPr>
                <w:sz w:val="20"/>
                <w:szCs w:val="20"/>
                <w:color w:val="auto"/>
              </w:rPr>
            </w:pPr>
            <w:r>
              <w:rPr>
                <w:rFonts w:ascii="Times New Roman" w:cs="Times New Roman" w:eastAsia="Times New Roman" w:hAnsi="Times New Roman"/>
                <w:sz w:val="12"/>
                <w:szCs w:val="12"/>
                <w:color w:val="auto"/>
              </w:rPr>
              <w:t>(36,027)</w:t>
            </w:r>
          </w:p>
        </w:tc>
        <w:tc>
          <w:tcPr>
            <w:tcW w:w="1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w w:val="92"/>
              </w:rPr>
              <w:t>(49,849)</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66"/>
        </w:trPr>
        <w:tc>
          <w:tcPr>
            <w:tcW w:w="2940" w:type="dxa"/>
            <w:vAlign w:val="bottom"/>
            <w:shd w:val="clear" w:color="auto" w:fill="CCEEFF"/>
          </w:tcPr>
          <w:p>
            <w:pPr>
              <w:spacing w:after="0"/>
              <w:rPr>
                <w:sz w:val="5"/>
                <w:szCs w:val="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rPr>
              <w:t>​​​</w:t>
            </w:r>
          </w:p>
        </w:tc>
        <w:tc>
          <w:tcPr>
            <w:tcW w:w="120" w:type="dxa"/>
            <w:vAlign w:val="bottom"/>
            <w:tcBorders>
              <w:left w:val="single" w:sz="8" w:color="CCEEFF"/>
            </w:tcBorders>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2"/>
                <w:szCs w:val="2"/>
                <w:color w:val="auto"/>
              </w:rPr>
              <w:t>​​​​</w:t>
            </w:r>
          </w:p>
        </w:tc>
        <w:tc>
          <w:tcPr>
            <w:tcW w:w="2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940" w:type="dxa"/>
            <w:vAlign w:val="bottom"/>
            <w:tcBorders>
              <w:top w:val="single" w:sz="8" w:color="CCEEFF"/>
            </w:tcBorders>
          </w:tcPr>
          <w:p>
            <w:pPr>
              <w:ind w:left="20"/>
              <w:spacing w:after="0" w:line="110" w:lineRule="exact"/>
              <w:rPr>
                <w:sz w:val="20"/>
                <w:szCs w:val="20"/>
                <w:color w:val="auto"/>
              </w:rPr>
            </w:pPr>
            <w:r>
              <w:rPr>
                <w:rFonts w:ascii="Times New Roman" w:cs="Times New Roman" w:eastAsia="Times New Roman" w:hAnsi="Times New Roman"/>
                <w:sz w:val="12"/>
                <w:szCs w:val="12"/>
                <w:color w:val="auto"/>
              </w:rPr>
              <w:t>Net loss per share attributable to Class A common</w:t>
            </w:r>
          </w:p>
        </w:tc>
        <w:tc>
          <w:tcPr>
            <w:tcW w:w="10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94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stockholders, basic and diluted</w:t>
            </w:r>
            <w:r>
              <w:rPr>
                <w:rFonts w:ascii="Times New Roman" w:cs="Times New Roman" w:eastAsia="Times New Roman" w:hAnsi="Times New Roman"/>
                <w:sz w:val="15"/>
                <w:szCs w:val="15"/>
                <w:color w:val="auto"/>
                <w:vertAlign w:val="superscript"/>
              </w:rPr>
              <w:t>(1)</w:t>
            </w:r>
          </w:p>
        </w:tc>
        <w:tc>
          <w:tcPr>
            <w:tcW w:w="220" w:type="dxa"/>
            <w:vAlign w:val="bottom"/>
            <w:gridSpan w:val="2"/>
          </w:tcPr>
          <w:p>
            <w:pPr>
              <w:ind w:left="100"/>
              <w:spacing w:after="0" w:line="134"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(69.79)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1"/>
                <w:szCs w:val="11"/>
                <w:color w:val="auto"/>
              </w:rPr>
            </w:pPr>
          </w:p>
        </w:tc>
        <w:tc>
          <w:tcPr>
            <w:tcW w:w="580" w:type="dxa"/>
            <w:vAlign w:val="bottom"/>
            <w:gridSpan w:val="3"/>
          </w:tcPr>
          <w:p>
            <w:pPr>
              <w:jc w:val="right"/>
              <w:spacing w:after="0" w:line="134" w:lineRule="exact"/>
              <w:rPr>
                <w:sz w:val="20"/>
                <w:szCs w:val="20"/>
                <w:color w:val="auto"/>
              </w:rPr>
            </w:pPr>
            <w:r>
              <w:rPr>
                <w:rFonts w:ascii="Times New Roman" w:cs="Times New Roman" w:eastAsia="Times New Roman" w:hAnsi="Times New Roman"/>
                <w:sz w:val="12"/>
                <w:szCs w:val="12"/>
                <w:color w:val="auto"/>
              </w:rPr>
              <w:t>(72.08) $</w:t>
            </w:r>
          </w:p>
        </w:tc>
        <w:tc>
          <w:tcPr>
            <w:tcW w:w="80" w:type="dxa"/>
            <w:vAlign w:val="bottom"/>
          </w:tcPr>
          <w:p>
            <w:pPr>
              <w:spacing w:after="0"/>
              <w:rPr>
                <w:sz w:val="11"/>
                <w:szCs w:val="11"/>
                <w:color w:val="auto"/>
              </w:rPr>
            </w:pPr>
          </w:p>
        </w:tc>
        <w:tc>
          <w:tcPr>
            <w:tcW w:w="520" w:type="dxa"/>
            <w:vAlign w:val="bottom"/>
            <w:gridSpan w:val="3"/>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(18.03)</w:t>
            </w:r>
          </w:p>
        </w:tc>
        <w:tc>
          <w:tcPr>
            <w:tcW w:w="160" w:type="dxa"/>
            <w:vAlign w:val="bottom"/>
          </w:tcPr>
          <w:p>
            <w:pPr>
              <w:jc w:val="right"/>
              <w:ind w:right="4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3"/>
          </w:tcPr>
          <w:p>
            <w:pPr>
              <w:jc w:val="right"/>
              <w:spacing w:after="0" w:line="134" w:lineRule="exact"/>
              <w:rPr>
                <w:sz w:val="20"/>
                <w:szCs w:val="20"/>
                <w:color w:val="auto"/>
              </w:rPr>
            </w:pPr>
            <w:r>
              <w:rPr>
                <w:rFonts w:ascii="Times New Roman" w:cs="Times New Roman" w:eastAsia="Times New Roman" w:hAnsi="Times New Roman"/>
                <w:sz w:val="12"/>
                <w:szCs w:val="12"/>
                <w:color w:val="auto"/>
              </w:rPr>
              <w:t>(21.03)</w:t>
            </w:r>
          </w:p>
        </w:tc>
        <w:tc>
          <w:tcPr>
            <w:tcW w:w="0" w:type="dxa"/>
            <w:vAlign w:val="bottom"/>
          </w:tcPr>
          <w:p>
            <w:pPr>
              <w:spacing w:after="0"/>
              <w:rPr>
                <w:sz w:val="1"/>
                <w:szCs w:val="1"/>
                <w:color w:val="auto"/>
              </w:rPr>
            </w:pPr>
          </w:p>
        </w:tc>
      </w:tr>
      <w:tr>
        <w:trPr>
          <w:trHeight w:val="72"/>
        </w:trPr>
        <w:tc>
          <w:tcPr>
            <w:tcW w:w="2940" w:type="dxa"/>
            <w:vAlign w:val="bottom"/>
          </w:tcPr>
          <w:p>
            <w:pPr>
              <w:spacing w:after="0"/>
              <w:rPr>
                <w:sz w:val="6"/>
                <w:szCs w:val="6"/>
                <w:color w:val="auto"/>
              </w:rPr>
            </w:pPr>
          </w:p>
        </w:tc>
        <w:tc>
          <w:tcPr>
            <w:tcW w:w="100" w:type="dxa"/>
            <w:vAlign w:val="bottom"/>
          </w:tcPr>
          <w:p>
            <w:pPr>
              <w:ind w:left="20"/>
              <w:spacing w:after="0" w:line="55"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gridSpan w:val="2"/>
          </w:tcPr>
          <w:p>
            <w:pPr>
              <w:jc w:val="right"/>
              <w:spacing w:after="0" w:line="55"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gridSpan w:val="2"/>
          </w:tcPr>
          <w:p>
            <w:pPr>
              <w:jc w:val="right"/>
              <w:ind w:right="82"/>
              <w:spacing w:after="0" w:line="55"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14"/>
        </w:trPr>
        <w:tc>
          <w:tcPr>
            <w:tcW w:w="2940" w:type="dxa"/>
            <w:vAlign w:val="bottom"/>
            <w:tcBorders>
              <w:top w:val="single" w:sz="8" w:color="CCEEFF"/>
            </w:tcBorders>
            <w:shd w:val="clear" w:color="auto" w:fill="CCEEFF"/>
          </w:tcPr>
          <w:p>
            <w:pPr>
              <w:ind w:left="20"/>
              <w:spacing w:after="0" w:line="114" w:lineRule="exact"/>
              <w:rPr>
                <w:sz w:val="20"/>
                <w:szCs w:val="20"/>
                <w:color w:val="auto"/>
              </w:rPr>
            </w:pPr>
            <w:r>
              <w:rPr>
                <w:rFonts w:ascii="Times New Roman" w:cs="Times New Roman" w:eastAsia="Times New Roman" w:hAnsi="Times New Roman"/>
                <w:sz w:val="12"/>
                <w:szCs w:val="12"/>
                <w:color w:val="auto"/>
              </w:rPr>
              <w:t>Weighted-average Class A common shares outstanding,</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left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basic and diluted</w:t>
            </w:r>
            <w:r>
              <w:rPr>
                <w:rFonts w:ascii="Times New Roman" w:cs="Times New Roman" w:eastAsia="Times New Roman" w:hAnsi="Times New Roman"/>
                <w:sz w:val="15"/>
                <w:szCs w:val="15"/>
                <w:color w:val="auto"/>
                <w:vertAlign w:val="superscript"/>
              </w:rPr>
              <w:t>(1)</w:t>
            </w:r>
          </w:p>
        </w:tc>
        <w:tc>
          <w:tcPr>
            <w:tcW w:w="2640" w:type="dxa"/>
            <w:vAlign w:val="bottom"/>
            <w:gridSpan w:val="17"/>
            <w:shd w:val="clear" w:color="auto" w:fill="CCEEFF"/>
          </w:tcPr>
          <w:p>
            <w:pPr>
              <w:ind w:left="20"/>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​1,603,766</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​2,150,186</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​1,997,832</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​2,370,051</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7"/>
        </w:trPr>
        <w:tc>
          <w:tcPr>
            <w:tcW w:w="2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left w:val="single" w:sz="8" w:color="auto"/>
            </w:tcBorders>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6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3" w:name="page14"/>
    <w:bookmarkEnd w:id="13"/>
    <w:p>
      <w:pPr>
        <w:ind w:left="860"/>
        <w:spacing w:after="0"/>
        <w:rPr>
          <w:sz w:val="20"/>
          <w:szCs w:val="20"/>
          <w:color w:val="auto"/>
        </w:rPr>
      </w:pPr>
      <w:r>
        <w:rPr>
          <w:rFonts w:ascii="Calibri" w:cs="Calibri" w:eastAsia="Calibri" w:hAnsi="Calibri"/>
          <w:sz w:val="9"/>
          <w:szCs w:val="9"/>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223520</wp:posOffset>
            </wp:positionV>
            <wp:extent cx="3746500" cy="54502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46500" cy="545020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5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3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0"/>
          <w:szCs w:val="10"/>
          <w:b w:val="1"/>
          <w:bCs w:val="1"/>
          <w:color w:val="auto"/>
        </w:rPr>
        <w:t>Consolidated Statements of Operations Data:</w:t>
      </w:r>
    </w:p>
    <w:p>
      <w:pPr>
        <w:spacing w:after="0" w:line="17" w:lineRule="exact"/>
        <w:rPr>
          <w:sz w:val="20"/>
          <w:szCs w:val="20"/>
          <w:color w:val="auto"/>
        </w:rPr>
      </w:pPr>
    </w:p>
    <w:p>
      <w:pPr>
        <w:ind w:left="1860" w:hanging="121"/>
        <w:spacing w:after="0" w:line="272" w:lineRule="auto"/>
        <w:rPr>
          <w:sz w:val="20"/>
          <w:szCs w:val="20"/>
          <w:color w:val="auto"/>
        </w:rPr>
      </w:pPr>
      <w:r>
        <w:rPr>
          <w:rFonts w:ascii="Times New Roman" w:cs="Times New Roman" w:eastAsia="Times New Roman" w:hAnsi="Times New Roman"/>
          <w:sz w:val="12"/>
          <w:szCs w:val="12"/>
          <w:color w:val="auto"/>
        </w:rPr>
        <w:t>Pro forma net loss per share attributable to common stockholders, basic and diluted (unaudited)</w:t>
      </w:r>
      <w:r>
        <w:rPr>
          <w:rFonts w:ascii="Times New Roman" w:cs="Times New Roman" w:eastAsia="Times New Roman" w:hAnsi="Times New Roman"/>
          <w:sz w:val="15"/>
          <w:szCs w:val="15"/>
          <w:color w:val="auto"/>
          <w:vertAlign w:val="superscript"/>
        </w:rPr>
        <w:t>(2)</w:t>
      </w:r>
    </w:p>
    <w:p>
      <w:pPr>
        <w:spacing w:after="0" w:line="1" w:lineRule="exact"/>
        <w:rPr>
          <w:sz w:val="20"/>
          <w:szCs w:val="20"/>
          <w:color w:val="auto"/>
        </w:rPr>
      </w:pPr>
    </w:p>
    <w:p>
      <w:pPr>
        <w:ind w:left="1860" w:right="280" w:hanging="121"/>
        <w:spacing w:after="0" w:line="280" w:lineRule="auto"/>
        <w:rPr>
          <w:sz w:val="20"/>
          <w:szCs w:val="20"/>
          <w:color w:val="auto"/>
        </w:rPr>
      </w:pPr>
      <w:r>
        <w:rPr>
          <w:rFonts w:ascii="Times New Roman" w:cs="Times New Roman" w:eastAsia="Times New Roman" w:hAnsi="Times New Roman"/>
          <w:sz w:val="12"/>
          <w:szCs w:val="12"/>
          <w:color w:val="auto"/>
        </w:rPr>
        <w:t>Pro forma weighted-average common shares outstanding, basic and diluted (unaudited)</w:t>
      </w:r>
      <w:r>
        <w:rPr>
          <w:rFonts w:ascii="Times New Roman" w:cs="Times New Roman" w:eastAsia="Times New Roman" w:hAnsi="Times New Roman"/>
          <w:sz w:val="15"/>
          <w:szCs w:val="15"/>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gridSpan w:val="3"/>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89"/>
              </w:rPr>
              <w:t>Year Ended</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5"/>
          </w:tcPr>
          <w:p>
            <w:pPr>
              <w:jc w:val="right"/>
              <w:ind w:right="165"/>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860" w:type="dxa"/>
            <w:vAlign w:val="bottom"/>
            <w:gridSpan w:val="4"/>
          </w:tcPr>
          <w:p>
            <w:pPr>
              <w:jc w:val="center"/>
              <w:ind w:left="185"/>
              <w:spacing w:after="0"/>
              <w:rPr>
                <w:sz w:val="20"/>
                <w:szCs w:val="20"/>
                <w:color w:val="auto"/>
              </w:rPr>
            </w:pPr>
            <w:r>
              <w:rPr>
                <w:rFonts w:ascii="Times New Roman" w:cs="Times New Roman" w:eastAsia="Times New Roman" w:hAnsi="Times New Roman"/>
                <w:sz w:val="10"/>
                <w:szCs w:val="10"/>
                <w:b w:val="1"/>
                <w:bCs w:val="1"/>
                <w:color w:val="auto"/>
                <w:w w:val="92"/>
              </w:rPr>
              <w:t>December 31,</w:t>
            </w:r>
          </w:p>
        </w:tc>
        <w:tc>
          <w:tcPr>
            <w:tcW w:w="300" w:type="dxa"/>
            <w:vAlign w:val="bottom"/>
          </w:tcPr>
          <w:p>
            <w:pPr>
              <w:spacing w:after="0"/>
              <w:rPr>
                <w:sz w:val="12"/>
                <w:szCs w:val="12"/>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 ​</w:t>
            </w:r>
          </w:p>
        </w:tc>
        <w:tc>
          <w:tcPr>
            <w:tcW w:w="300" w:type="dxa"/>
            <w:vAlign w:val="bottom"/>
          </w:tcPr>
          <w:p>
            <w:pPr>
              <w:spacing w:after="0"/>
              <w:rPr>
                <w:sz w:val="12"/>
                <w:szCs w:val="12"/>
                <w:color w:val="auto"/>
              </w:rPr>
            </w:pP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w w:val="91"/>
              </w:rPr>
              <w:t>March 31,</w:t>
            </w:r>
          </w:p>
        </w:tc>
        <w:tc>
          <w:tcPr>
            <w:tcW w:w="420" w:type="dxa"/>
            <w:vAlign w:val="bottom"/>
          </w:tcPr>
          <w:p>
            <w:pPr>
              <w:spacing w:after="0"/>
              <w:rPr>
                <w:sz w:val="12"/>
                <w:szCs w:val="12"/>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8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 ​</w:t>
            </w:r>
          </w:p>
        </w:tc>
        <w:tc>
          <w:tcPr>
            <w:tcW w:w="480" w:type="dxa"/>
            <w:vAlign w:val="bottom"/>
            <w:gridSpan w:val="2"/>
          </w:tcPr>
          <w:p>
            <w:pPr>
              <w:jc w:val="right"/>
              <w:ind w:right="159"/>
              <w:spacing w:after="0"/>
              <w:rPr>
                <w:sz w:val="20"/>
                <w:szCs w:val="20"/>
                <w:color w:val="auto"/>
              </w:rPr>
            </w:pPr>
            <w:r>
              <w:rPr>
                <w:rFonts w:ascii="Times New Roman" w:cs="Times New Roman" w:eastAsia="Times New Roman" w:hAnsi="Times New Roman"/>
                <w:sz w:val="10"/>
                <w:szCs w:val="10"/>
                <w:b w:val="1"/>
                <w:bCs w:val="1"/>
                <w:color w:val="auto"/>
              </w:rPr>
              <w:t>2023</w:t>
            </w: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2023</w:t>
            </w:r>
          </w:p>
        </w:tc>
        <w:tc>
          <w:tcPr>
            <w:tcW w:w="440" w:type="dxa"/>
            <w:vAlign w:val="bottom"/>
            <w:gridSpan w:val="3"/>
          </w:tcPr>
          <w:p>
            <w:pPr>
              <w:ind w:left="160"/>
              <w:spacing w:after="0"/>
              <w:rPr>
                <w:sz w:val="20"/>
                <w:szCs w:val="20"/>
                <w:color w:val="auto"/>
              </w:rPr>
            </w:pPr>
            <w:r>
              <w:rPr>
                <w:rFonts w:ascii="Times New Roman" w:cs="Times New Roman" w:eastAsia="Times New Roman" w:hAnsi="Times New Roman"/>
                <w:sz w:val="10"/>
                <w:szCs w:val="10"/>
                <w:b w:val="1"/>
                <w:bCs w:val="1"/>
                <w:color w:val="auto"/>
              </w:rPr>
              <w:t>​ ​</w:t>
            </w:r>
          </w:p>
        </w:tc>
        <w:tc>
          <w:tcPr>
            <w:tcW w:w="420" w:type="dxa"/>
            <w:vAlign w:val="bottom"/>
          </w:tcPr>
          <w:p>
            <w:pPr>
              <w:jc w:val="right"/>
              <w:ind w:right="165"/>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27"/>
        </w:trPr>
        <w:tc>
          <w:tcPr>
            <w:tcW w:w="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40" w:type="dxa"/>
            <w:vAlign w:val="bottom"/>
            <w:tcBorders>
              <w:top w:val="single" w:sz="8" w:color="auto"/>
            </w:tcBorders>
            <w:gridSpan w:val="11"/>
          </w:tcPr>
          <w:p>
            <w:pPr>
              <w:jc w:val="center"/>
              <w:ind w:right="305"/>
              <w:spacing w:after="0"/>
              <w:rPr>
                <w:sz w:val="20"/>
                <w:szCs w:val="20"/>
                <w:color w:val="auto"/>
              </w:rPr>
            </w:pPr>
            <w:r>
              <w:rPr>
                <w:rFonts w:ascii="Times New Roman" w:cs="Times New Roman" w:eastAsia="Times New Roman" w:hAnsi="Times New Roman"/>
                <w:sz w:val="10"/>
                <w:szCs w:val="10"/>
                <w:b w:val="1"/>
                <w:bCs w:val="1"/>
                <w:color w:val="auto"/>
                <w:w w:val="93"/>
              </w:rPr>
              <w:t>(in thousands, except share and per share data)</w:t>
            </w:r>
          </w:p>
        </w:tc>
        <w:tc>
          <w:tcPr>
            <w:tcW w:w="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74"/>
        </w:trPr>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3"/>
                <w:szCs w:val="23"/>
                <w:color w:val="auto"/>
              </w:rPr>
            </w:pPr>
          </w:p>
        </w:tc>
        <w:tc>
          <w:tcPr>
            <w:tcW w:w="400" w:type="dxa"/>
            <w:vAlign w:val="bottom"/>
            <w:gridSpan w:val="2"/>
          </w:tcPr>
          <w:p>
            <w:pPr>
              <w:jc w:val="right"/>
              <w:ind w:right="17"/>
              <w:spacing w:after="0"/>
              <w:rPr>
                <w:sz w:val="20"/>
                <w:szCs w:val="20"/>
                <w:color w:val="auto"/>
              </w:rPr>
            </w:pPr>
            <w:r>
              <w:rPr>
                <w:rFonts w:ascii="Times New Roman" w:cs="Times New Roman" w:eastAsia="Times New Roman" w:hAnsi="Times New Roman"/>
                <w:sz w:val="12"/>
                <w:szCs w:val="12"/>
                <w:color w:val="auto"/>
              </w:rPr>
              <w:t>(4.06)</w:t>
            </w:r>
          </w:p>
        </w:tc>
        <w:tc>
          <w:tcPr>
            <w:tcW w:w="100" w:type="dxa"/>
            <w:vAlign w:val="bottom"/>
          </w:tcPr>
          <w:p>
            <w:pPr>
              <w:spacing w:after="0"/>
              <w:rPr>
                <w:sz w:val="23"/>
                <w:szCs w:val="23"/>
                <w:color w:val="auto"/>
              </w:rPr>
            </w:pPr>
          </w:p>
        </w:tc>
        <w:tc>
          <w:tcPr>
            <w:tcW w:w="30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3"/>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400" w:type="dxa"/>
            <w:vAlign w:val="bottom"/>
            <w:gridSpan w:val="2"/>
          </w:tcPr>
          <w:p>
            <w:pPr>
              <w:ind w:left="200"/>
              <w:spacing w:after="0" w:line="55"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gridSpan w:val="2"/>
          </w:tcPr>
          <w:p>
            <w:pPr>
              <w:jc w:val="center"/>
              <w:ind w:right="100"/>
              <w:spacing w:after="0" w:line="55" w:lineRule="exact"/>
              <w:rPr>
                <w:sz w:val="20"/>
                <w:szCs w:val="20"/>
                <w:color w:val="auto"/>
              </w:rPr>
            </w:pPr>
            <w:r>
              <w:rPr>
                <w:rFonts w:ascii="Times New Roman" w:cs="Times New Roman" w:eastAsia="Times New Roman" w:hAnsi="Times New Roman"/>
                <w:sz w:val="6"/>
                <w:szCs w:val="6"/>
                <w:color w:val="auto"/>
              </w:rPr>
              <w:t>​​​</w:t>
            </w:r>
          </w:p>
        </w:tc>
        <w:tc>
          <w:tcPr>
            <w:tcW w:w="300" w:type="dxa"/>
            <w:vAlign w:val="bottom"/>
            <w:vMerge w:val="continue"/>
          </w:tcPr>
          <w:p>
            <w:pPr>
              <w:spacing w:after="0"/>
              <w:rPr>
                <w:sz w:val="4"/>
                <w:szCs w:val="4"/>
                <w:color w:val="auto"/>
              </w:rPr>
            </w:pPr>
          </w:p>
        </w:tc>
        <w:tc>
          <w:tcPr>
            <w:tcW w:w="440" w:type="dxa"/>
            <w:vAlign w:val="bottom"/>
            <w:gridSpan w:val="3"/>
          </w:tcPr>
          <w:p>
            <w:pPr>
              <w:ind w:left="160"/>
              <w:spacing w:after="0" w:line="55" w:lineRule="exact"/>
              <w:rPr>
                <w:sz w:val="20"/>
                <w:szCs w:val="20"/>
                <w:color w:val="auto"/>
              </w:rPr>
            </w:pPr>
            <w:r>
              <w:rPr>
                <w:rFonts w:ascii="Times New Roman" w:cs="Times New Roman" w:eastAsia="Times New Roman" w:hAnsi="Times New Roman"/>
                <w:sz w:val="6"/>
                <w:szCs w:val="6"/>
                <w:color w:val="auto"/>
              </w:rPr>
              <w:t>​​​</w:t>
            </w:r>
          </w:p>
        </w:tc>
        <w:tc>
          <w:tcPr>
            <w:tcW w:w="420" w:type="dxa"/>
            <w:vAlign w:val="bottom"/>
          </w:tcPr>
          <w:p>
            <w:pPr>
              <w:spacing w:after="0"/>
              <w:rPr>
                <w:sz w:val="4"/>
                <w:szCs w:val="4"/>
                <w:color w:val="auto"/>
              </w:rPr>
            </w:pPr>
          </w:p>
        </w:tc>
        <w:tc>
          <w:tcPr>
            <w:tcW w:w="40" w:type="dxa"/>
            <w:vAlign w:val="bottom"/>
            <w:gridSpan w:val="2"/>
          </w:tcPr>
          <w:p>
            <w:pPr>
              <w:spacing w:after="0" w:line="55"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6"/>
          </w:tcPr>
          <w:p>
            <w:pPr>
              <w:ind w:left="200"/>
              <w:spacing w:after="0"/>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color w:val="auto"/>
              </w:rPr>
              <w:t xml:space="preserve"> ​38,190,750</w:t>
            </w:r>
            <w:r>
              <w:rPr>
                <w:rFonts w:ascii="Times New Roman" w:cs="Times New Roman" w:eastAsia="Times New Roman" w:hAnsi="Times New Roman"/>
                <w:sz w:val="24"/>
                <w:szCs w:val="24"/>
                <w:color w:val="auto"/>
                <w:vertAlign w:val="subscript"/>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6"/>
          </w:tcPr>
          <w:p>
            <w:pPr>
              <w:ind w:left="160"/>
              <w:spacing w:after="0"/>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color w:val="auto"/>
              </w:rPr>
              <w:t xml:space="preserve"> ​38,410,615</w:t>
            </w:r>
            <w:r>
              <w:rPr>
                <w:rFonts w:ascii="Times New Roman" w:cs="Times New Roman" w:eastAsia="Times New Roman" w:hAnsi="Times New Roman"/>
                <w:sz w:val="24"/>
                <w:szCs w:val="24"/>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ectPr>
          <w:pgSz w:w="11900" w:h="16838" w:orient="portrait"/>
          <w:cols w:equalWidth="0" w:num="2">
            <w:col w:w="4380" w:space="220"/>
            <w:col w:w="4419"/>
          </w:cols>
          <w:pgMar w:left="1440" w:top="112" w:right="1440" w:bottom="1440" w:gutter="0" w:footer="0" w:header="0"/>
          <w:type w:val="continuous"/>
        </w:sectPr>
      </w:pPr>
    </w:p>
    <w:p>
      <w:pPr>
        <w:jc w:val="both"/>
        <w:ind w:left="1980" w:right="1719" w:hanging="248"/>
        <w:spacing w:after="0" w:line="239" w:lineRule="auto"/>
        <w:tabs>
          <w:tab w:leader="none" w:pos="1980"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See Note 2 and Note 12 to our audited consolidated financial statements and Note 11 to our unaudited interim condensed consolidated financial statements included elsewhere in this prospectus for a description of how we compute basic and diluted net loss per share attributable to Class A common stockholders.</w:t>
      </w:r>
    </w:p>
    <w:p>
      <w:pPr>
        <w:spacing w:after="0" w:line="31" w:lineRule="exact"/>
        <w:rPr>
          <w:rFonts w:ascii="Times New Roman" w:cs="Times New Roman" w:eastAsia="Times New Roman" w:hAnsi="Times New Roman"/>
          <w:sz w:val="10"/>
          <w:szCs w:val="10"/>
          <w:color w:val="auto"/>
        </w:rPr>
      </w:pPr>
    </w:p>
    <w:p>
      <w:pPr>
        <w:ind w:left="1980" w:right="1719" w:hanging="248"/>
        <w:spacing w:after="0" w:line="250" w:lineRule="auto"/>
        <w:tabs>
          <w:tab w:leader="none" w:pos="1980"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See “Unaudited Pro Forma Net Loss Per Share Attributable to Common Stockholders” subsection below for details on our unaudited pro forma calculations.</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b w:val="1"/>
          <w:bCs w:val="1"/>
          <w:color w:val="auto"/>
        </w:rPr>
        <w:t>Unaudited Pro Forma Net Loss Per Share Attributable to Common Stockholders</w:t>
      </w:r>
    </w:p>
    <w:p>
      <w:pPr>
        <w:spacing w:after="0" w:line="111" w:lineRule="exact"/>
        <w:rPr>
          <w:sz w:val="20"/>
          <w:szCs w:val="20"/>
          <w:color w:val="auto"/>
        </w:rPr>
      </w:pPr>
    </w:p>
    <w:p>
      <w:pPr>
        <w:jc w:val="both"/>
        <w:ind w:left="1740" w:right="1719"/>
        <w:spacing w:after="0" w:line="260" w:lineRule="auto"/>
        <w:rPr>
          <w:sz w:val="20"/>
          <w:szCs w:val="20"/>
          <w:color w:val="auto"/>
        </w:rPr>
      </w:pPr>
      <w:r>
        <w:rPr>
          <w:rFonts w:ascii="Times New Roman" w:cs="Times New Roman" w:eastAsia="Times New Roman" w:hAnsi="Times New Roman"/>
          <w:sz w:val="12"/>
          <w:szCs w:val="12"/>
          <w:color w:val="auto"/>
        </w:rPr>
        <w:t>The unaudited pro forma basic and diluted net loss per share for the year ended December 31, 2023 and for the three months ended March 31, 2024 were computed using the weighted-average number of shares of common stock and non-voting common stock outstanding, after giving effect to (i) the issuance of 41,264,892 shares of Series C redeemable convertible preferred stock, convertible into 8,826,699 shares of common stock, in May 2024, (ii) the Preferred Stock Conversion and the Common Stock Reclassification, as if such issuance, conversion and reclassification had occurred at the beginning of the period. Pro forma net loss per share does not include the shares expected to be sold in this offering.</w:t>
      </w:r>
    </w:p>
    <w:p>
      <w:pPr>
        <w:spacing w:after="0" w:line="80" w:lineRule="exact"/>
        <w:rPr>
          <w:sz w:val="20"/>
          <w:szCs w:val="20"/>
          <w:color w:val="auto"/>
        </w:rPr>
      </w:pPr>
    </w:p>
    <w:p>
      <w:pPr>
        <w:jc w:val="both"/>
        <w:ind w:left="1740" w:right="1719"/>
        <w:spacing w:after="0" w:line="291" w:lineRule="auto"/>
        <w:rPr>
          <w:sz w:val="20"/>
          <w:szCs w:val="20"/>
          <w:color w:val="auto"/>
        </w:rPr>
      </w:pPr>
      <w:r>
        <w:rPr>
          <w:rFonts w:ascii="Times New Roman" w:cs="Times New Roman" w:eastAsia="Times New Roman" w:hAnsi="Times New Roman"/>
          <w:sz w:val="12"/>
          <w:szCs w:val="12"/>
          <w:color w:val="auto"/>
        </w:rPr>
        <w:t>The following table sets forth the computation of the unaudited pro forma basic and diluted net loss per share of common stock and non-voting common stock for the periods presented:</w:t>
      </w:r>
    </w:p>
    <w:p>
      <w:pPr>
        <w:spacing w:after="0" w:line="69"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80" w:type="dxa"/>
            <w:vAlign w:val="bottom"/>
          </w:tcPr>
          <w:p>
            <w:pPr>
              <w:spacing w:after="0"/>
              <w:rPr>
                <w:sz w:val="10"/>
                <w:szCs w:val="10"/>
                <w:color w:val="auto"/>
              </w:rPr>
            </w:pPr>
          </w:p>
        </w:tc>
        <w:tc>
          <w:tcPr>
            <w:tcW w:w="900" w:type="dxa"/>
            <w:vAlign w:val="bottom"/>
            <w:gridSpan w:val="4"/>
          </w:tcPr>
          <w:p>
            <w:pPr>
              <w:jc w:val="right"/>
              <w:ind w:right="35"/>
              <w:spacing w:after="0"/>
              <w:rPr>
                <w:sz w:val="20"/>
                <w:szCs w:val="20"/>
                <w:color w:val="auto"/>
              </w:rPr>
            </w:pPr>
            <w:r>
              <w:rPr>
                <w:rFonts w:ascii="Times New Roman" w:cs="Times New Roman" w:eastAsia="Times New Roman" w:hAnsi="Times New Roman"/>
                <w:sz w:val="10"/>
                <w:szCs w:val="10"/>
                <w:b w:val="1"/>
                <w:bCs w:val="1"/>
                <w:color w:val="auto"/>
                <w:w w:val="92"/>
              </w:rPr>
              <w:t>Three Months Ended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80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0"/>
                <w:szCs w:val="10"/>
                <w:b w:val="1"/>
                <w:bCs w:val="1"/>
                <w:color w:val="auto"/>
                <w:w w:val="93"/>
              </w:rPr>
              <w:t>December 31, 2023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b w:val="1"/>
                <w:bCs w:val="1"/>
                <w:color w:val="auto"/>
              </w:rPr>
              <w:t>March 31, 2024</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54"/>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920" w:type="dxa"/>
            <w:vAlign w:val="bottom"/>
            <w:gridSpan w:val="10"/>
          </w:tcPr>
          <w:p>
            <w:pPr>
              <w:spacing w:after="0" w:line="154" w:lineRule="exact"/>
              <w:rPr>
                <w:sz w:val="20"/>
                <w:szCs w:val="20"/>
                <w:color w:val="auto"/>
              </w:rPr>
            </w:pPr>
            <w:r>
              <w:rPr>
                <w:rFonts w:ascii="Times New Roman" w:cs="Times New Roman" w:eastAsia="Times New Roman" w:hAnsi="Times New Roman"/>
                <w:sz w:val="9"/>
                <w:szCs w:val="9"/>
                <w:b w:val="1"/>
                <w:bCs w:val="1"/>
                <w:color w:val="auto"/>
              </w:rPr>
              <w:t>(in thousands, except share and per share data)</w:t>
            </w:r>
            <w:r>
              <w:rPr>
                <w:rFonts w:ascii="Times New Roman" w:cs="Times New Roman" w:eastAsia="Times New Roman" w:hAnsi="Times New Roman"/>
                <w:sz w:val="17"/>
                <w:szCs w:val="17"/>
                <w:b w:val="1"/>
                <w:bCs w:val="1"/>
                <w:color w:val="auto"/>
                <w:vertAlign w:val="subscript"/>
              </w:rPr>
              <w:t>​</w:t>
            </w:r>
          </w:p>
        </w:tc>
        <w:tc>
          <w:tcPr>
            <w:tcW w:w="0" w:type="dxa"/>
            <w:vAlign w:val="bottom"/>
          </w:tcPr>
          <w:p>
            <w:pPr>
              <w:spacing w:after="0"/>
              <w:rPr>
                <w:sz w:val="1"/>
                <w:szCs w:val="1"/>
                <w:color w:val="auto"/>
              </w:rPr>
            </w:pPr>
          </w:p>
        </w:tc>
      </w:tr>
      <w:tr>
        <w:trPr>
          <w:trHeight w:val="174"/>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Numerator:</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
                <w:szCs w:val="1"/>
                <w:color w:val="auto"/>
                <w:w w:val="4294942296"/>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loss attributable to common stockholders</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35"/>
              <w:spacing w:after="0"/>
              <w:rPr>
                <w:sz w:val="20"/>
                <w:szCs w:val="20"/>
                <w:color w:val="auto"/>
              </w:rPr>
            </w:pPr>
            <w:r>
              <w:rPr>
                <w:rFonts w:ascii="Times New Roman" w:cs="Times New Roman" w:eastAsia="Times New Roman" w:hAnsi="Times New Roman"/>
                <w:sz w:val="12"/>
                <w:szCs w:val="12"/>
                <w:color w:val="auto"/>
              </w:rPr>
              <w:t>(154,993)</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2"/>
                <w:szCs w:val="12"/>
                <w:color w:val="auto"/>
              </w:rPr>
              <w:t>(49,849)</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1"/>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 forma other income adjustments related to the change in fair</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value of derivative liability</w:t>
            </w:r>
            <w:r>
              <w:rPr>
                <w:rFonts w:ascii="Times New Roman" w:cs="Times New Roman" w:eastAsia="Times New Roman" w:hAnsi="Times New Roman"/>
                <w:sz w:val="15"/>
                <w:szCs w:val="15"/>
                <w:color w:val="auto"/>
                <w:vertAlign w:val="superscript"/>
              </w:rPr>
              <w:t>(1)</w:t>
            </w: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3,095</w:t>
            </w:r>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1"/>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Pro forma net loss attributable to common stockholders, basic 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4"/>
                <w:szCs w:val="24"/>
                <w:color w:val="auto"/>
                <w:vertAlign w:val="superscript"/>
              </w:rPr>
              <w:t>$</w:t>
            </w:r>
          </w:p>
        </w:tc>
        <w:tc>
          <w:tcPr>
            <w:tcW w:w="56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2"/>
                <w:szCs w:val="12"/>
                <w:color w:val="auto"/>
              </w:rPr>
              <w:t>(154,874)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4"/>
                <w:szCs w:val="24"/>
                <w:color w:val="auto"/>
                <w:vertAlign w:val="superscript"/>
              </w:rPr>
              <w:t>$</w:t>
            </w:r>
          </w:p>
        </w:tc>
        <w:tc>
          <w:tcPr>
            <w:tcW w:w="600" w:type="dxa"/>
            <w:vAlign w:val="bottom"/>
            <w:gridSpan w:val="2"/>
            <w:vMerge w:val="restart"/>
          </w:tcPr>
          <w:p>
            <w:pPr>
              <w:jc w:val="right"/>
              <w:ind w:right="95"/>
              <w:spacing w:after="0"/>
              <w:rPr>
                <w:sz w:val="20"/>
                <w:szCs w:val="20"/>
                <w:color w:val="auto"/>
              </w:rPr>
            </w:pPr>
            <w:r>
              <w:rPr>
                <w:rFonts w:ascii="Times New Roman" w:cs="Times New Roman" w:eastAsia="Times New Roman" w:hAnsi="Times New Roman"/>
                <w:sz w:val="12"/>
                <w:szCs w:val="12"/>
                <w:color w:val="auto"/>
              </w:rPr>
              <w:t>(46,754)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diluted</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7"/>
        </w:trPr>
        <w:tc>
          <w:tcPr>
            <w:tcW w:w="3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Denominator:</w:t>
            </w:r>
          </w:p>
        </w:tc>
        <w:tc>
          <w:tcPr>
            <w:tcW w:w="16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
                <w:szCs w:val="1"/>
                <w:color w:val="auto"/>
                <w:w w:val="4294942296"/>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Weighted-average shares of common stock outstanding</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 2,150,186</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 2,370,051</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1"/>
        </w:trPr>
        <w:tc>
          <w:tcPr>
            <w:tcW w:w="3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Pro forma adjustment to reflect the Preferred Stock</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Conversion</w:t>
            </w:r>
            <w:r>
              <w:rPr>
                <w:rFonts w:ascii="Times New Roman" w:cs="Times New Roman" w:eastAsia="Times New Roman" w:hAnsi="Times New Roman"/>
                <w:sz w:val="15"/>
                <w:szCs w:val="15"/>
                <w:color w:val="auto"/>
                <w:vertAlign w:val="superscript"/>
              </w:rPr>
              <w:t>(2)</w:t>
            </w: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​36,040,564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​36,040,564</w:t>
            </w:r>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3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Pro forma weighted-average shares outstanding, basic and diluted</w:t>
            </w:r>
          </w:p>
        </w:tc>
        <w:tc>
          <w:tcPr>
            <w:tcW w:w="1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3"/>
          </w:tcPr>
          <w:p>
            <w:pPr>
              <w:spacing w:after="0" w:line="163"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 xml:space="preserve"> ​38,190,750</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3"/>
          </w:tcPr>
          <w:p>
            <w:pPr>
              <w:spacing w:after="0" w:line="163"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 xml:space="preserve"> ​38,410,615</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91"/>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 forma net loss per share, basic and diluted</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2"/>
                <w:szCs w:val="12"/>
                <w:color w:val="auto"/>
              </w:rPr>
              <w:t>(4.06)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2"/>
                <w:szCs w:val="12"/>
                <w:color w:val="auto"/>
              </w:rPr>
              <w:t>(1.22)</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82"/>
        </w:trPr>
        <w:tc>
          <w:tcPr>
            <w:tcW w:w="600" w:type="dxa"/>
            <w:vAlign w:val="bottom"/>
            <w:tcBorders>
              <w:top w:val="single" w:sz="8" w:color="CCEEFF"/>
              <w:bottom w:val="single" w:sz="8" w:color="auto"/>
            </w:tcBorders>
          </w:tcPr>
          <w:p>
            <w:pPr>
              <w:spacing w:after="0"/>
              <w:rPr>
                <w:sz w:val="7"/>
                <w:szCs w:val="7"/>
                <w:color w:val="auto"/>
              </w:rPr>
            </w:pPr>
          </w:p>
        </w:tc>
        <w:tc>
          <w:tcPr>
            <w:tcW w:w="294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ind w:left="1980" w:right="1719" w:hanging="248"/>
        <w:spacing w:after="0" w:line="237" w:lineRule="auto"/>
        <w:tabs>
          <w:tab w:leader="none" w:pos="198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the reversal of the change in fair value of the derivative liability related to the subsequent tranche closings of redeemable convertible preferred stock recorded in our consolidated statement of operations and comprehensive loss for the year ended December 31, 2023 and in our interim condensed consolidated statement of operations and comprehensive loss for the three months ended March 31, 2024, as if the subsequent tranches closed on January 1, 2023.</w:t>
      </w:r>
    </w:p>
    <w:p>
      <w:pPr>
        <w:spacing w:after="0" w:line="40" w:lineRule="exact"/>
        <w:rPr>
          <w:rFonts w:ascii="Times New Roman" w:cs="Times New Roman" w:eastAsia="Times New Roman" w:hAnsi="Times New Roman"/>
          <w:sz w:val="10"/>
          <w:szCs w:val="10"/>
          <w:color w:val="auto"/>
        </w:rPr>
      </w:pPr>
    </w:p>
    <w:p>
      <w:pPr>
        <w:jc w:val="both"/>
        <w:ind w:left="1980" w:right="1719" w:hanging="248"/>
        <w:spacing w:after="0" w:line="233" w:lineRule="auto"/>
        <w:tabs>
          <w:tab w:leader="none" w:pos="198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the year ended December 31, 2023, reflects the automatic conversion of 168,489,871 outstanding shares of our redeemable convertible preferred stock (which represents 85,960,088 shares of redeemable convertible preferred stock issued and outstanding as of such date, convertible into 18,387,168 shares of common stock, together with the issuance of 82,529,783 shares of Series C redeemable convertible preferred stock, convertible into 17,653,396 shares of common stock, in March 2024 and May 2024) into shares of our common stock which will occur immediately prior to the closing of this offering, as if such issuance and conversion occurred on January 1, 2023. For the three months ended March 31, 2024, reflects the automatic conversion of 168,489,871 outstanding shares of our redeemable convertible preferred stock (which represents 127,224,979 shares of redeemable convertible preferred stock outstanding as of such date, convertible into 27,213,865 shares of common stock, together with the issuance of</w:t>
      </w: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type w:val="continuous"/>
        </w:sectPr>
      </w:pPr>
    </w:p>
    <w:bookmarkStart w:id="14" w:name="page15"/>
    <w:bookmarkEnd w:id="14"/>
    <w:p>
      <w:pPr>
        <w:ind w:left="8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219710</wp:posOffset>
            </wp:positionV>
            <wp:extent cx="3746500" cy="5403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46500" cy="540385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both"/>
        <w:ind w:left="1980" w:right="1719"/>
        <w:spacing w:after="0" w:line="239" w:lineRule="auto"/>
        <w:rPr>
          <w:sz w:val="20"/>
          <w:szCs w:val="20"/>
          <w:color w:val="auto"/>
        </w:rPr>
      </w:pPr>
      <w:r>
        <w:rPr>
          <w:rFonts w:ascii="Times New Roman" w:cs="Times New Roman" w:eastAsia="Times New Roman" w:hAnsi="Times New Roman"/>
          <w:sz w:val="10"/>
          <w:szCs w:val="10"/>
          <w:color w:val="auto"/>
        </w:rPr>
        <w:t>41,264,892 shares of Series C redeemable convertible preferred stock, convertible into 8,826,699 shares of common stock, in May 2024) into shares of our common stock which will occur immediately prior to the closing of this offering, as if such issuance and conversion occurred on January 1, 2023.</w:t>
      </w:r>
    </w:p>
    <w:p>
      <w:pPr>
        <w:spacing w:after="0" w:line="85" w:lineRule="exact"/>
        <w:rPr>
          <w:sz w:val="20"/>
          <w:szCs w:val="20"/>
          <w:color w:val="auto"/>
        </w:rPr>
      </w:pPr>
    </w:p>
    <w:tbl>
      <w:tblPr>
        <w:tblLayout w:type="fixed"/>
        <w:tblInd w:w="1720" w:type="dxa"/>
        <w:tblCellMar>
          <w:top w:w="0" w:type="dxa"/>
          <w:left w:w="0" w:type="dxa"/>
          <w:bottom w:w="0" w:type="dxa"/>
          <w:right w:w="0" w:type="dxa"/>
        </w:tblCellMar>
      </w:tblPr>
      <w:tr>
        <w:trPr>
          <w:trHeight w:val="145"/>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480" w:type="dxa"/>
            <w:vAlign w:val="bottom"/>
          </w:tcPr>
          <w:p>
            <w:pPr>
              <w:ind w:left="4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4"/>
          </w:tcPr>
          <w:p>
            <w:pPr>
              <w:jc w:val="center"/>
              <w:ind w:right="19"/>
              <w:spacing w:after="0"/>
              <w:rPr>
                <w:sz w:val="20"/>
                <w:szCs w:val="20"/>
                <w:color w:val="auto"/>
              </w:rPr>
            </w:pPr>
            <w:r>
              <w:rPr>
                <w:rFonts w:ascii="Times New Roman" w:cs="Times New Roman" w:eastAsia="Times New Roman" w:hAnsi="Times New Roman"/>
                <w:sz w:val="10"/>
                <w:szCs w:val="10"/>
                <w:b w:val="1"/>
                <w:bCs w:val="1"/>
                <w:color w:val="auto"/>
                <w:w w:val="92"/>
              </w:rPr>
              <w:t>As of March 31, 2024</w:t>
            </w:r>
          </w:p>
        </w:tc>
        <w:tc>
          <w:tcPr>
            <w:tcW w:w="700" w:type="dxa"/>
            <w:vAlign w:val="bottom"/>
            <w:tcBorders>
              <w:bottom w:val="single" w:sz="8" w:color="auto"/>
            </w:tcBorders>
          </w:tcPr>
          <w:p>
            <w:pPr>
              <w:spacing w:after="0"/>
              <w:rPr>
                <w:sz w:val="12"/>
                <w:szCs w:val="1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36"/>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4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0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8"/>
                <w:szCs w:val="8"/>
                <w:b w:val="1"/>
                <w:bCs w:val="1"/>
                <w:color w:val="auto"/>
              </w:rPr>
              <w:t xml:space="preserve">Actual   </w:t>
            </w:r>
            <w:r>
              <w:rPr>
                <w:rFonts w:ascii="Times New Roman" w:cs="Times New Roman" w:eastAsia="Times New Roman" w:hAnsi="Times New Roman"/>
                <w:sz w:val="15"/>
                <w:szCs w:val="15"/>
                <w:b w:val="1"/>
                <w:bCs w:val="1"/>
                <w:color w:val="auto"/>
                <w:vertAlign w:val="subscript"/>
              </w:rPr>
              <w:t>​ ​</w:t>
            </w:r>
            <w:r>
              <w:rPr>
                <w:rFonts w:ascii="Times New Roman" w:cs="Times New Roman" w:eastAsia="Times New Roman" w:hAnsi="Times New Roman"/>
                <w:sz w:val="8"/>
                <w:szCs w:val="8"/>
                <w:b w:val="1"/>
                <w:bCs w:val="1"/>
                <w:color w:val="auto"/>
              </w:rPr>
              <w:t xml:space="preserve"> Pro Forma</w:t>
            </w:r>
            <w:r>
              <w:rPr>
                <w:rFonts w:ascii="Times New Roman" w:cs="Times New Roman" w:eastAsia="Times New Roman" w:hAnsi="Times New Roman"/>
                <w:sz w:val="10"/>
                <w:szCs w:val="10"/>
                <w:b w:val="1"/>
                <w:bCs w:val="1"/>
                <w:color w:val="auto"/>
                <w:vertAlign w:val="superscript"/>
              </w:rPr>
              <w:t>(1)</w:t>
            </w:r>
          </w:p>
        </w:tc>
        <w:tc>
          <w:tcPr>
            <w:tcW w:w="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2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8"/>
                <w:szCs w:val="8"/>
                <w:b w:val="1"/>
                <w:bCs w:val="1"/>
                <w:color w:val="auto"/>
              </w:rPr>
              <w:t xml:space="preserve"> Pro Forma As Adjusted</w:t>
            </w:r>
            <w:r>
              <w:rPr>
                <w:rFonts w:ascii="Times New Roman" w:cs="Times New Roman" w:eastAsia="Times New Roman" w:hAnsi="Times New Roman"/>
                <w:sz w:val="10"/>
                <w:szCs w:val="10"/>
                <w:b w:val="1"/>
                <w:bCs w:val="1"/>
                <w:color w:val="auto"/>
                <w:vertAlign w:val="superscript"/>
              </w:rPr>
              <w:t>(2)(3)</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36"/>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Consolidated Balance Sheet Data:</w:t>
            </w:r>
          </w:p>
        </w:tc>
        <w:tc>
          <w:tcPr>
            <w:tcW w:w="480" w:type="dxa"/>
            <w:vAlign w:val="bottom"/>
          </w:tcPr>
          <w:p>
            <w:pPr>
              <w:ind w:left="4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jc w:val="center"/>
              <w:ind w:left="64"/>
              <w:spacing w:after="0"/>
              <w:rPr>
                <w:sz w:val="20"/>
                <w:szCs w:val="20"/>
                <w:color w:val="auto"/>
              </w:rPr>
            </w:pPr>
            <w:r>
              <w:rPr>
                <w:rFonts w:ascii="Times New Roman" w:cs="Times New Roman" w:eastAsia="Times New Roman" w:hAnsi="Times New Roman"/>
                <w:sz w:val="10"/>
                <w:szCs w:val="10"/>
                <w:b w:val="1"/>
                <w:bCs w:val="1"/>
                <w:color w:val="auto"/>
                <w:w w:val="91"/>
              </w:rPr>
              <w:t>(in thousands)</w:t>
            </w: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5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​​$ 112,071​​ ​ ​$ 241,372 ​​ ​</w:t>
            </w:r>
          </w:p>
        </w:tc>
        <w:tc>
          <w:tcPr>
            <w:tcW w:w="9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​$ 515,419</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65"/>
        </w:trPr>
        <w:tc>
          <w:tcPr>
            <w:tcW w:w="2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Marketable securities</w:t>
            </w:r>
          </w:p>
        </w:tc>
        <w:tc>
          <w:tcPr>
            <w:tcW w:w="480" w:type="dxa"/>
            <w:vAlign w:val="bottom"/>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21,656​​ ​ ​ ​</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21,656</w:t>
            </w:r>
          </w:p>
        </w:tc>
        <w:tc>
          <w:tcPr>
            <w:tcW w:w="400" w:type="dxa"/>
            <w:vAlign w:val="bottom"/>
            <w:gridSpan w:val="2"/>
          </w:tcPr>
          <w:p>
            <w:pPr>
              <w:jc w:val="right"/>
              <w:ind w:right="219"/>
              <w:spacing w:after="0"/>
              <w:rPr>
                <w:sz w:val="20"/>
                <w:szCs w:val="20"/>
                <w:color w:val="auto"/>
              </w:rPr>
            </w:pPr>
            <w:r>
              <w:rPr>
                <w:rFonts w:ascii="Times New Roman" w:cs="Times New Roman" w:eastAsia="Times New Roman" w:hAnsi="Times New Roman"/>
                <w:sz w:val="12"/>
                <w:szCs w:val="12"/>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jc w:val="right"/>
              <w:ind w:right="259"/>
              <w:spacing w:after="0"/>
              <w:rPr>
                <w:sz w:val="20"/>
                <w:szCs w:val="20"/>
                <w:color w:val="auto"/>
              </w:rPr>
            </w:pPr>
            <w:r>
              <w:rPr>
                <w:rFonts w:ascii="Times New Roman" w:cs="Times New Roman" w:eastAsia="Times New Roman" w:hAnsi="Times New Roman"/>
                <w:sz w:val="12"/>
                <w:szCs w:val="12"/>
                <w:color w:val="auto"/>
              </w:rPr>
              <w:t>21,656</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Working capital</w:t>
            </w:r>
            <w:r>
              <w:rPr>
                <w:rFonts w:ascii="Times New Roman" w:cs="Times New Roman" w:eastAsia="Times New Roman" w:hAnsi="Times New Roman"/>
                <w:sz w:val="15"/>
                <w:szCs w:val="15"/>
                <w:color w:val="auto"/>
                <w:vertAlign w:val="superscript"/>
              </w:rPr>
              <w:t>(4)</w:t>
            </w: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117,258​​ ​ ​ ​246,559 ​​ ​</w:t>
            </w:r>
          </w:p>
        </w:tc>
        <w:tc>
          <w:tcPr>
            <w:tcW w:w="9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 ​520,841</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65"/>
        </w:trPr>
        <w:tc>
          <w:tcPr>
            <w:tcW w:w="2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assets</w:t>
            </w:r>
          </w:p>
        </w:tc>
        <w:tc>
          <w:tcPr>
            <w:tcW w:w="480" w:type="dxa"/>
            <w:vAlign w:val="bottom"/>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gridSpan w:val="6"/>
          </w:tcPr>
          <w:p>
            <w:pPr>
              <w:ind w:left="20"/>
              <w:spacing w:after="0"/>
              <w:rPr>
                <w:sz w:val="20"/>
                <w:szCs w:val="20"/>
                <w:color w:val="auto"/>
              </w:rPr>
            </w:pPr>
            <w:r>
              <w:rPr>
                <w:rFonts w:ascii="Times New Roman" w:cs="Times New Roman" w:eastAsia="Times New Roman" w:hAnsi="Times New Roman"/>
                <w:sz w:val="12"/>
                <w:szCs w:val="12"/>
                <w:color w:val="auto"/>
              </w:rPr>
              <w:t>​​ ​177,375​​ ​ ​ ​306,676 ​​ ​</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 ​580,488</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6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liabilities</w:t>
            </w: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67,726​​ ​ ​ ​</w:t>
            </w:r>
          </w:p>
        </w:tc>
        <w:tc>
          <w:tcPr>
            <w:tcW w:w="800" w:type="dxa"/>
            <w:vAlign w:val="bottom"/>
            <w:gridSpan w:val="3"/>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rPr>
              <w:t>55,718 ​​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tcBorders>
              <w:right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2"/>
                <w:szCs w:val="12"/>
                <w:color w:val="auto"/>
              </w:rPr>
              <w:t>55,483</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65"/>
        </w:trPr>
        <w:tc>
          <w:tcPr>
            <w:tcW w:w="2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Redeemable convertible preferred stock</w:t>
            </w:r>
          </w:p>
        </w:tc>
        <w:tc>
          <w:tcPr>
            <w:tcW w:w="480" w:type="dxa"/>
            <w:vAlign w:val="bottom"/>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 ​495,575​​ ​ ​ ​</w:t>
            </w:r>
          </w:p>
        </w:tc>
        <w:tc>
          <w:tcPr>
            <w:tcW w:w="800" w:type="dxa"/>
            <w:vAlign w:val="bottom"/>
            <w:gridSpan w:val="3"/>
          </w:tcPr>
          <w:p>
            <w:pPr>
              <w:jc w:val="right"/>
              <w:ind w:right="219"/>
              <w:spacing w:after="0"/>
              <w:rPr>
                <w:sz w:val="20"/>
                <w:szCs w:val="20"/>
                <w:color w:val="auto"/>
              </w:rPr>
            </w:pPr>
            <w:r>
              <w:rPr>
                <w:rFonts w:ascii="Times New Roman" w:cs="Times New Roman" w:eastAsia="Times New Roman" w:hAnsi="Times New Roman"/>
                <w:sz w:val="12"/>
                <w:szCs w:val="12"/>
                <w:color w:val="auto"/>
              </w:rPr>
              <w:t>— ​​ ​</w:t>
            </w:r>
          </w:p>
        </w:tc>
        <w:tc>
          <w:tcPr>
            <w:tcW w:w="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jc w:val="right"/>
              <w:ind w:right="259"/>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Accumulated deficit</w:t>
            </w: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​(414,167​​) ​ ​ ​(414,167)​​ ​</w:t>
            </w:r>
          </w:p>
        </w:tc>
        <w:tc>
          <w:tcPr>
            <w:tcW w:w="9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 ​(414,167)</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92"/>
        </w:trPr>
        <w:tc>
          <w:tcPr>
            <w:tcW w:w="2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stockholders’ equity (deficit)</w:t>
            </w:r>
          </w:p>
        </w:tc>
        <w:tc>
          <w:tcPr>
            <w:tcW w:w="480" w:type="dxa"/>
            <w:vAlign w:val="bottom"/>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gridSpan w:val="6"/>
          </w:tcPr>
          <w:p>
            <w:pPr>
              <w:ind w:left="20"/>
              <w:spacing w:after="0"/>
              <w:rPr>
                <w:sz w:val="20"/>
                <w:szCs w:val="20"/>
                <w:color w:val="auto"/>
              </w:rPr>
            </w:pPr>
            <w:r>
              <w:rPr>
                <w:rFonts w:ascii="Times New Roman" w:cs="Times New Roman" w:eastAsia="Times New Roman" w:hAnsi="Times New Roman"/>
                <w:sz w:val="12"/>
                <w:szCs w:val="12"/>
                <w:color w:val="auto"/>
              </w:rPr>
              <w:t>​​ ​(385,926​​) ​ ​ ​250,958 ​​ ​</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 ​525,005</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bl>
    <w:p>
      <w:pPr>
        <w:spacing w:after="0" w:line="197" w:lineRule="exact"/>
        <w:rPr>
          <w:sz w:val="20"/>
          <w:szCs w:val="20"/>
          <w:color w:val="auto"/>
        </w:rPr>
      </w:pPr>
    </w:p>
    <w:p>
      <w:pPr>
        <w:jc w:val="both"/>
        <w:ind w:left="1980" w:right="1719" w:hanging="248"/>
        <w:spacing w:after="0" w:line="234" w:lineRule="auto"/>
        <w:tabs>
          <w:tab w:leader="none" w:pos="1980"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pro forma balance sheet data gives effect to (i) the elimination of the derivative liability related to the tranche closing of Series C redeemable convertible preferred stock in May 2024, (ii) the issuance of 41,264,982 shares of Series C redeemable convertible preferred stock, convertible into 8,826,699 shares of common stock, in May 2024 for approximately $129.3 million in aggregate net proceeds therefrom, (iii) the Preferred Stock Conversion and the Common Stock Reclassification (as if each had occurred as of March 31, 2024), and (iv) the filing and effectiveness of our amended and restated certificate of incorporation to be in effect immediately prior to the closing of this offering.</w:t>
      </w:r>
    </w:p>
    <w:p>
      <w:pPr>
        <w:spacing w:after="0" w:line="32" w:lineRule="exact"/>
        <w:rPr>
          <w:rFonts w:ascii="Times New Roman" w:cs="Times New Roman" w:eastAsia="Times New Roman" w:hAnsi="Times New Roman"/>
          <w:sz w:val="10"/>
          <w:szCs w:val="10"/>
          <w:color w:val="auto"/>
        </w:rPr>
      </w:pPr>
    </w:p>
    <w:p>
      <w:pPr>
        <w:jc w:val="both"/>
        <w:ind w:left="1980" w:right="1719" w:hanging="248"/>
        <w:spacing w:after="0" w:line="237" w:lineRule="auto"/>
        <w:tabs>
          <w:tab w:leader="none" w:pos="1980"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pro forma as adjusted column in the consolidated balance sheet data gives effect to (i) the pro forma adjustments described in footnote (1) above and (ii) the issuance and sale of 17,650,000 shares of our common stock in this offering at the assumed initial public offering price of $17.00 per share, after deducting underwriting discounts and commissions and estimated offering expenses payable by us.</w:t>
      </w:r>
    </w:p>
    <w:p>
      <w:pPr>
        <w:spacing w:after="0" w:line="40" w:lineRule="exact"/>
        <w:rPr>
          <w:rFonts w:ascii="Times New Roman" w:cs="Times New Roman" w:eastAsia="Times New Roman" w:hAnsi="Times New Roman"/>
          <w:sz w:val="10"/>
          <w:szCs w:val="10"/>
          <w:color w:val="auto"/>
        </w:rPr>
      </w:pPr>
    </w:p>
    <w:p>
      <w:pPr>
        <w:jc w:val="both"/>
        <w:ind w:left="1980" w:right="1719" w:hanging="248"/>
        <w:spacing w:after="0" w:line="232" w:lineRule="auto"/>
        <w:tabs>
          <w:tab w:leader="none" w:pos="1980"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pro forma as adjusted information is illustrative only and will depend on the actual initial public offering price and other terms of this offering determined at pricing. Each $1.00 increase or decrease in the assumed initial public offering price of $17.00 per share would increase or decrease, as applicable, each of our cash and cash equivalents, working capital, total assets and total stockholders’ equity (deficit) by $16.4 million, assuming that the number of shares offered by us, as set forth on the cover page of this prospectus, remains the same, after deducting underwriting discounts and commissions and estimated offering expenses payable by us. Similarly, each increase or decrease of 1.0 million shares in the number of shares of common stock offered by us would increase or decrease, as applicable, each of our cash and cash equivalents, working capital, total assets and total stockholders’ equity (deficit) by $15.8 million, and after deducting underwriting discounts and commissions and estimated offering expenses payable by us.</w:t>
      </w:r>
    </w:p>
    <w:p>
      <w:pPr>
        <w:spacing w:after="0" w:line="34" w:lineRule="exact"/>
        <w:rPr>
          <w:rFonts w:ascii="Times New Roman" w:cs="Times New Roman" w:eastAsia="Times New Roman" w:hAnsi="Times New Roman"/>
          <w:sz w:val="10"/>
          <w:szCs w:val="10"/>
          <w:color w:val="auto"/>
        </w:rPr>
      </w:pPr>
    </w:p>
    <w:p>
      <w:pPr>
        <w:jc w:val="both"/>
        <w:ind w:left="1980" w:right="1719" w:hanging="248"/>
        <w:spacing w:after="0" w:line="239" w:lineRule="auto"/>
        <w:tabs>
          <w:tab w:leader="none" w:pos="1980"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We define working capital as current assets less current liabilities. See our unaudited interim condensed consolidated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5" w:name="page16"/>
    <w:bookmarkEnd w:id="15"/>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RISK FACTORS</w:t>
      </w:r>
    </w:p>
    <w:p>
      <w:pPr>
        <w:spacing w:after="0" w:line="155"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i w:val="1"/>
          <w:iCs w:val="1"/>
          <w:color w:val="auto"/>
        </w:rPr>
        <w:t>Investing in our common stock involves a high degree of risk. Before deciding to invest in shares of our common stock, you should carefully consider the risks described below, together with the other information contained in this prospectus, including in the section titled “Management’s Discussion and Analysis of Financial Condition and Results of Operations” and in our audited financial statements and the related notes included elsewhere in this prospectus. We cannot assure you that any of the events discussed below will not occur. These events could adversely impact our business, financial condition, results of operations and prospects. If that were to happen, the trading price of our common stock could decline, and you could lose all or part of your investment.</w:t>
      </w:r>
    </w:p>
    <w:p>
      <w:pPr>
        <w:spacing w:after="0" w:line="26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Risks Related to Our Financial Position and Need for Capital</w:t>
      </w:r>
    </w:p>
    <w:p>
      <w:pPr>
        <w:spacing w:after="0" w:line="155" w:lineRule="exact"/>
        <w:rPr>
          <w:sz w:val="20"/>
          <w:szCs w:val="20"/>
          <w:color w:val="auto"/>
        </w:rPr>
      </w:pPr>
    </w:p>
    <w:p>
      <w:pPr>
        <w:jc w:val="both"/>
        <w:ind w:left="1720" w:right="1719"/>
        <w:spacing w:after="0" w:line="266" w:lineRule="auto"/>
        <w:rPr>
          <w:sz w:val="20"/>
          <w:szCs w:val="20"/>
          <w:color w:val="auto"/>
        </w:rPr>
      </w:pPr>
      <w:r>
        <w:rPr>
          <w:rFonts w:ascii="Times New Roman" w:cs="Times New Roman" w:eastAsia="Times New Roman" w:hAnsi="Times New Roman"/>
          <w:sz w:val="12"/>
          <w:szCs w:val="12"/>
          <w:b w:val="1"/>
          <w:bCs w:val="1"/>
          <w:i w:val="1"/>
          <w:iCs w:val="1"/>
          <w:color w:val="auto"/>
        </w:rPr>
        <w:t>We are a clinical stage biopharmaceutical company with a limited operating history and no products approved for commercial sale, and have incurred substantial losses since our inception and anticipate incurring substantial and increasing losses for the foreseeable future.</w:t>
      </w:r>
    </w:p>
    <w:p>
      <w:pPr>
        <w:spacing w:after="0" w:line="65"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We are a clinical stage biopharmaceutical company with a limited operating history on which to base your investment decision. We have no product candidates approved for commercial sale and have not generated any revenue. Biopharmaceutical product development is a highly speculative undertaking. It entails substantial upfront capital expenditures and significant risk that any product candidate will fail to demonstrate adequate efficacy or an acceptable safety profile, gain regulatory approval or become commercially viable.</w:t>
      </w:r>
    </w:p>
    <w:p>
      <w:pPr>
        <w:spacing w:after="0" w:line="218"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Our most advanced candidate is ESK-001, an oral, small molecule allosteric inhibitor of Tyrosine Kinase 2 (TYK2). We are currently conducting Phase 2 clinical trials of ESK -001 in each of moderate-to-severe plaque psoriasis (PsO) and systemic lupus erythematosus (SLE). We plan to commence Phase 3 pivotal trials of ESK-001 in PsO in the second half of 2024. In addition, we are advancing A-005, an investigational central nervous system (CNS) penetrant allosteric inhibitor of TYK2 that has a potential application in multiple sclerosis (MS) and other neuroinflammatory and neurodegenerative diseases, currently in clinical development. Our ability to achieve profitability in the future is dependent upon obtaining regulatory approval for and successfully commercializing our most advanced candidate, ESK- 001, either alone or with third parties. However, our operations may not be profitable even if ESK-001 is successfully developed, approved and thereafter commercialized.</w:t>
      </w:r>
    </w:p>
    <w:p>
      <w:pPr>
        <w:spacing w:after="0" w:line="219"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We have and will continue to incur significant development and other expenses related to our research and clinical development programs and ongoing operations. For the three months ended March 31, 2023 and 2024, our net losses were $ 36.0 million and $49.8 million, respectively, and for the years ended December 31, 2022 and 2023, our net losses were $ 111.9 million and $155.0 million, respectively. As of March 31, 2024, we had an accumulated deficit of $414.2 million. Substantially all of our losses have resulted from expenses incurred in connection with the acquisition and development of our pipeline and from general and administrative costs associated with our operations. We expect to incur significant losses for the foreseeable future, and we expect these losses to increase as we continue our development of our product candidates.</w:t>
      </w:r>
    </w:p>
    <w:p>
      <w:pPr>
        <w:spacing w:after="0" w:line="2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We anticipate that our expenses will increase substantially if, and as, we:</w:t>
      </w:r>
    </w:p>
    <w:p>
      <w:pPr>
        <w:spacing w:after="0" w:line="73" w:lineRule="exact"/>
        <w:rPr>
          <w:sz w:val="20"/>
          <w:szCs w:val="20"/>
          <w:color w:val="auto"/>
        </w:rPr>
      </w:pPr>
    </w:p>
    <w:p>
      <w:pPr>
        <w:ind w:left="2080" w:hanging="116"/>
        <w:spacing w:after="0"/>
        <w:tabs>
          <w:tab w:leader="none" w:pos="20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 preclinical studies and clinical trials for ESK-001, A-005, and other programs;</w:t>
      </w:r>
    </w:p>
    <w:p>
      <w:pPr>
        <w:spacing w:after="0" w:line="81"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identify additional product candidates and acquire rights from third parties to those product candidates through licenses or other acquisitions, and conduct development activities, including preclinical studies and clinical trials;</w:t>
      </w:r>
    </w:p>
    <w:p>
      <w:pPr>
        <w:spacing w:after="0" w:line="4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procure the manufacturing of preclinical, clinical and commercial supply of our current and future product candidates;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seek regulatory approvals for our product candidates or any future product candidates;</w:t>
      </w:r>
    </w:p>
    <w:p>
      <w:pPr>
        <w:spacing w:after="0" w:line="72"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commercialize our current product candidates or any future product candidates, if approved;</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take steps toward our goal of being an integrated biopharma company capable of supporting commercial activities, including establishing sales, marketing and distribution infrastructure;</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attract, hire and retain qualified clinical, scientific, operations and management personnel;</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6" w:name="page17"/>
    <w:bookmarkEnd w:id="1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ind w:left="2080" w:hanging="116"/>
        <w:spacing w:after="0"/>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 and maintain operational, financial and information management systems;</w:t>
      </w:r>
    </w:p>
    <w:p>
      <w:pPr>
        <w:spacing w:after="0" w:line="100"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protect, maintain, enforce and defend our rights in our intellectual property portfolio;</w:t>
      </w:r>
    </w:p>
    <w:p>
      <w:pPr>
        <w:spacing w:after="0" w:line="90"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defend against third-party interference, infringement and other intellectual property claims, if any;</w:t>
      </w:r>
    </w:p>
    <w:p>
      <w:pPr>
        <w:spacing w:after="0" w:line="90"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address any competing therapies and market developments;</w:t>
      </w:r>
    </w:p>
    <w:p>
      <w:pPr>
        <w:spacing w:after="0" w:line="100" w:lineRule="exact"/>
        <w:rPr>
          <w:rFonts w:ascii="Times New Roman" w:cs="Times New Roman" w:eastAsia="Times New Roman" w:hAnsi="Times New Roman"/>
          <w:sz w:val="12"/>
          <w:szCs w:val="12"/>
          <w:color w:val="auto"/>
        </w:rPr>
      </w:pPr>
    </w:p>
    <w:p>
      <w:pPr>
        <w:jc w:val="both"/>
        <w:ind w:left="2080" w:right="1739" w:hanging="116"/>
        <w:spacing w:after="0" w:line="283" w:lineRule="auto"/>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experience any delays in our preclinical studies or clinical trials and seeking regulatory approval for our product candidates due to public health concerns, macroeconomic conditions or geopolitical conflicts; and</w:t>
      </w:r>
    </w:p>
    <w:p>
      <w:pPr>
        <w:spacing w:after="0" w:line="196"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 additional costs associated with operating as a public company following the completion of this offering.</w:t>
      </w:r>
    </w:p>
    <w:p>
      <w:pPr>
        <w:spacing w:after="0" w:line="59" w:lineRule="exact"/>
        <w:rPr>
          <w:sz w:val="20"/>
          <w:szCs w:val="20"/>
          <w:color w:val="auto"/>
        </w:rPr>
      </w:pPr>
    </w:p>
    <w:p>
      <w:pPr>
        <w:jc w:val="both"/>
        <w:ind w:left="1720" w:right="1739"/>
        <w:spacing w:after="0" w:line="261" w:lineRule="auto"/>
        <w:rPr>
          <w:sz w:val="20"/>
          <w:szCs w:val="20"/>
          <w:color w:val="auto"/>
        </w:rPr>
      </w:pPr>
      <w:r>
        <w:rPr>
          <w:rFonts w:ascii="Times New Roman" w:cs="Times New Roman" w:eastAsia="Times New Roman" w:hAnsi="Times New Roman"/>
          <w:sz w:val="12"/>
          <w:szCs w:val="12"/>
          <w:color w:val="auto"/>
        </w:rPr>
        <w:t>Even if we succeed in commercializing one or more product candidates, we expect to incur substantial development costs and other expenditures to develop and market additional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 or raise additional capital. Our prior losses and expected future losses have had and will continue to have an adverse effect on our stockholders’ equity (deficit) and our working capital.</w:t>
      </w:r>
    </w:p>
    <w:p>
      <w:pPr>
        <w:spacing w:after="0" w:line="217"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We could also encounter delays if a clinical trial is suspended, put on clinical hold or terminated by us, the investigational review boards (IRBs) or ethics committees of the institutions in which such trials are being conducted, the U.S. Food and Drug Administration (the FDA), or other comparable foreign regulatory authorities, or if a clinical trial is recommended for suspension or termination by the Data Safety Monitoring Board for such trial. A suspension, clinical hold or termination may be imposed due to a number of factors, including failure to conduct the clinical trial in accordance with regulatory requirements or our clinical protocols, failure by our contract research organizations (CROs) or clinical trial sites to perform in accordance with good clinical practices (GCP) requirements, or applicable regulatory guidelines in other countries, inspection of the clinical trial operations or trial site by the FDA or other comparable foreign regulatory authorities resulting in the imposition of a clinical hold, unforeseen safety issues or adverse side effects, failure to establish or achieve clinically meaningful trial endpoints, changes in governmental regulations or administrative actions or lack of adequate funding to continue the clinical trial. Clinical trials may also be delayed or terminated as a result of ambiguous or negative interim results. For example, we discontinued our proof-of-concept Phase 2a clinical trial of ESK-001 in patients with non-infectious uveitis in June 2024 based on the efficacy results of a data analysis prepared for a scheduled monitoring committee meeting, which efficacy results did not meet our clinical threshold for success despite safety results consistent with ESK-001’s safety profile in psoriasis patients. Many of the factors that cause, or lead to, a delay in the commencement or completion of clinical trials may also ultimately lead to the denial of regulatory approval of our product candidates. Further, the FDA or other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381"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We may also, in the future, conduct preclinical and clinical research in collaboration with other academic, pharmaceutical and biotechnology entities in which we combine our research or development efforts with those of our collaborators. Such collaborations may be subject to additional delays because of the management of the trials, contract negotiations, the need to obtain agreement from multiple parties and may increase our future costs and expenses.</w:t>
      </w:r>
    </w:p>
    <w:p>
      <w:pPr>
        <w:spacing w:after="0" w:line="77"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Our product development costs will increase if we experience delays in clinical testing or regulatory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Any delays or increase in costs in our clinical development programs may harm our business, financial condition, results of operations and prospects.</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7" w:name="page18"/>
    <w:bookmarkEnd w:id="1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both"/>
        <w:ind w:left="1720" w:right="1739"/>
        <w:spacing w:after="0" w:line="278" w:lineRule="auto"/>
        <w:rPr>
          <w:sz w:val="20"/>
          <w:szCs w:val="20"/>
          <w:color w:val="auto"/>
        </w:rPr>
      </w:pPr>
      <w:r>
        <w:rPr>
          <w:rFonts w:ascii="Times New Roman" w:cs="Times New Roman" w:eastAsia="Times New Roman" w:hAnsi="Times New Roman"/>
          <w:sz w:val="12"/>
          <w:szCs w:val="12"/>
          <w:b w:val="1"/>
          <w:bCs w:val="1"/>
          <w:i w:val="1"/>
          <w:iCs w:val="1"/>
          <w:color w:val="auto"/>
        </w:rPr>
        <w:t>Enrollment and retention of participants in clinical trials is an expensive and time-consuming process and could be made more difficult or rendered impossible by multiple factors outside our control, including difficulties in identifying patients, the availability of competitive products, and significant competition for recruiting participants in clinical trials.</w:t>
      </w:r>
    </w:p>
    <w:p>
      <w:pPr>
        <w:spacing w:after="0" w:line="77"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Participant enrollment, a significant factor in the timing of clinical trials, is affected by many conditions including the size and nature of the patient population, the number and location of clinical sites we enroll, the proximity of participants to clinical sites, the eligibility and exclusion criteria for the trial, the design of the clinical trial, the inability to obtain and maintain participant consents, the risk that enrolled participants will drop out before completion, competing clinical trials and clinicians’ and patients’ perceptions as to the potential advantages of the product candidate being studied in relation to other available therapies, including any new drugs or biologics that may be approved for the indications being investigated by us. Risks related to patient enrollment are heightened in longer clinical trials, including the 48-week trial period contemplated by our ongoing Phase 2b clinical trial of ESK-001 in SLE. In particular, this trial has been and may continue to be challenging to enroll due to the fact that patients must be experiencing active disease at the time of screening to be eligible for enrollment. In addition, our clinical trials will compete with other clinical trials for product candidates that are in the same areas as our product candidates, and this competition will reduce the number and types of participants available to us, because some participants who might have opted to enroll in our trials may instead opt to enroll in a trial being conducted by one of our competitors, or to use currently marketed therapies. Additionally, participants, including participants in any control groups, may withdraw from the clinical trial if they are not experiencing improvement in their underlying disease or condition or if they experience other difficulties or issues. Additionally, we could encounter delays if treating clinicians encounter unresolved ethical issues associated with enrolling participants in clinical trials of our product candidates in lieu of prescribing existing treatments that have established safety and efficacy profiles.</w:t>
      </w:r>
    </w:p>
    <w:p>
      <w:pPr>
        <w:spacing w:after="0" w:line="388" w:lineRule="exact"/>
        <w:rPr>
          <w:sz w:val="20"/>
          <w:szCs w:val="20"/>
          <w:color w:val="auto"/>
        </w:rPr>
      </w:pPr>
    </w:p>
    <w:p>
      <w:pPr>
        <w:jc w:val="both"/>
        <w:ind w:left="1720" w:right="1739"/>
        <w:spacing w:after="0" w:line="261" w:lineRule="auto"/>
        <w:rPr>
          <w:sz w:val="20"/>
          <w:szCs w:val="20"/>
          <w:color w:val="auto"/>
        </w:rPr>
      </w:pPr>
      <w:r>
        <w:rPr>
          <w:rFonts w:ascii="Times New Roman" w:cs="Times New Roman" w:eastAsia="Times New Roman" w:hAnsi="Times New Roman"/>
          <w:sz w:val="12"/>
          <w:szCs w:val="12"/>
          <w:color w:val="auto"/>
        </w:rPr>
        <w:t>We have in the past and may in the future experience participant withdrawals or discontinuations from our trials. Withdrawal of participants from our clinical trials may compromise the quality of our data. Even if we are able to enroll a sufficient number of participants in our clinical trials, delays in enrollment or small population size may result in increased costs or may affect the timing or outcome of our clinical trials. Any of these conditions may negatively impact our ability to complete such trials or include results from such trials in regulatory submissions, which could adversely affect our ability to advance the development of our product candidates.</w:t>
      </w:r>
    </w:p>
    <w:p>
      <w:pPr>
        <w:spacing w:after="0" w:line="270" w:lineRule="exact"/>
        <w:rPr>
          <w:sz w:val="20"/>
          <w:szCs w:val="20"/>
          <w:color w:val="auto"/>
        </w:rPr>
      </w:pPr>
    </w:p>
    <w:p>
      <w:pPr>
        <w:jc w:val="both"/>
        <w:ind w:left="1720" w:right="1739"/>
        <w:spacing w:after="0" w:line="274" w:lineRule="auto"/>
        <w:rPr>
          <w:sz w:val="20"/>
          <w:szCs w:val="20"/>
          <w:color w:val="auto"/>
        </w:rPr>
      </w:pPr>
      <w:r>
        <w:rPr>
          <w:rFonts w:ascii="Times New Roman" w:cs="Times New Roman" w:eastAsia="Times New Roman" w:hAnsi="Times New Roman"/>
          <w:sz w:val="12"/>
          <w:szCs w:val="12"/>
          <w:b w:val="1"/>
          <w:bCs w:val="1"/>
          <w:i w:val="1"/>
          <w:iCs w:val="1"/>
          <w:color w:val="auto"/>
        </w:rPr>
        <w:t>We will require substantial additional financing to achieve our goals and failure to obtain additional capital when needed, or on acceptable terms to us, could cause us to delay, limit, reduce, or terminate our product development or future commercialization efforts.</w:t>
      </w:r>
    </w:p>
    <w:p>
      <w:pPr>
        <w:spacing w:after="0" w:line="70"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Until such time, if ever, as we can generate substantial product revenue, we expect to finance our cash needs through equity offerings, debt financings, or other capital sources, including potential collaborations, licenses and other similar arrangements. To the extent that we raise additional capital through the sale of equity or convertible debt securities, your ownership interest will be diluted, and the terms of these securities may include liquidation or other preferences that adversely affect your rights as a holder of our common stock. Any future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w:t>
      </w:r>
    </w:p>
    <w:p>
      <w:pPr>
        <w:spacing w:after="0" w:line="226"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If we raise additional funds through future collaborations, licenses and other similar arrangements, we may have to relinquish valuable rights to our future revenue streams or product candidates,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would otherwise prefer to develop and market ourselves.</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8" w:name="page19"/>
    <w:bookmarkEnd w:id="1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Risks Related to Product Candidate Development and Commercialization</w:t>
      </w:r>
    </w:p>
    <w:p>
      <w:pPr>
        <w:spacing w:after="0" w:line="155" w:lineRule="exact"/>
        <w:rPr>
          <w:sz w:val="20"/>
          <w:szCs w:val="20"/>
          <w:color w:val="auto"/>
        </w:rPr>
      </w:pPr>
    </w:p>
    <w:p>
      <w:pPr>
        <w:jc w:val="both"/>
        <w:ind w:left="1720" w:right="1719"/>
        <w:spacing w:after="0" w:line="257" w:lineRule="auto"/>
        <w:rPr>
          <w:sz w:val="20"/>
          <w:szCs w:val="20"/>
          <w:color w:val="auto"/>
        </w:rPr>
      </w:pPr>
      <w:r>
        <w:rPr>
          <w:rFonts w:ascii="Times New Roman" w:cs="Times New Roman" w:eastAsia="Times New Roman" w:hAnsi="Times New Roman"/>
          <w:sz w:val="12"/>
          <w:szCs w:val="12"/>
          <w:b w:val="1"/>
          <w:bCs w:val="1"/>
          <w:i w:val="1"/>
          <w:iCs w:val="1"/>
          <w:color w:val="auto"/>
        </w:rPr>
        <w:t>Preclinical and 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current product candidates or any future product candidates.</w:t>
      </w:r>
    </w:p>
    <w:p>
      <w:pPr>
        <w:spacing w:after="0" w:line="70"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Our product candidates are either in clinical or preclinical development, and their risk of failure is high. It is impossible to predict when or if our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for their intended uses. Before obtaining approval from regulatory authorities for the commercialization of any of our product candidates, we must conduct extensive clinical trials to demonstrate the safety and efficacy of the product candidate in humans. Before we can initiate clinical trials for any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Investigational New Drug application (IND) or similar regulatory submission. The FDA or comparable foreign regulatory authorities may require us to conduct additional preclinical studies for any product candidate before allowing us to initiate clinical trials under any IND or similar regulatory submission, which may lead to delays and increase the costs of our preclinical development programs.</w:t>
      </w:r>
    </w:p>
    <w:p>
      <w:pPr>
        <w:spacing w:after="0" w:line="224"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Once initiated, clinical testing can take many years to complete, and its outcome is inherently uncertain. 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For example, notwithstanding extensive preclinical testing demonstrating that A-005 can penetrate the CNS, our clinical trials of A-005 may show that it cannot penetrate the human CNS as fully as was observed in preclinical testing. Differences in trial design between early-stage clinical trials and later-stage clinical trials make it difficult to extrapolate the results of earlier clinical trials to later clinical trials. A number of companies in the biopharmaceutical industry have suffered significant setbacks in advanced clinical trials due to lack of efficacy or unfavorable safety profiles, notwithstanding promising results in earlier trials, and we have experienced and may experience setbacks in our programs in the future. For example, we discontinued our proof-of-concept Phase 2a clinical trial of ESK-001 in patients with non-infectious uveitis in June 2024 based on the efficacy results of a data analysis prepared for a scheduled monitoring committee meeting, which efficacy results did not meet our clinical threshold for success despite safety results consistent with ESK-001’s safety profile in psoriasis patients. Moreover, clinical data are often susceptible to varying interpretations and analyses, and many companies that have believed their product candidates performed satisfactorily in clinical trials have nonetheless failed to obtain regulatory approval of such product candidates.</w:t>
      </w:r>
    </w:p>
    <w:p>
      <w:pPr>
        <w:spacing w:after="0" w:line="219"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Commencing any future clinical trials is subject to finalizing the trial design and submitting an application to the FDA or a comparable foreign regulatory authority. Even after we make our submission, the FDA or comparable foreign regulatory authorities could disagree that we have satisfied their requirements to commence our clinical trials or disagree with our study design, which may require us to complete additional trials or amend our protocols or impose stricter conditions on the commencement of clinical trials. There is typically a high rate of failure of product candidates proceeding through clinical trials, and failure can occur at any time during the clinical trial process. Most product candidates that commence clinical trials are never approved as products and there can be no assurance that any of our current or future clinical trials will ultimately be successful or support the approval of our current or any future product candidates.</w:t>
      </w:r>
    </w:p>
    <w:p>
      <w:pPr>
        <w:spacing w:after="0" w:line="77" w:lineRule="exact"/>
        <w:rPr>
          <w:sz w:val="20"/>
          <w:szCs w:val="20"/>
          <w:color w:val="auto"/>
        </w:rPr>
      </w:pPr>
    </w:p>
    <w:p>
      <w:pPr>
        <w:jc w:val="both"/>
        <w:ind w:left="1720" w:right="1739"/>
        <w:spacing w:after="0" w:line="255" w:lineRule="auto"/>
        <w:rPr>
          <w:sz w:val="20"/>
          <w:szCs w:val="20"/>
          <w:color w:val="auto"/>
        </w:rPr>
      </w:pPr>
      <w:r>
        <w:rPr>
          <w:rFonts w:ascii="Times New Roman" w:cs="Times New Roman" w:eastAsia="Times New Roman" w:hAnsi="Times New Roman"/>
          <w:sz w:val="12"/>
          <w:szCs w:val="12"/>
          <w:color w:val="auto"/>
        </w:rPr>
        <w:t>We expect to continue to rely on our CROs and clinical trial sites to ensure the proper and timely conduct of our clinical trials, including the participant enrollment process, and we have limited influence over their performance. We or any future collaborators may experience delays in initiating or completing clinical trials due to unforeseen events or otherwise, that could delay or prevent our ability to receive regulatory approval or commercialize our current and any future product candidates, including:</w:t>
      </w:r>
    </w:p>
    <w:p>
      <w:pPr>
        <w:spacing w:after="0" w:line="43" w:lineRule="exact"/>
        <w:rPr>
          <w:sz w:val="20"/>
          <w:szCs w:val="20"/>
          <w:color w:val="auto"/>
        </w:rPr>
      </w:pPr>
    </w:p>
    <w:p>
      <w:pPr>
        <w:ind w:left="2080" w:right="1739" w:hanging="116"/>
        <w:spacing w:after="0" w:line="294" w:lineRule="auto"/>
        <w:tabs>
          <w:tab w:leader="none" w:pos="208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we may be unable to generate sufficient preclinical, toxicology, or other </w:t>
      </w:r>
      <w:r>
        <w:rPr>
          <w:rFonts w:ascii="Times New Roman" w:cs="Times New Roman" w:eastAsia="Times New Roman" w:hAnsi="Times New Roman"/>
          <w:sz w:val="12"/>
          <w:szCs w:val="12"/>
          <w:i w:val="1"/>
          <w:iCs w:val="1"/>
          <w:color w:val="auto"/>
        </w:rPr>
        <w:t>in vivo</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i w:val="1"/>
          <w:iCs w:val="1"/>
          <w:color w:val="auto"/>
        </w:rPr>
        <w:t>in vitro</w:t>
      </w:r>
      <w:r>
        <w:rPr>
          <w:rFonts w:ascii="Times New Roman" w:cs="Times New Roman" w:eastAsia="Times New Roman" w:hAnsi="Times New Roman"/>
          <w:sz w:val="12"/>
          <w:szCs w:val="12"/>
          <w:color w:val="auto"/>
        </w:rPr>
        <w:t xml:space="preserve"> data to support the initiation or continuation of clinical trials;</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9" w:name="page20"/>
    <w:bookmarkEnd w:id="1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ind w:left="2080" w:right="1739" w:hanging="116"/>
        <w:spacing w:after="0" w:line="291" w:lineRule="auto"/>
        <w:tabs>
          <w:tab w:leader="none" w:pos="20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regulators, such as the FDA or comparable foreign regulatory authorities, may disagree with the design or implementation of our clinical trials;</w:t>
      </w:r>
    </w:p>
    <w:p>
      <w:pPr>
        <w:spacing w:after="0" w:line="31" w:lineRule="exact"/>
        <w:rPr>
          <w:rFonts w:ascii="Times New Roman" w:cs="Times New Roman" w:eastAsia="Times New Roman" w:hAnsi="Times New Roman"/>
          <w:sz w:val="12"/>
          <w:szCs w:val="12"/>
          <w:color w:val="auto"/>
        </w:rPr>
      </w:pPr>
    </w:p>
    <w:p>
      <w:pPr>
        <w:jc w:val="both"/>
        <w:ind w:left="2080" w:right="1739" w:hanging="116"/>
        <w:spacing w:after="0" w:line="265" w:lineRule="auto"/>
        <w:tabs>
          <w:tab w:leader="none" w:pos="20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regulators, such as the FDA or comparable foreign regulatory authorities, IRBs, or ethics committees may impose additional requirements before permitting us to initiate a clinical trial, may not allow us or our investigators to commence or conduct a clinical trial at a prospective trial site, may not allow us to amend trial protocols, or regulators may require that we modify or amend our clinical trial protocols;</w:t>
      </w:r>
    </w:p>
    <w:p>
      <w:pPr>
        <w:spacing w:after="0" w:line="196"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experience delays in reaching, or fail to reach, agreement on acceptable terms with trial sites and CROs, the terms of which can be subject to extensive negotiation and may vary significantly;</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unable to identify, recruit, or train suitable clinical investigators;</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clinical trial sites may deviate from trial protocol or drop out of a trial;</w:t>
      </w:r>
    </w:p>
    <w:p>
      <w:pPr>
        <w:spacing w:after="0" w:line="72"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participants required for clinical trials may be larger than we anticipate, enrollment in clinical trials may be slower than we anticipate or participants may drop out or fail to return for post-treatment follow-up at a higher rate than we anticipate;</w:t>
      </w:r>
    </w:p>
    <w:p>
      <w:pPr>
        <w:spacing w:after="0" w:line="43" w:lineRule="exact"/>
        <w:rPr>
          <w:rFonts w:ascii="Times New Roman" w:cs="Times New Roman" w:eastAsia="Times New Roman" w:hAnsi="Times New Roman"/>
          <w:sz w:val="12"/>
          <w:szCs w:val="12"/>
          <w:color w:val="auto"/>
        </w:rPr>
      </w:pPr>
    </w:p>
    <w:p>
      <w:pPr>
        <w:jc w:val="both"/>
        <w:ind w:left="2080" w:right="1739" w:hanging="116"/>
        <w:spacing w:after="0" w:line="270" w:lineRule="auto"/>
        <w:tabs>
          <w:tab w:leader="none" w:pos="20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clinical trials may be greater than we anticipate, or we may have insufficient funds to initiate or complete a clinical trial or to pay the substantial user fees required by the FDA upon the submission of a New Drug Application (NDA) or comparable marketing authorization application in another jurisdiction;</w:t>
      </w:r>
    </w:p>
    <w:p>
      <w:pPr>
        <w:spacing w:after="0" w:line="19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quality or quantity of data relating to our product candidates or other materials necessary to conduct our clinical trials may be inadequate to initiate or complete a given clinical trial;</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reports from clinical testing of other therapies may raise safety, tolerability or efficacy concerns about our product candidates;</w:t>
      </w:r>
    </w:p>
    <w:p>
      <w:pPr>
        <w:spacing w:after="0" w:line="31" w:lineRule="exact"/>
        <w:rPr>
          <w:rFonts w:ascii="Times New Roman" w:cs="Times New Roman" w:eastAsia="Times New Roman" w:hAnsi="Times New Roman"/>
          <w:sz w:val="12"/>
          <w:szCs w:val="12"/>
          <w:color w:val="auto"/>
        </w:rPr>
      </w:pPr>
    </w:p>
    <w:p>
      <w:pPr>
        <w:jc w:val="both"/>
        <w:ind w:left="2080" w:right="1739" w:hanging="116"/>
        <w:spacing w:after="0" w:line="266" w:lineRule="auto"/>
        <w:tabs>
          <w:tab w:leader="none" w:pos="20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we may decide to abandon product development programs;</w:t>
      </w:r>
    </w:p>
    <w:p>
      <w:pPr>
        <w:spacing w:after="0" w:line="47"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CROs or clinical trial sites may fail to perform in accordance with GCP requirements or other applicable regulations, rules or guidelines;</w:t>
      </w:r>
    </w:p>
    <w:p>
      <w:pPr>
        <w:spacing w:after="0" w:line="31"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unable to manufacture our product candidates from our contract manufacturing organizations (CMOs) in accordance with current Good Manufacturing Practice (cGMP) regulations or other applicable requirements in sufficient quantities for use in our clinical trials;</w:t>
      </w:r>
    </w:p>
    <w:p>
      <w:pPr>
        <w:spacing w:after="0" w:line="4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serious adverse events (SAEs) may occur in trials of the same class of agents conducted by other companies that could be considered similar to our product candidates;</w:t>
      </w:r>
    </w:p>
    <w:p>
      <w:pPr>
        <w:spacing w:after="0" w:line="22"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select clinical endpoints that require prolonged periods of clinical observation or extended analysis of the resulting data;</w:t>
      </w:r>
    </w:p>
    <w:p>
      <w:pPr>
        <w:spacing w:after="0" w:line="31"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required to transfer our manufacturing processes to larger-scale facilities operated by a different CMO, or may experience delays or failure by our CMOs or us to make any necessary changes to such manufacturing process; and</w:t>
      </w:r>
    </w:p>
    <w:p>
      <w:pPr>
        <w:spacing w:after="0" w:line="43" w:lineRule="exact"/>
        <w:rPr>
          <w:rFonts w:ascii="Times New Roman" w:cs="Times New Roman" w:eastAsia="Times New Roman" w:hAnsi="Times New Roman"/>
          <w:sz w:val="12"/>
          <w:szCs w:val="12"/>
          <w:color w:val="auto"/>
        </w:rPr>
      </w:pPr>
    </w:p>
    <w:p>
      <w:pPr>
        <w:ind w:left="2080" w:right="1739" w:hanging="116"/>
        <w:spacing w:after="0" w:line="265" w:lineRule="auto"/>
        <w:tabs>
          <w:tab w:leader="none" w:pos="20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third parties may be unwilling or unable to satisfy their contractual obligations to us in a timely manner.</w:t>
      </w:r>
    </w:p>
    <w:p>
      <w:pPr>
        <w:spacing w:after="0" w:line="241"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In addition, we have historically leveraged our extensive analyses of immune- relevant genome-wide association study (GWAS) results from both the public domain and the UK Biobank biomedical resource to identify the right therapeutic target on which to focus our preclinical and clinical development efforts. If our access to GWAS results from the public domain or the UK Biobank biomedical resource were to be restricted, including as a result of any potential future legislative policies or regulations that may seek to restrict the sharing of genetic data, our ability to efficiently identify additional therapeutic targets may be limited.</w:t>
      </w:r>
    </w:p>
    <w:p>
      <w:pPr>
        <w:spacing w:after="0" w:line="218"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In addition, the FDA’s and other regulatory authorities’ policies with respect to clinical trials may change and additional government regulations may be enacted. In the EU, the EU Clinical Trials Regulation (CTR) became applicable on January 31, 2022, repealing and replacing the Clinical Trials Directive (CTD). The</w:t>
      </w:r>
    </w:p>
    <w:p>
      <w:pPr>
        <w:spacing w:after="0" w:line="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CTR</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0" w:name="page21"/>
    <w:bookmarkEnd w:id="2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 the sponsor through a centralized EU portal, the Clinical Trial Information System (CTIS). The CTR provides a three-year transition period. The extent to which ongoing clinical trials will be governed by the CTR varies. Clinical trials for which an application for approval was made on the basis of the CTD (i) before January 31, 2022, or (ii) between January 31, 2022 and January 31, 2023 and for which the sponsor has opted for the application of the CTD, remain governed by the CTD until January 31, 2025. By that date, all ongoing trials will become subject to the provisions of the CTR. The CTR will apply to clinical trials from an earlier date if the related clinical trial application was made on the basis of the CTR or if the clinical trial has already transitioned to the CTR framework before January 31, 2025.</w:t>
      </w:r>
    </w:p>
    <w:p>
      <w:pPr>
        <w:spacing w:after="0" w:line="224"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It is currently unclear to what extent the UK, will seek to align its regulations with the EU. The UK regulatory framework in relation to clinical trials is derived from the CTD (as implemented into UK law, through secondary legislation). On January 17, 2022, the UK Medicines and Healthcare products Regulatory Agency (MHRA) launched an eight-week consultation on reframing the UK legislation for clinical trials with specific aims to streamline clinical trials approvals, enable innovation, enhance clinical trials transparency, enable greater risk proportionality, and promote patient and public involvement in clinical trials. The MHRA published its consultation outcome on March 21, 2023 in which it confirmed that it would update the existing legislation. The resulting legislative changes will ultimately determine the extent to which the UK regulations align with the CTR. A decision by the UK Government not to closely align its regulations with the new approach that has been adopted in the EU may have an effect on the cost of conducting clinical trials in the UK as opposed to other countries.</w:t>
      </w:r>
    </w:p>
    <w:p>
      <w:pPr>
        <w:spacing w:after="0" w:line="263"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b w:val="1"/>
          <w:bCs w:val="1"/>
          <w:i w:val="1"/>
          <w:iCs w:val="1"/>
          <w:color w:val="auto"/>
        </w:rPr>
        <w:t>Our clinical trials may reveal significant adverse events not seen in our preclinical studies or prior clinical trials and may result in a safety or tolerability profile that could delay or prevent regulatory approval or market acceptance of ESK-001, A-005 or any future product candidates.</w:t>
      </w:r>
    </w:p>
    <w:p>
      <w:pPr>
        <w:spacing w:after="0" w:line="65"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Undesirable or clinically unmanageable side effects observed in our clinical trials for our product candidates could occur and cause us or regulatory authorities to interrupt, delay or halt our clinical trials and could result in a more restrictive labeling or the delay or denial of regulatory approval by the FDA or comparable foreign regulatory authorities.</w:t>
      </w:r>
    </w:p>
    <w:p>
      <w:pPr>
        <w:spacing w:after="0" w:line="71"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We have observed SAEs and adverse events (AEs) in our trials of ESK-001, and as more patients become exposed to ESK-001 over longer periods of time, we expect to see additional SAEs and AEs emerge. Further, long term treatment with ESK-001 continues to be evaluated in open label extension (OLE) and long term extension (LTE) trials, and additional AEs and SAEs will continue to accumulate. Certain conditions occur more frequently in patients with psoriasis compared to the general population. Examples include obesity, cardiovascular disease, psoriatic arthritis, and depression. Immune modulating treatments including ESK-001 may result in increasing susceptibility to various infections, including serious or life-threatening infections, and there is a theoretical risk with immune-modulating agents that dampening immune responses could increase the risk of malignancies. However, no increase in malignancy risk has been demonstrated to date with approved therapies targeting similar immunological pathways, including TYK-2, IL-23 and type I IFN. Furthermore, a naturally occurring TYK-2 loss-of-function-mutation (P1104A) that is present in 3-5% of Caucasian populations has not been associated with increased cancer risk in rigorous analyses of large genetic data sets.</w:t>
      </w:r>
    </w:p>
    <w:p>
      <w:pPr>
        <w:spacing w:after="0" w:line="219"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Other TYK2 inhibitors, such as deucravacitinib (marketed as Sotyktu), which is approved for the treatment of adults with PsO, have shown AEs such as hypersensitivity reactions, infections, tuberculosis, malignancy, rhabdomyolysis, elevated PK and potential SAEs related to JAK inhibition, such as cardiovascular and thrombotic events. There can be no assurance that we will not observe such AEs in our ongoing and planned clinical trials of ESK-001.</w:t>
      </w:r>
    </w:p>
    <w:p>
      <w:pPr>
        <w:spacing w:after="0" w:line="75" w:lineRule="exact"/>
        <w:rPr>
          <w:sz w:val="20"/>
          <w:szCs w:val="20"/>
          <w:color w:val="auto"/>
        </w:rPr>
      </w:pPr>
    </w:p>
    <w:p>
      <w:pPr>
        <w:jc w:val="both"/>
        <w:ind w:left="1720" w:right="1739"/>
        <w:spacing w:after="0" w:line="273" w:lineRule="auto"/>
        <w:rPr>
          <w:sz w:val="20"/>
          <w:szCs w:val="20"/>
          <w:color w:val="auto"/>
        </w:rPr>
      </w:pPr>
      <w:r>
        <w:rPr>
          <w:rFonts w:ascii="Times New Roman" w:cs="Times New Roman" w:eastAsia="Times New Roman" w:hAnsi="Times New Roman"/>
          <w:sz w:val="12"/>
          <w:szCs w:val="12"/>
          <w:color w:val="auto"/>
        </w:rPr>
        <w:t>As of May 31, 2024, there have been six SAEs in the OLE trial. Two SAEs were considered potentially related: a case of wrist arthritis in a patient with a history of gout and osteoarthritis; and a case of peritonsillar</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1" w:name="page22"/>
    <w:bookmarkEnd w:id="21"/>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abscess (40mg BID) following COVID-19 infection that required treatment with antibiotics. Four additional SAEs were considered unrelated by the investigator, by us, or by both; a case of sepsis in a patient with diabetic leg ulcers (40mg BID); a case of dyspnea (40mg QD); a case of EGFR-positive, adenocarcinoma of the lung (40mg QD) in a patient with a strong familial history of lung cancer; and a case of advanced renal cell carcinoma (40mg BID) which, due to its large size and the slow-growing nature of renal cell carcinomas, very likely preceded exposure to ESK-001. In both cases of malignancy, the investigator could not definitively rule out relationship to ESK-001 but in our assessment, both cases were unrelated to ESK-001 treatment. Additionally, the adenocarcinoma of the lung (NSCLC) occurred after four weeks from the last dose and therefore is considered non-treatment-emergent and not shown in the table above.</w:t>
      </w:r>
    </w:p>
    <w:p>
      <w:pPr>
        <w:spacing w:after="0" w:line="79"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The most commonly reported AEs in our PsO trials include upper respiratory infections, nasopharyngitis and headaches.</w:t>
      </w:r>
    </w:p>
    <w:p>
      <w:pPr>
        <w:spacing w:after="0" w:line="59"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If AEs, SAEs or other side effects are observed in any of our ongoing or future clinical trials that are atypical of, or more severe than, the known side effects of the respective class of agents that each of our product candidates are a part of, we may have difficulty recruiting participants to our clinical trials, participants may drop out of our trials, or we may be required to abandon those trials or our development efforts of one or more product candidates altogether. If such effects are more severe or less reversible than we expect, or not reversible at all, we may decide or be required to perform additional studies or to halt or delay further clinical development of ESK-001, A-005 or any future product candidates, which could result in the delay or denial of regulatory approval by the FDA or comparable foreign regulatory authorities.</w:t>
      </w:r>
    </w:p>
    <w:p>
      <w:pPr>
        <w:spacing w:after="0" w:line="68"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In addition, we believe that one of the potential benefits of ESK-001 includes the potential to improve on the safety and side-effect profile of the only currently approved allosteric TYK2 inhibitor in the United States. If ESK-001 is shown to have similar AEs, side effects or other safety or tolerability concerns, then our opportunity to disrupt the current standard of care may be limited. AEs and SAEs that emerge during clinical investigation of or treatment with ESK-001, A-005, or any future product candidates may be deemed to be related to our product candidates. This may require longer and more extensive clinical development, or regulatory authorities may increase the amount of data and information required to approve, market, or maintain ESK-001, A-005 or any future product candidates and could result in warnings and precautions in our product labeling or a restrictive risk evaluation and mitigation strategy (REMS) or comparable foreign strategies. This may also result in an inability to obtain approval of ESK-001, A-005 or any future product candidates. We, the FDA or other comparable foreign regulatory authorities, or an IRB or ethics committee, may suspend clinical trials of a product candidate at any time for various reasons, including a belief that participants in such trials are being exposed to unacceptable health risks or adverse side effects. Some potential product candidates developed in the biotechnology industry that initially showed promise in early-stage trials have later been found to cause side effects that prevented their further development. Even if the side effects do not preclude the product candidate from obtaining or maintaining regulatory approval, undesirable side effects, like those mentioned above, may inhibit market acceptance of the approved product due to its tolerability versus other therapies. Any of these developments could materially harm our business, financial condition, results of operations and prospects.</w:t>
      </w:r>
    </w:p>
    <w:p>
      <w:pPr>
        <w:spacing w:after="0" w:line="235"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comparable foreign strategies or engage in similar actions, such as patient education, certification of health care professionals or specific monitoring, if we or others later identify undesirable side effects caused by any product that we develop alone or with collaborators. Other potentially significant negative consequences associated with AEs include:</w:t>
      </w:r>
    </w:p>
    <w:p>
      <w:pPr>
        <w:spacing w:after="0" w:line="202" w:lineRule="exact"/>
        <w:rPr>
          <w:sz w:val="20"/>
          <w:szCs w:val="20"/>
          <w:color w:val="auto"/>
        </w:rPr>
      </w:pPr>
    </w:p>
    <w:p>
      <w:pPr>
        <w:ind w:left="2080" w:right="1739" w:hanging="116"/>
        <w:spacing w:after="0" w:line="291" w:lineRule="auto"/>
        <w:tabs>
          <w:tab w:leader="none" w:pos="20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required to suspend marketing of a product, or we may decide to remove such product from the marketplace;</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authorities may withdraw, suspend or change their approvals of a product;</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2" w:name="page23"/>
    <w:bookmarkEnd w:id="2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2080" w:right="1739" w:hanging="116"/>
        <w:spacing w:after="0" w:line="272" w:lineRule="auto"/>
        <w:tabs>
          <w:tab w:leader="none" w:pos="20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authorities may require additional warnings on the label or limit access of a product to selective specialized centers with additional safety reporting and with requirements that patients be geographically close to these centers for all or part of their treatment; and</w:t>
      </w:r>
    </w:p>
    <w:p>
      <w:pPr>
        <w:spacing w:after="0" w:line="4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required to create a medication guide outlining the risks of a product for patients, or to conduct post-marketing studies.</w:t>
      </w:r>
    </w:p>
    <w:p>
      <w:pPr>
        <w:spacing w:after="0" w:line="59"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Any of these events could diminish the usage or otherwise limit the commercial success of our product candidates and prevent us from achieving or maintaining market acceptance of our product candidates, if approved by the FDA or comparable foreign regulatory authorities.</w:t>
      </w:r>
    </w:p>
    <w:p>
      <w:pPr>
        <w:spacing w:after="0" w:line="123"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b w:val="1"/>
          <w:bCs w:val="1"/>
          <w:i w:val="1"/>
          <w:iCs w:val="1"/>
          <w:color w:val="auto"/>
        </w:rPr>
        <w:t>Preliminary, “top-line” and interim data from our clinical trials that we announce or publish from time to time may change as more patient data become available or are subject to audit and verification procedures that could result in material changes in the final data.</w:t>
      </w:r>
    </w:p>
    <w:p>
      <w:pPr>
        <w:spacing w:after="0" w:line="70"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From time to time, we may publicly disclose preliminary or top-line data from our preclinical studies and clinical trials, which are based on preliminary analyses of then-available data, and the results and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preliminary data we previously published. As a result, top-line and preliminary data should be viewed with caution until the final data are available.</w:t>
      </w:r>
    </w:p>
    <w:p>
      <w:pPr>
        <w:spacing w:after="0" w:line="229"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From time to time, we may also disclose data from interim analyses from our clinical trials. Interim analyses from clinical trials that we may complete are subject to the risk that one or more of the clinical outcomes may materially change as participants enrollment continues and more participant data become available or as participants from our clinical trials continue other treatments for their disease. Adverse differences between interim data, topline data, or preliminary data and final data could significantly harm our business prospects.</w:t>
      </w:r>
    </w:p>
    <w:p>
      <w:pPr>
        <w:spacing w:after="0" w:line="224"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could adversely affect the success of our business.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1"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and prospects. Further, disclosure of interim, top-line or preliminary data by us or by our competitors could result in volatility in the price of our common stock after this offering.</w:t>
      </w:r>
    </w:p>
    <w:p>
      <w:pPr>
        <w:spacing w:after="0" w:line="121" w:lineRule="exact"/>
        <w:rPr>
          <w:sz w:val="20"/>
          <w:szCs w:val="20"/>
          <w:color w:val="auto"/>
        </w:rPr>
      </w:pPr>
    </w:p>
    <w:p>
      <w:pPr>
        <w:jc w:val="both"/>
        <w:ind w:left="1720" w:right="1739"/>
        <w:spacing w:after="0" w:line="274" w:lineRule="auto"/>
        <w:rPr>
          <w:sz w:val="20"/>
          <w:szCs w:val="20"/>
          <w:color w:val="auto"/>
        </w:rPr>
      </w:pPr>
      <w:r>
        <w:rPr>
          <w:rFonts w:ascii="Times New Roman" w:cs="Times New Roman" w:eastAsia="Times New Roman" w:hAnsi="Times New Roman"/>
          <w:sz w:val="12"/>
          <w:szCs w:val="12"/>
          <w:b w:val="1"/>
          <w:bCs w:val="1"/>
          <w:i w:val="1"/>
          <w:iCs w:val="1"/>
          <w:color w:val="auto"/>
        </w:rPr>
        <w:t>We have conducted, are currently conducting, and may in the future conduct, clinical trials for current or future product candidates outside the United States, and the FDA and comparable foreign regulatory authorities may not accept data from such trials.</w:t>
      </w:r>
    </w:p>
    <w:p>
      <w:pPr>
        <w:spacing w:after="0" w:line="70"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We have conducted, are currently conducting, and may in the future conduct, clinical trials outside the United States, including in Argentina, Austria, Australia, Belgium, Bulgaria, Canada, Chile, Colombia, Croatia, Czech Republic, Denmark, Estonia, France, Georgia, Germany, Hungary, India, Israel, Japan, Latvia, Mexico, Netherlands, Peru, Philippines, Poland, Portugal, Puerto Rico, Romania, South Korea, Spain, Taiwan, and the UK. We expect to continue to conduct trials internationally in the future. The acceptance of data from clinical trials conducted outside the United States or another jurisdiction by the FDA or comparable foreign regulatory authorities may be subject to certain conditions or may not be accepted at all. In cases</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3" w:name="page24"/>
    <w:bookmarkEnd w:id="23"/>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ind w:left="1720" w:right="1739"/>
        <w:spacing w:after="0" w:line="259" w:lineRule="auto"/>
        <w:rPr>
          <w:sz w:val="20"/>
          <w:szCs w:val="20"/>
          <w:color w:val="auto"/>
        </w:rPr>
      </w:pPr>
      <w:r>
        <w:rPr>
          <w:rFonts w:ascii="Times New Roman" w:cs="Times New Roman" w:eastAsia="Times New Roman" w:hAnsi="Times New Roman"/>
          <w:sz w:val="12"/>
          <w:szCs w:val="12"/>
          <w:color w:val="auto"/>
        </w:rPr>
        <w:t>where data from foreign clinical trials are intended to serve as the sole basis for regulatory approval in the United States, the FDA will generally not approve the application on the basis of foreign data alone unless</w:t>
      </w:r>
    </w:p>
    <w:p>
      <w:pPr>
        <w:jc w:val="both"/>
        <w:ind w:left="1720" w:right="1739"/>
        <w:spacing w:after="0" w:line="245" w:lineRule="auto"/>
        <w:tabs>
          <w:tab w:leader="none" w:pos="1876"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data are applicable to the U.S. population and U.S. medical practice and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are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being delayed or not receiving approval for commercialization in the applicable jurisdiction.</w:t>
      </w:r>
    </w:p>
    <w:p>
      <w:pPr>
        <w:spacing w:after="0" w:line="261"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Even if we receive regulatory approval for our current or future product candidates in the United States, we may never receive regulatory approval to market outside of the United States.</w:t>
      </w:r>
    </w:p>
    <w:p>
      <w:pPr>
        <w:spacing w:after="0" w:line="49" w:lineRule="exact"/>
        <w:rPr>
          <w:sz w:val="20"/>
          <w:szCs w:val="20"/>
          <w:color w:val="auto"/>
        </w:rPr>
      </w:pPr>
    </w:p>
    <w:p>
      <w:pPr>
        <w:jc w:val="both"/>
        <w:ind w:left="1720" w:right="1739"/>
        <w:spacing w:after="0" w:line="245" w:lineRule="auto"/>
        <w:rPr>
          <w:sz w:val="20"/>
          <w:szCs w:val="20"/>
          <w:color w:val="auto"/>
        </w:rPr>
      </w:pPr>
      <w:r>
        <w:rPr>
          <w:rFonts w:ascii="Times New Roman" w:cs="Times New Roman" w:eastAsia="Times New Roman" w:hAnsi="Times New Roman"/>
          <w:sz w:val="12"/>
          <w:szCs w:val="12"/>
          <w:color w:val="auto"/>
        </w:rPr>
        <w:t>We plan to seek regulatory approval for our current and future product candidates outside of the United States and are currently conducting certain clinical trials internationally, including in the European Union (EU) and Japan. In order to market any product outside of the United States, however, we must establish and comply with the numerous and varying safety, efficacy and other regulatory requirements of other applicable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regulatory approval processes in other countries generally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Regulatory approval in one country does not ensure regulatory approval in another, but a failure or delay in obtaining regulatory approval in one country may have a negative effect on the regulatory process in others and would impair our ability to market our current or future product candidates in such foreign markets. Any such impairment would reduce the size of our potential market, which could adversely affect our business, financial condition, results of operations and prospects.</w:t>
      </w:r>
    </w:p>
    <w:p>
      <w:pPr>
        <w:spacing w:after="0" w:line="275" w:lineRule="exact"/>
        <w:rPr>
          <w:sz w:val="20"/>
          <w:szCs w:val="20"/>
          <w:color w:val="auto"/>
        </w:rPr>
      </w:pPr>
    </w:p>
    <w:p>
      <w:pPr>
        <w:jc w:val="both"/>
        <w:ind w:left="1720" w:right="1739"/>
        <w:spacing w:after="0" w:line="288" w:lineRule="auto"/>
        <w:rPr>
          <w:sz w:val="20"/>
          <w:szCs w:val="20"/>
          <w:color w:val="auto"/>
        </w:rPr>
      </w:pPr>
      <w:r>
        <w:rPr>
          <w:rFonts w:ascii="Times New Roman" w:cs="Times New Roman" w:eastAsia="Times New Roman" w:hAnsi="Times New Roman"/>
          <w:sz w:val="11"/>
          <w:szCs w:val="11"/>
          <w:b w:val="1"/>
          <w:bCs w:val="1"/>
          <w:i w:val="1"/>
          <w:iCs w:val="1"/>
          <w:color w:val="auto"/>
        </w:rPr>
        <w:t>The successful commercialization of our product candidates, if approved, will depend in part on the extent to which governmental authorities and health payors and insurers establish coverage, adequate reimbursement levels and favorable pricing policies. Failure to obtain or maintain coverage and adequate reimbursement for our product candidates could limit our ability to market those products and decrease our ability to generate revenue.</w:t>
      </w:r>
    </w:p>
    <w:p>
      <w:pPr>
        <w:spacing w:after="0" w:line="54"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products by third-party payors will have an effect on our ability to successfully commercialize those products. Even if we obtain coverage for a given product by a third-party payor, the resulting reimbursement payment rates may not be adequate or may require co-payments that patients find unacceptably high. We cannot be sure that coverage and reimbursement in the United States, the EU, Japan or elsewhere will be available for any product that we may develop, and any reimbursement that may become available may be decreased or eliminated in the future.</w:t>
      </w:r>
    </w:p>
    <w:p>
      <w:pPr>
        <w:spacing w:after="0" w:line="219"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Third-party payors increasingly are challenging prices charged for biopharmaceutical products and services, and many third-party payors may refuse to provide coverage and reimbursement for particular drugs when equivalent generic drugs, biosimilars or less expensive therapies are available. It is possible that a third-party</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4" w:name="page25"/>
    <w:bookmarkEnd w:id="2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payor may consider our product candidates, if approved, as substitutable and only be willing to cover the cost of the alternative product. Even if we show improved efficacy, safety or improved convenience of administration with ESK-001, A-005 or any of our future product candidates, if approved, pricing of competitive products may limit the amount we will be able to charge for our product candidates, if approved. Third-party payors may deny or revoke the reimbursement status of a given product or establish prices for new or existing marketed products at levels that are too low to enable us to realize an appropriate return on our investment in our product candidates. In some cases, when new competitor generic and biosimilar products enter the market, there are mandatory price reductions for the innovator compound. In other cases, payors employ “therapeutic category” price referencing and seek to lower the reimbursement levels for all treatments in the respective therapeutic category. Additionally, new competitor brand drugs can trigger therapeutic category reviews in the interest of modifying coverage and/or reimbursement levels. The potential of third-party payors to introduce more challenging price negotiation methodologies could have a negative impact on our ability to successfully commercialize our product candidates, if approved.</w:t>
      </w:r>
    </w:p>
    <w:p>
      <w:pPr>
        <w:spacing w:after="0" w:line="77"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therapies before they will reimburse healthcare providers who use such therapies. It is difficult to predict at this time what third-party payors will decide with respect to the coverage and reimbursement for our products, if approved.</w:t>
      </w:r>
    </w:p>
    <w:p>
      <w:pPr>
        <w:spacing w:after="0" w:line="218"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Obtaining and maintaining reimbursement status is time 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spacing w:after="0" w:line="219"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Outside the United States, biopharmaceutical products and services are generally subject to extensive governmental price controls and other market regulations, and we believe the increasing emphasis on cost-containment initiatives in Europe and other countries will continue to put pressure on the pricing and usage of our product candidates. In many countries, the prices of medical products are subject to varying price control mechanisms as part of national health systems. Some countries provide that products may be marketed only after an agreement on reimbursement price has been reached. Such pricing negotiations with governmental authorities can take considerable time after receipt of marketing approval for a product. Political, economic and regulatory developments may further complicate pricing negotiations, and pricing negotiations may continue after reimbursement has been obtained. Other countries allow companies to establish their own prices for medical products but monitor and control company profits or control prescription volumes and issue guidance to physicians to limit prescriptions. In addition, some EU member states may require the completion of additional studies that compare the cost-effectiveness of a particular medicinal product candidate to currently available therapies. This Health Technology Assessment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w:t>
      </w:r>
    </w:p>
    <w:p>
      <w:pPr>
        <w:spacing w:after="0" w:line="226"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Additional foreign price controls or other changes in pricing regulation could restrict the amount that we are able to charge for our product candidates, if approved. In December 2021, Regulation No 2021/2282 on Health Technology Assessment (HTA Regulation) was adopted. The HTA Regulation intends to boost cooperation among EU member states in assessing health technologies, including new medicinal products, and provide the basis for cooperation at EU level for joint clinical assessments in these areas. While the HTA</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5" w:name="page26"/>
    <w:bookmarkEnd w:id="25"/>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Regulation entered into force in January 2022, it will only begin to apply from January 2025 onwards, with preparatory and implementation-related steps to take place in the interim. Once applicable, it will have a phased implementation depending on the concerned products. The HTA Regulation will be intended to harmonize the clinical benefit assessment of HTA across the EU. Accordingly, in markets outside the United States, the reimbursement for our product candidates may be reduced compared with the United States and may be insufficient to generate commercially reasonable revenue and profits.</w:t>
      </w:r>
    </w:p>
    <w:p>
      <w:pPr>
        <w:spacing w:after="0" w:line="74"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There can be no assurance that any country that has reimbursement limitations for pharmaceutical products will allow favorable reimbursement and pricing arrangements for any of our products, if approved in those countries.</w:t>
      </w:r>
    </w:p>
    <w:p>
      <w:pPr>
        <w:spacing w:after="0" w:line="120"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b w:val="1"/>
          <w:bCs w:val="1"/>
          <w:i w:val="1"/>
          <w:iCs w:val="1"/>
          <w:color w:val="auto"/>
        </w:rPr>
        <w:t>We face competition from entities that have made substantial investments into the rapid development of competitor treatments for immunological indications, including large and specialty pharmaceutical and biotechnology companies, many of which already have approved therapies in our current indications.</w:t>
      </w:r>
    </w:p>
    <w:p>
      <w:pPr>
        <w:spacing w:after="0" w:line="65"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The development and commercialization of therapies is highly competitive. Our product candidates, if approved, will face significant competition, including from well-established, currently marketed therapies, and our failure to demonstrate a meaningful improvement to the existing standard of care may prevent us from achieving significant market penetration. Many of our competitors have significantly greater resources and experience than we do, and we may not be able to successfully compete. We face substantial competition from multiple sources, including large and specialty pharmaceutical and biotechnology companies, academic research institutions and governmental agencies and public and private research institutions. Our competitors compete with us on the level of the technologies employed, or on the level of development of their products as compared to our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any future product candidates. We anticipate that we will continue to face increasing competition as new therapies and combinations thereof, and related data, emerge.</w:t>
      </w:r>
    </w:p>
    <w:p>
      <w:pPr>
        <w:spacing w:after="0" w:line="222"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Our current product candidates, initially under development for treatment of patients with immune- mediated diseases, if approved, would face competition from existing approved immunological treatments, many of which have achieved commercial success. For example, we are currently developing ESK-001 for the treatment of PsO and SLE. Other emerging and established life sciences companies have been focused on similar therapeutics. If approved, ESK-001 would compete with several currently approved or late-stage oral clinical therapeutics, including Otezla (marketed by Amgen Inc.), Sotyktu (marketed by Bristol Myers Squibb Company (BMS)), TAK-279 (in development by Takeda Pharmaceutical Company), VTX-958 (in development by Ventyx Biosciences, Inc.), JNJ-2113 (in development by Johnson &amp; Johnson), DC-806 (in development by Lilly), as well as new early-stage therapeutic companies that may develop competing molecules. Other TYK2 agents are also under development in SLE by BMS, as well as other TYK2 clinical development programs at Galapagos NV, Innocare, and Priovant Therapeutics, Inc.</w:t>
      </w:r>
    </w:p>
    <w:p>
      <w:pPr>
        <w:spacing w:after="0" w:line="77" w:lineRule="exact"/>
        <w:rPr>
          <w:sz w:val="20"/>
          <w:szCs w:val="20"/>
          <w:color w:val="auto"/>
        </w:rPr>
      </w:pPr>
    </w:p>
    <w:p>
      <w:pPr>
        <w:jc w:val="both"/>
        <w:ind w:left="1720" w:right="1739"/>
        <w:spacing w:after="0" w:line="255" w:lineRule="auto"/>
        <w:rPr>
          <w:sz w:val="20"/>
          <w:szCs w:val="20"/>
          <w:color w:val="auto"/>
        </w:rPr>
      </w:pPr>
      <w:r>
        <w:rPr>
          <w:rFonts w:ascii="Times New Roman" w:cs="Times New Roman" w:eastAsia="Times New Roman" w:hAnsi="Times New Roman"/>
          <w:sz w:val="12"/>
          <w:szCs w:val="12"/>
          <w:color w:val="auto"/>
        </w:rPr>
        <w:t>We are also developing A-005, which has potential applications in MS and other neuroinflammatory and neurodegenerative diseases. There are several therapies available for the treatment of relapsing forms of MS, including interferon beta regulators, monoclonal antibodies, synthetic immunomodulatory drugs and S1P receptor modulators. Ocrevus, a CD20 antibody marketed by Genentech, Inc., is approved for primary progressive multiple sclerosis (PPMS).</w:t>
      </w:r>
    </w:p>
    <w:p>
      <w:pPr>
        <w:spacing w:after="0" w:line="73"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To compete successfully, we need to disrupt these currently marketed drugs, meaning that we will have to demonstrate that the relative cost, method of administration, safety, tolerability and efficacy of our product candidates provide a better alternative to existing and new therapies. Our commercial opportunity and</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6" w:name="page27"/>
    <w:bookmarkEnd w:id="2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5" w:lineRule="auto"/>
        <w:rPr>
          <w:sz w:val="20"/>
          <w:szCs w:val="20"/>
          <w:color w:val="auto"/>
        </w:rPr>
      </w:pPr>
      <w:r>
        <w:rPr>
          <w:rFonts w:ascii="Times New Roman" w:cs="Times New Roman" w:eastAsia="Times New Roman" w:hAnsi="Times New Roman"/>
          <w:sz w:val="12"/>
          <w:szCs w:val="12"/>
          <w:color w:val="auto"/>
        </w:rPr>
        <w:t>likelihood of success will be reduced or eliminated if our product candidates are not ultimately demonstrated to be safer, more effective, more conveniently administered, or less expensive than the current standard of care. Furthermore, even if our product candidates are able to achieve these attributes, acceptance of our products may be inhibited by the reluctance of physicians to switch from existing therapies to our products, or if physicians choose to reserve our products for use in limited circumstances.</w:t>
      </w:r>
    </w:p>
    <w:p>
      <w:pPr>
        <w:spacing w:after="0" w:line="73"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Many of our competitors have significantly greater financial, technical, manufacturing, marketing, sales and supply resources or experience than we have. If we obtain regulatory approval for any product candidate, we will face competition based on many different factors, including the safety and effectiveness of our current or any future product candidates, the ease with which our current or any future product candidates can be administered and the extent to which participants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current or any future product candidates. Such competitors could also recruit our employees, which could negatively impact our level of expertise and our ability to execute our business plan.</w:t>
      </w:r>
    </w:p>
    <w:p>
      <w:pPr>
        <w:spacing w:after="0" w:line="219"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management and other personnel in establishing clinical trial sites and enrolling patients in clinical trials, as well as in acquiring technologies complementary to, or necessary for, our programs.</w:t>
      </w:r>
    </w:p>
    <w:p>
      <w:pPr>
        <w:spacing w:after="0" w:line="12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Risks Related to Our Business and Operations</w:t>
      </w:r>
    </w:p>
    <w:p>
      <w:pPr>
        <w:spacing w:after="0" w:line="155" w:lineRule="exact"/>
        <w:rPr>
          <w:sz w:val="20"/>
          <w:szCs w:val="20"/>
          <w:color w:val="auto"/>
        </w:rPr>
      </w:pPr>
    </w:p>
    <w:p>
      <w:pPr>
        <w:jc w:val="both"/>
        <w:ind w:left="1720" w:right="1719"/>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Our business is highly dependent on the success of our most advanced product candidate, ESK-001, and we cannot guarantee that ESK-001 will successfully complete development, receive regulatory approval or be successfully commercialized. If we are unable to develop, receive regulatory approval for, and ultimately successfully commercialize our product candidates, or if we experience significant delays in doing so, our business will be materially harmed.</w:t>
      </w:r>
    </w:p>
    <w:p>
      <w:pPr>
        <w:spacing w:after="0" w:line="74"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We currently have no products approved for commercial sale or for which regulatory approval to market has been sought. We have invested a significant portion of our efforts and financial resources in the development of our most advanced product candidate, ESK-001, which is still in clinical development, and expect that we will continue to invest heavily in ESK-001, as well as our second product candidate, A-005, and any future product candidates we may develop. Our business and our ability to generate revenue, which we do not expect will occur for many years, if ever, are substantially dependent on our ability to develop, obtain regulatory approval for, and then successfully commercialize our product candidates, which may never occur.</w:t>
      </w:r>
    </w:p>
    <w:p>
      <w:pPr>
        <w:spacing w:after="0" w:line="220"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Our product candidates will require substantial additional preclinical and clinical development time, regulatory approval, commercial manufacturing arrangements, establishment of a commercial organization, significant marketing efforts, and further investment before we can generate any revenue from product sales. We currently generate no revenue, and we may never be able to develop or commercialize any products. We cannot assure you that we will meet our timelines for our current or future clinical trials, which may be delayed or not completed for a number of reasons. Our product candidates are susceptible to the risks of failure inherent at any stage of product development, including the appearance of unexpected AEs or failure to achieve primary endpoints in clinical trials. For example, we discontinued our proof-of-concept Phase 2a clinical trial of ESK-001 in patients with non-infectious uveitis in June 2024 based on the efficacy results of a data analysis prepared for a scheduled monitoring committee meeting, which efficacy results did not meet our clinical threshold for success despite safety results consistent with ESK-001’s safety profile in psoriasis patients. Additionally, we may in the future advance ESK-001, A-005, or future product candidates into clinical trials and terminate such trials prior to their completion.</w:t>
      </w:r>
    </w:p>
    <w:p>
      <w:pPr>
        <w:spacing w:after="0" w:line="219" w:lineRule="exact"/>
        <w:rPr>
          <w:sz w:val="20"/>
          <w:szCs w:val="20"/>
          <w:color w:val="auto"/>
        </w:rPr>
      </w:pPr>
    </w:p>
    <w:p>
      <w:pPr>
        <w:jc w:val="both"/>
        <w:ind w:left="1720" w:right="1739"/>
        <w:spacing w:after="0" w:line="273" w:lineRule="auto"/>
        <w:rPr>
          <w:sz w:val="20"/>
          <w:szCs w:val="20"/>
          <w:color w:val="auto"/>
        </w:rPr>
      </w:pPr>
      <w:r>
        <w:rPr>
          <w:rFonts w:ascii="Times New Roman" w:cs="Times New Roman" w:eastAsia="Times New Roman" w:hAnsi="Times New Roman"/>
          <w:sz w:val="12"/>
          <w:szCs w:val="12"/>
          <w:color w:val="auto"/>
        </w:rPr>
        <w:t>Even if our product candidates are successful in clinical trials, we are not permitted to market or promote our product candidates before we receive regulatory approval from the FDA or comparable foreign regulatory</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7" w:name="page28"/>
    <w:bookmarkEnd w:id="2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authorities, and we may never receive sufficient regulatory approval that will allow us to successfully commercialize any product candidates. If we do not receive FDA or comparable foreign regulatory approval with the necessary conditions to allow commercialization, we will not be able to generate revenue from those product candidates in the United States or elsewhere in the foreseeable future, or at all. Any significant delays in obtaining approval for and commercializing our product candidates could adversely affect our business, financial condition, results of operations and prospects.</w:t>
      </w:r>
    </w:p>
    <w:p>
      <w:pPr>
        <w:spacing w:after="0" w:line="74"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We have not previously submitted an NDA or similar marketing application to the FDA or comparable foreign regulatory authorities for any product candidate, and we cannot be certain that our current or any future product candidates will be successful in clinical trials or receive regulatory approval. The FDA may also consider its approvals of competing products, which may alter the treatment landscape concurrently with their review of any NDA we may submit, and which may lead to changes in the FDA’s review requirements that have been previously communicated to us and our interpretation thereof, including changes to requirements for clinical data or clinical study design. Such changes could delay approval or necessitate withdrawal of any such NDA submission. Similar risks may exist in foreign jurisdictions.</w:t>
      </w:r>
    </w:p>
    <w:p>
      <w:pPr>
        <w:spacing w:after="0" w:line="77"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If approved for marketing by applicable regulatory authorities, our ability to generate revenue from our product candidates will depend on our ability to:</w:t>
      </w:r>
    </w:p>
    <w:p>
      <w:pPr>
        <w:spacing w:after="0" w:line="32" w:lineRule="exact"/>
        <w:rPr>
          <w:sz w:val="20"/>
          <w:szCs w:val="20"/>
          <w:color w:val="auto"/>
        </w:rPr>
      </w:pPr>
    </w:p>
    <w:p>
      <w:pPr>
        <w:ind w:left="2080" w:right="1739" w:hanging="116"/>
        <w:spacing w:after="0" w:line="291" w:lineRule="auto"/>
        <w:tabs>
          <w:tab w:leader="none" w:pos="20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price our products competitively such that third-party and government reimbursement permits broad product adoption;</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demonstrate the superiority of our products compared to the standard of care, as well as to other therapies in development;</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create market demand for our product candidates through our own marketing and sales activities, and any other arrangements to promote these product candidates that we may otherwise establish;</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receive regulatory approval for the targeted patient populations and claims that are necessary or desirable for successful marketing;</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effectively commercialize any of our products that receive regulatory approval;</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manufacture product candidates through CMOs in sufficient quantities and at acceptable quality and manufacturing cost to meet commercial demand at launch and thereafter;</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 and maintain agreements with wholesalers, distributors, pharmacies, and group purchasing organizations on commercially reasonable terms;</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maintain, protect and enforce patent and other intellectual property protection and regulatory exclusivity for our products;</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65" w:lineRule="auto"/>
        <w:tabs>
          <w:tab w:leader="none" w:pos="20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achieve market acceptance of our products by patients, the medical community, and third-party payors;</w:t>
      </w:r>
    </w:p>
    <w:p>
      <w:pPr>
        <w:spacing w:after="0" w:line="213" w:lineRule="exact"/>
        <w:rPr>
          <w:rFonts w:ascii="Times New Roman" w:cs="Times New Roman" w:eastAsia="Times New Roman" w:hAnsi="Times New Roman"/>
          <w:sz w:val="12"/>
          <w:szCs w:val="12"/>
          <w:color w:val="auto"/>
        </w:rPr>
      </w:pPr>
    </w:p>
    <w:p>
      <w:pPr>
        <w:jc w:val="both"/>
        <w:ind w:left="2080" w:right="1739" w:hanging="116"/>
        <w:spacing w:after="0" w:line="283" w:lineRule="auto"/>
        <w:tabs>
          <w:tab w:leader="none" w:pos="20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a distribution and logistics network capable of product storage within our specifications and regulatory guidelines, and further capable of timely product delivery to commercial clinical sites; and</w:t>
      </w:r>
    </w:p>
    <w:p>
      <w:pPr>
        <w:spacing w:after="0" w:line="187" w:lineRule="exact"/>
        <w:rPr>
          <w:rFonts w:ascii="Times New Roman" w:cs="Times New Roman" w:eastAsia="Times New Roman" w:hAnsi="Times New Roman"/>
          <w:sz w:val="12"/>
          <w:szCs w:val="12"/>
          <w:color w:val="auto"/>
        </w:rPr>
      </w:pPr>
    </w:p>
    <w:p>
      <w:pPr>
        <w:ind w:left="2080" w:right="1739" w:hanging="116"/>
        <w:spacing w:after="0" w:line="265" w:lineRule="auto"/>
        <w:tabs>
          <w:tab w:leader="none" w:pos="20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assure that our product will be used as directed and that additional unexpected safety risks will not arise.</w:t>
      </w:r>
    </w:p>
    <w:p>
      <w:pPr>
        <w:spacing w:after="0" w:line="285" w:lineRule="exact"/>
        <w:rPr>
          <w:sz w:val="20"/>
          <w:szCs w:val="20"/>
          <w:color w:val="auto"/>
        </w:rPr>
      </w:pPr>
    </w:p>
    <w:p>
      <w:pPr>
        <w:jc w:val="both"/>
        <w:ind w:left="1720" w:right="1739"/>
        <w:spacing w:after="0" w:line="274" w:lineRule="auto"/>
        <w:rPr>
          <w:sz w:val="20"/>
          <w:szCs w:val="20"/>
          <w:color w:val="auto"/>
        </w:rPr>
      </w:pPr>
      <w:r>
        <w:rPr>
          <w:rFonts w:ascii="Times New Roman" w:cs="Times New Roman" w:eastAsia="Times New Roman" w:hAnsi="Times New Roman"/>
          <w:sz w:val="12"/>
          <w:szCs w:val="12"/>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61"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The clinical development, manufacturing, labeling, storage, record-keeping, advertising, promotion, import, export, marketing and distribution of our product candidates are subject to extensive regulation by the FDA in the U.S. and by comparable foreign regulatory authorities in foreign markets. In the U.S., we are not permitted to market our product candidates in the U.S. until we receive regulatory approval of an NDA from the FDA. Similar approvals are required in order to market product candidates in foreign countries. The process of obtaining such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8" w:name="page29"/>
    <w:bookmarkEnd w:id="2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73" w:lineRule="auto"/>
        <w:rPr>
          <w:sz w:val="20"/>
          <w:szCs w:val="20"/>
          <w:color w:val="auto"/>
        </w:rPr>
      </w:pPr>
      <w:r>
        <w:rPr>
          <w:rFonts w:ascii="Times New Roman" w:cs="Times New Roman" w:eastAsia="Times New Roman" w:hAnsi="Times New Roman"/>
          <w:sz w:val="12"/>
          <w:szCs w:val="12"/>
          <w:color w:val="auto"/>
        </w:rPr>
        <w:t>regulations may change, and the FDA and comparable foreign regulatory authorities have substantial discretion in the approval process, including the ability to delay, limit or deny approval of a product candidate for many reasons.</w:t>
      </w:r>
    </w:p>
    <w:p>
      <w:pPr>
        <w:spacing w:after="0" w:line="208" w:lineRule="exact"/>
        <w:rPr>
          <w:sz w:val="20"/>
          <w:szCs w:val="20"/>
          <w:color w:val="auto"/>
        </w:rPr>
      </w:pPr>
    </w:p>
    <w:p>
      <w:pPr>
        <w:jc w:val="both"/>
        <w:ind w:left="1720" w:right="1739"/>
        <w:spacing w:after="0" w:line="245" w:lineRule="auto"/>
        <w:rPr>
          <w:sz w:val="20"/>
          <w:szCs w:val="20"/>
          <w:color w:val="auto"/>
        </w:rPr>
      </w:pPr>
      <w:r>
        <w:rPr>
          <w:rFonts w:ascii="Times New Roman" w:cs="Times New Roman" w:eastAsia="Times New Roman" w:hAnsi="Times New Roman"/>
          <w:sz w:val="12"/>
          <w:szCs w:val="12"/>
          <w:color w:val="auto"/>
        </w:rPr>
        <w:t>Prior to obtaining approval to commercialize a product candidate in the U.S. or abroad, we must demonstrate with substantial evidence from adequate and well-controlled clinical trials, and to the satisfaction of the FDA or comparable foreign regulatory authorities, that such product candidates are safe and effective for their intended uses. Clinical testing is expensive, time consuming and subject to uncertainty. We cannot guarantee that any current or future clinical trials will be conducted as planned or completed on schedule, if at all, or that our product candidates will receive regulatory approval. Our planned Phase 3 pivotal trials of ESK-001 in PsO, even if successfully completed, may not be sufficient for approval of ESK-001 in that disease. Although we have discussed and intend to further discuss our Phase 3 clinical trial design and overall development plan with the FDA to align on its sufficiency to support an NDA submission, the feedback is typically non-binding and dependent on the strength of the ultimate clinical data and the FDA’s perspective on the benefit—risk profile of the treatment in the intended population. For example, the Committee for Medicinal Products for Human Use (CHMP) in the EU provided comments on the length of our two pivotal 24 week Phase 3 trials, and we plan to address their feedback with our comparator trials. These modifications could delay our development timelines for EU regulatory approval and require substantially more resources. Phase 3 clinical trials typically involve hundreds of patients, have significant costs and take years to complete. In addition to our planned Phase 3 program in PsO, we plan to initiate an additional trial of ESK-001 in SLE. Even as these trials progress, issues may arise that could require us to suspend or terminate such clinical trials or could cause the results of one cohort to differ from a prior cohort. For example, we may experience slower than anticipated enrollment in our clinical trials, which may consequently delay our development timelines or permit competitors to obtain approvals that may alter our strategy. A failure of one or more clinical trials can occur at any stage of testing, and our future clinical trials may not be successful.</w:t>
      </w:r>
    </w:p>
    <w:p>
      <w:pPr>
        <w:spacing w:after="0" w:line="370"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In addition, even if such clinical trials are successfully completed, we cannot guarantee that the FDA or comparable foreign regulatory authorities will interpret the results as we do, and more trials could be required before we submit our product candidates for approval. To the extent that the results of the clinical trials are not satisfactory to the FDA or comparable foreign regulatory authorities for support of a marketing application, we may be required to expend significant resources, which may not be available to us, to conduct additional clinical trials in support of potential approval of our product candidates.</w:t>
      </w:r>
    </w:p>
    <w:p>
      <w:pPr>
        <w:spacing w:after="0" w:line="75"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In addition, if the FDA or comparable foreign regulatory authorities grant approval for our product candidates, then, as a condition for approval, the FDA or comparable foreign regulatory authorities may require us to perform costly post-marketing testing, including Phase 4 clinical trials or surveillance to monitor the effects of the marketed product.</w:t>
      </w:r>
    </w:p>
    <w:p>
      <w:pPr>
        <w:spacing w:after="0" w:line="71"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Our clinical trial results may also not support approval. In addition, our product candidates could fail to receive regulatory approval for many reasons, including the following:</w:t>
      </w:r>
    </w:p>
    <w:p>
      <w:pPr>
        <w:spacing w:after="0" w:line="23" w:lineRule="exact"/>
        <w:rPr>
          <w:sz w:val="20"/>
          <w:szCs w:val="20"/>
          <w:color w:val="auto"/>
        </w:rPr>
      </w:pPr>
    </w:p>
    <w:p>
      <w:pPr>
        <w:ind w:left="2080" w:right="1739" w:hanging="116"/>
        <w:spacing w:after="0" w:line="291" w:lineRule="auto"/>
        <w:tabs>
          <w:tab w:leader="none" w:pos="20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or comparable foreign regulatory authorities may disagree with the design or implementation of our clinical trials;</w:t>
      </w:r>
    </w:p>
    <w:p>
      <w:pPr>
        <w:spacing w:after="0" w:line="1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unable to demonstrate to the satisfaction of the FDA or comparable foreign regulatory authorities that our product candidates are safe and effective for any of their proposed indications;</w:t>
      </w:r>
    </w:p>
    <w:p>
      <w:pPr>
        <w:spacing w:after="0" w:line="22"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results of clinical trials may not meet the level of statistical significance required by the FDA or comparable foreign regulatory authorities for approval, including due to the heterogeneity of patient populations, or apparent improvement in trial participants receiving placebo;</w:t>
      </w:r>
    </w:p>
    <w:p>
      <w:pPr>
        <w:spacing w:after="0" w:line="34"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unable to demonstrate that our product candidates’ clinical and other benefits outweigh their safety risks;</w:t>
      </w:r>
    </w:p>
    <w:p>
      <w:pPr>
        <w:spacing w:after="0" w:line="1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or comparable foreign regulatory authorities may disagree with our interpretation of data from preclinical studies or clinical trials;</w:t>
      </w:r>
    </w:p>
    <w:p>
      <w:pPr>
        <w:spacing w:after="0" w:line="22" w:lineRule="exact"/>
        <w:rPr>
          <w:rFonts w:ascii="Times New Roman" w:cs="Times New Roman" w:eastAsia="Times New Roman" w:hAnsi="Times New Roman"/>
          <w:sz w:val="12"/>
          <w:szCs w:val="12"/>
          <w:color w:val="auto"/>
        </w:rPr>
      </w:pPr>
    </w:p>
    <w:p>
      <w:pPr>
        <w:jc w:val="both"/>
        <w:ind w:left="2080" w:right="1739" w:hanging="116"/>
        <w:spacing w:after="0" w:line="266" w:lineRule="auto"/>
        <w:tabs>
          <w:tab w:leader="none" w:pos="20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data collected from clinical trials of our product candidates may not be sufficient to the satisfaction of the FDA or comparable foreign regulatory authorities to support the submission of an NDA or other comparable submission in foreign jurisdictions or to obtain regulatory approval in the United States or elsewhere;</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9" w:name="page30"/>
    <w:bookmarkEnd w:id="2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ind w:left="2080" w:right="1739" w:hanging="116"/>
        <w:spacing w:after="0" w:line="291" w:lineRule="auto"/>
        <w:tabs>
          <w:tab w:leader="none" w:pos="20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authorities may disagree with us regarding the formulation, labeling and/or the product specifications of our product candidates;</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approval may be granted only for indications that are significantly more limited than those sought by us, and/or may include significant restrictions on distribution and use;</w:t>
      </w:r>
    </w:p>
    <w:p>
      <w:pPr>
        <w:spacing w:after="0" w:line="22"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or comparable foreign regulatory authorities will review CMOs’ manufacturing process and inspect our CMOs’ commercial manufacturing facilities and may not approve our CMOs’ manufacturing process or facilities with respect to our product candidates; and</w:t>
      </w:r>
    </w:p>
    <w:p>
      <w:pPr>
        <w:spacing w:after="0" w:line="4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policies or regulations of the FDA or comparable foreign regulatory authorities may significantly change in a manner rendering our clinical data insufficient for approval.</w:t>
      </w:r>
    </w:p>
    <w:p>
      <w:pPr>
        <w:spacing w:after="0" w:line="50"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Even if we eventually complete clinical trials and receive approval of an NDA or comparable foreign marketing application for our product candidates, the FDA or comparable foreign regulatory authority may grant approval contingent on the performance of costly additional clinical trials and/or the implementation of a REMS or comparable foreign strategies, which may be required because the FDA or comparable foreign regulatory authority believes it is necessary to ensure safe use of the product after approval. Any delay in obtaining, or inability to obtain, applicable regulatory approval would delay or prevent commercialization of that product candidate and would materially adversely impact our business and prospects.</w:t>
      </w:r>
    </w:p>
    <w:p>
      <w:pPr>
        <w:spacing w:after="0" w:line="217"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In addition, FDA and foreign regulatory authorities may change their policies and new regulations may be enacted. For instance, on April 26, 2023, the European Commission adopted a proposal for a new Directive and Regulation to revise the existing pharmaceutical legislation in the EU. If adopted in the form proposed, the proposals may result in a decrease in data and market exclusivity opportunities for our product candidates in the EU and make them open to generic or biosimilar competition earlier than is currently the case with a related reduction in reimbursement status.</w:t>
      </w:r>
    </w:p>
    <w:p>
      <w:pPr>
        <w:spacing w:after="0" w:line="119"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b w:val="1"/>
          <w:bCs w:val="1"/>
          <w:i w:val="1"/>
          <w:iCs w:val="1"/>
          <w:color w:val="auto"/>
        </w:rPr>
        <w:t>Disruptions at the FDA and other government agencies or comparable foreign regulatory authorities caused by funding shortages or global health concerns could hinder their ability to hire, retain or deploy key leadership and other personnel, prevent new or modified products from being developed, review, approved or commercialized in a timely manner or at all, which could negatively impact our business.</w:t>
      </w:r>
    </w:p>
    <w:p>
      <w:pPr>
        <w:spacing w:after="0" w:line="70"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The ability of the FDA and comparable foreign regulatory authorities to review and approve new products can be affected by a variety of factors, including government budget and funding levels, statutory, regulatory, and policy changes, the FDA’s or comparable foreign regulatory authorities’ ability to hire and retain key personnel and accept the payment of user fees, and other events that may otherwise affect the FDA’s or comparable foreign regulatory authorities’ ability to perform routine functions. In addition, government funding of other government agencies that fund research and development activities is subject to the political process, which is inherently fluid and unpredictable. Disruptions at the FDA and other agencies or comparable foreign authorities may also slow the time necessary for new drugs or modifications to approved drugs to be reviewed and/or approved by necessary government agencies or regulatory authorities, which would adversely affect our business. For example, over the last several years, the U.S. government has shut down several times and certain regulatory authorities, such as the FDA, have had to furlough critical FDA employees and stop critical activities.</w:t>
      </w:r>
    </w:p>
    <w:p>
      <w:pPr>
        <w:spacing w:after="0" w:line="217"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Separately, in response to the global COVID-19 pandemic, the FDA postponed most inspections of domestic and foreign manufacturing facilities at various points. Even though the FDA has since resumed standard inspection operations, any resurgence of the virus or emergence of new variants may lead to inspectional or administrative delays. If a prolonged government shutdown occurs, or if global health concerns prevent the FDA or other comparable foreign regulatory authorities from conducting their regular inspections, reviews, or other regulatory activities, it could significantly impact the ability of the FDA or other comparable foreign regulatory authorities to timely review and process our regulatory submissions, which could have a material adverse effect on our business.</w:t>
      </w:r>
    </w:p>
    <w:p>
      <w:pPr>
        <w:spacing w:after="0" w:line="273" w:lineRule="exact"/>
        <w:rPr>
          <w:sz w:val="20"/>
          <w:szCs w:val="20"/>
          <w:color w:val="auto"/>
        </w:rPr>
      </w:pPr>
    </w:p>
    <w:p>
      <w:pPr>
        <w:jc w:val="both"/>
        <w:ind w:left="1720" w:right="1739"/>
        <w:spacing w:after="0" w:line="278" w:lineRule="auto"/>
        <w:rPr>
          <w:sz w:val="20"/>
          <w:szCs w:val="20"/>
          <w:color w:val="auto"/>
        </w:rPr>
      </w:pPr>
      <w:r>
        <w:rPr>
          <w:rFonts w:ascii="Times New Roman" w:cs="Times New Roman" w:eastAsia="Times New Roman" w:hAnsi="Times New Roman"/>
          <w:sz w:val="12"/>
          <w:szCs w:val="12"/>
          <w:b w:val="1"/>
          <w:bCs w:val="1"/>
          <w:i w:val="1"/>
          <w:iCs w:val="1"/>
          <w:color w:val="auto"/>
        </w:rPr>
        <w:t>If our product candidates, if approved, do not achieve broad market acceptance, the revenue that we generate from their sales will be limited.</w:t>
      </w:r>
    </w:p>
    <w:p>
      <w:pPr>
        <w:spacing w:after="0" w:line="58"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We have never commercialized a product candidate for any indication. Even if our product candidates are approved by the appropriate regulatory authorities for marketing and sale, they may not gain acceptance</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30" w:name="page31"/>
    <w:bookmarkEnd w:id="3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spacing w:after="0" w:line="67"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The degree of market acceptance of our product candidates, if approved, will depend on a number of factors, some of which are beyond our control, including:</w:t>
      </w:r>
    </w:p>
    <w:p>
      <w:pPr>
        <w:spacing w:after="0" w:line="32" w:lineRule="exact"/>
        <w:rPr>
          <w:sz w:val="20"/>
          <w:szCs w:val="20"/>
          <w:color w:val="auto"/>
        </w:rPr>
      </w:pPr>
    </w:p>
    <w:p>
      <w:pPr>
        <w:ind w:left="2080" w:hanging="116"/>
        <w:spacing w:after="0"/>
        <w:tabs>
          <w:tab w:leader="none" w:pos="20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safety, efficacy, tolerability and ease of administration of our product candidates;</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clinical indications for which the products are approved and the approved claims that we may make for the products;</w:t>
      </w:r>
    </w:p>
    <w:p>
      <w:pPr>
        <w:spacing w:after="0" w:line="31"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limitations or warnings contained in the product’s approved labeling, including potential limitations on the use of the product or warnings for such products that may be more restrictive than other competitive products;</w:t>
      </w:r>
    </w:p>
    <w:p>
      <w:pPr>
        <w:spacing w:after="0" w:line="43"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distribution and use restrictions imposed by the FDA or comparable foreign regulatory authorities with respect to such product candidates or to which we agree as part of a mandatory REMS or risk management plan;</w:t>
      </w:r>
    </w:p>
    <w:p>
      <w:pPr>
        <w:spacing w:after="0" w:line="43"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standard of care for the targeted indications for such product candidates;</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relative difficulty of administration or compliance with administration instructions of such product candidates;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of treatment as compared to the clinical benefit in relation to alternative treatments or therapies;</w:t>
      </w:r>
    </w:p>
    <w:p>
      <w:pPr>
        <w:spacing w:after="0" w:line="81"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adequate coverage and reimbursement by third parties, such as insurance companies and other healthcare payors, and by government healthcare programs, including Medicare and Medicaid or comparable foreign programs;</w:t>
      </w:r>
    </w:p>
    <w:p>
      <w:pPr>
        <w:spacing w:after="0" w:line="43"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and strength of our marketing and distribution of such product candidates;</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safety, efficacy and other potential advantages of, and availability of, alternative treatments already used or that may later be approved for any of our intended indications;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of market introduction of such product candidates, as well as competitive products;</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reluctance of physicians to switch their patients’ current standard of care;</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reluctance of patients to switch from their existing therapy regardless of the safety and efficacy of newer products;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offer such product candidates for sale at competitive prices;</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and strength of our third-party manufacturer and supplier support;</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adverse publicity about our product or favorable publicity about competitive products; and</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product liability claims.</w:t>
      </w:r>
    </w:p>
    <w:p>
      <w:pPr>
        <w:spacing w:after="0" w:line="109"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 from our product candidates and may never become profitable.</w:t>
      </w:r>
    </w:p>
    <w:p>
      <w:pPr>
        <w:spacing w:after="0" w:line="124" w:lineRule="exact"/>
        <w:rPr>
          <w:sz w:val="20"/>
          <w:szCs w:val="20"/>
          <w:color w:val="auto"/>
        </w:rPr>
      </w:pPr>
    </w:p>
    <w:p>
      <w:pPr>
        <w:jc w:val="both"/>
        <w:ind w:left="1720" w:right="1739"/>
        <w:spacing w:after="0" w:line="274" w:lineRule="auto"/>
        <w:rPr>
          <w:sz w:val="20"/>
          <w:szCs w:val="20"/>
          <w:color w:val="auto"/>
        </w:rPr>
      </w:pPr>
      <w:r>
        <w:rPr>
          <w:rFonts w:ascii="Times New Roman" w:cs="Times New Roman" w:eastAsia="Times New Roman" w:hAnsi="Times New Roman"/>
          <w:sz w:val="12"/>
          <w:szCs w:val="12"/>
          <w:b w:val="1"/>
          <w:bCs w:val="1"/>
          <w:i w:val="1"/>
          <w:iCs w:val="1"/>
          <w:color w:val="auto"/>
        </w:rPr>
        <w:t>We may expend our limited resources to pursue a particular product candidate in specific indications and fail to capitalize on product candidates or indications that may be more profitable or for which there is a greater likelihood of success.</w:t>
      </w:r>
    </w:p>
    <w:p>
      <w:pPr>
        <w:spacing w:after="0" w:line="70" w:lineRule="exact"/>
        <w:rPr>
          <w:sz w:val="20"/>
          <w:szCs w:val="20"/>
          <w:color w:val="auto"/>
        </w:rPr>
      </w:pPr>
    </w:p>
    <w:p>
      <w:pPr>
        <w:jc w:val="both"/>
        <w:ind w:left="1720" w:right="1739"/>
        <w:spacing w:after="0" w:line="283" w:lineRule="auto"/>
        <w:rPr>
          <w:sz w:val="20"/>
          <w:szCs w:val="20"/>
          <w:color w:val="auto"/>
        </w:rPr>
      </w:pPr>
      <w:r>
        <w:rPr>
          <w:rFonts w:ascii="Times New Roman" w:cs="Times New Roman" w:eastAsia="Times New Roman" w:hAnsi="Times New Roman"/>
          <w:sz w:val="12"/>
          <w:szCs w:val="12"/>
          <w:color w:val="auto"/>
        </w:rPr>
        <w:t>Because we have limited financial and managerial resources, we focus our development efforts on certain selected product candidates in certain selected indications. For example, we are initially focused on our most</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31" w:name="page32"/>
    <w:bookmarkEnd w:id="31"/>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advanced product candidate, ESK-001, currently in development for the treatment of PsO and SLE, and our second product candidate, A-005, currently in development for the treatment of neuroinflammatory and neurodegenerative diseases. As a result, we may forgo or delay pursuit of opportunities with other product candidates, or other indications for our existing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For example, we discontinued our proof -of -concept Phase 2a clinical trial of ESK-001 in patients with non-infectious uveitis in June 2024 based on the efficacy results of a data analysis prepared for a scheduled monitoring committee meeting, which efficacy results did not meet our clinical threshold for success despite safety results consistent with ESK-001’s safety profile in psoriasis patients.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35" w:lineRule="exact"/>
        <w:rPr>
          <w:sz w:val="20"/>
          <w:szCs w:val="20"/>
          <w:color w:val="auto"/>
        </w:rPr>
      </w:pPr>
    </w:p>
    <w:p>
      <w:pPr>
        <w:jc w:val="both"/>
        <w:ind w:left="1720" w:right="1739"/>
        <w:spacing w:after="0" w:line="278" w:lineRule="auto"/>
        <w:rPr>
          <w:sz w:val="20"/>
          <w:szCs w:val="20"/>
          <w:color w:val="auto"/>
        </w:rPr>
      </w:pPr>
      <w:r>
        <w:rPr>
          <w:rFonts w:ascii="Times New Roman" w:cs="Times New Roman" w:eastAsia="Times New Roman" w:hAnsi="Times New Roman"/>
          <w:sz w:val="12"/>
          <w:szCs w:val="12"/>
          <w:b w:val="1"/>
          <w:bCs w:val="1"/>
          <w:i w:val="1"/>
          <w:iCs w:val="1"/>
          <w:color w:val="auto"/>
        </w:rPr>
        <w:t>We will need to grow our organization, and we may experience difficulties in managing our growth and expanding our operations, which could adversely affect our business.</w:t>
      </w:r>
    </w:p>
    <w:p>
      <w:pPr>
        <w:spacing w:after="0" w:line="58"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As of March 31, 2024, we had 107 full-time employees and 2 part-time employees. As our development and commercialization plans and strategies develop, and as we transition into operating as a public company, we expect to expand our employee base for managerial, operational, financial and other resources. In addition, we have limited experience in manufacturing and commercialization. As our product candidates enter and advance through preclinical studies and clinical trials, we will need to expand our development and regulatory capabilities and contract with other organizations to provide manufacturing and other capabilities for us. In the future, we expect to have to manage additional relationships with future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adversely affect our business, financial condition, results of operations and prospects.</w:t>
      </w:r>
    </w:p>
    <w:p>
      <w:pPr>
        <w:spacing w:after="0" w:line="235" w:lineRule="exact"/>
        <w:rPr>
          <w:sz w:val="20"/>
          <w:szCs w:val="20"/>
          <w:color w:val="auto"/>
        </w:rPr>
      </w:pPr>
    </w:p>
    <w:p>
      <w:pPr>
        <w:jc w:val="both"/>
        <w:ind w:left="1720" w:right="1719"/>
        <w:spacing w:after="0" w:line="266" w:lineRule="auto"/>
        <w:rPr>
          <w:sz w:val="20"/>
          <w:szCs w:val="20"/>
          <w:color w:val="auto"/>
        </w:rPr>
      </w:pPr>
      <w:r>
        <w:rPr>
          <w:rFonts w:ascii="Times New Roman" w:cs="Times New Roman" w:eastAsia="Times New Roman" w:hAnsi="Times New Roman"/>
          <w:sz w:val="12"/>
          <w:szCs w:val="12"/>
          <w:b w:val="1"/>
          <w:bCs w:val="1"/>
          <w:i w:val="1"/>
          <w:iCs w:val="1"/>
          <w:color w:val="auto"/>
        </w:rPr>
        <w:t>We are dependent on the services of our management team and other clinical and scientific personnel, and if we are not able to retain these individuals or recruit additional management or clinical and scientific personnel, our business will suffer.</w:t>
      </w:r>
    </w:p>
    <w:p>
      <w:pPr>
        <w:spacing w:after="0" w:line="65"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Our success depends in part on our continued ability to attract, retain and motivate highly qualified management, clinical and scientific personnel. We are highly dependent upon the members of our senior management team. The loss of services of any of these individuals could delay or prevent the successful development of our product pipeline, initiation or completion of our preclinical studies and clinical trials or the commercialization of our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210"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greater San Francisco Bay Area.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45" w:lineRule="exact"/>
        <w:rPr>
          <w:sz w:val="20"/>
          <w:szCs w:val="20"/>
          <w:color w:val="auto"/>
        </w:rPr>
      </w:pPr>
    </w:p>
    <w:p>
      <w:pPr>
        <w:jc w:val="both"/>
        <w:ind w:left="1720" w:right="1739"/>
        <w:spacing w:after="0" w:line="278" w:lineRule="auto"/>
        <w:rPr>
          <w:sz w:val="20"/>
          <w:szCs w:val="20"/>
          <w:color w:val="auto"/>
        </w:rPr>
      </w:pPr>
      <w:r>
        <w:rPr>
          <w:rFonts w:ascii="Times New Roman" w:cs="Times New Roman" w:eastAsia="Times New Roman" w:hAnsi="Times New Roman"/>
          <w:sz w:val="12"/>
          <w:szCs w:val="12"/>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58"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We are exposed to the risk of employee fraud or other illegal activity by our employees, independent contractors, consultants, commercial partners, CROs, CMOs and vendors. Misconduct by these parties could</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32" w:name="page33"/>
    <w:bookmarkEnd w:id="3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include intentional, reckless and/or negligent conduct that fails to comply with FDA or other regulations, provide true, complete and accurate information to the FDA and other similar foreign regulatory bodies, respect our confidentiality and intellectual property rights, comply with manufacturing standards we may establish, comply with healthcare fraud and abuse laws and regulations, report financial information or data accurately or disclose unauthorized activities to us. If we obtain FDA approval for our product candidates and begin commercializing those products in the United States, our potential exposure under these laws will increase significantly, and our costs associated with compliance with these laws are likely to increase.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Similar requirements apply in foreign countries.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fines, disgorgement, imprisonment, the curtailment or restructuring of our operations, loss of eligibility to obtain approvals from the FDA or comparable foreign regulatory authorities, exclusion from participation in government contracting, healthcare reimbursement or other government programs, including Medicare and Medicaid or comparable foreign programs, integrity oversight and reporting obligations, or reputational harm.</w:t>
      </w:r>
    </w:p>
    <w:p>
      <w:pPr>
        <w:spacing w:after="0" w:line="200" w:lineRule="exact"/>
        <w:rPr>
          <w:sz w:val="20"/>
          <w:szCs w:val="20"/>
          <w:color w:val="auto"/>
        </w:rPr>
      </w:pPr>
    </w:p>
    <w:p>
      <w:pPr>
        <w:spacing w:after="0" w:line="204" w:lineRule="exact"/>
        <w:rPr>
          <w:sz w:val="20"/>
          <w:szCs w:val="20"/>
          <w:color w:val="auto"/>
        </w:rPr>
      </w:pPr>
    </w:p>
    <w:p>
      <w:pPr>
        <w:jc w:val="both"/>
        <w:ind w:left="1720" w:right="1719"/>
        <w:spacing w:after="0" w:line="278" w:lineRule="auto"/>
        <w:rPr>
          <w:sz w:val="20"/>
          <w:szCs w:val="20"/>
          <w:color w:val="auto"/>
        </w:rPr>
      </w:pPr>
      <w:r>
        <w:rPr>
          <w:rFonts w:ascii="Times New Roman" w:cs="Times New Roman" w:eastAsia="Times New Roman" w:hAnsi="Times New Roman"/>
          <w:sz w:val="12"/>
          <w:szCs w:val="12"/>
          <w:b w:val="1"/>
          <w:bCs w:val="1"/>
          <w:i w:val="1"/>
          <w:iCs w:val="1"/>
          <w:color w:val="auto"/>
        </w:rPr>
        <w:t>Our future growth may depend, in part, on our ability to operate in foreign markets, where we would be subject to additional regulatory burdens and other risks and uncertainties.</w:t>
      </w:r>
    </w:p>
    <w:p>
      <w:pPr>
        <w:spacing w:after="0" w:line="58"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Our future growth may depend, in part, on our ability to develop and commercialize our product candidates in foreign markets, including in the EU, the United Kingdom and Japan, for which we may rely on collaboration with third parties. We are not permitted to market or promote our product candidates before we receive regulatory approval from the applicable regulatory authority in that foreign market and may never receive such regulatory approval for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international markets and receive applicable regulatory approvals, our target market will be reduced, our ability to realize the full market potential of our product candidates will be harmed and our business will be adversely affected. We may not obtain foreign regulatory approvals on a timely basis, if at all. Our failure to obtain approval for our product candidates by regulatory authorities in another country may significantly diminish the commercial prospects of that product candidate and our business, financial condition, results of operations and prospects could be adversely affected. Moreover, even if we obtain approval of our product candidates and ultimately commercialize our product candidates in foreign markets, we would be subject to these risks and uncertainties, including the burden of complying with complex and changing foreign regulatory, tax, accounting and legal requirements and reduced protection of intellectual property rights in some foreign countries.</w:t>
      </w:r>
    </w:p>
    <w:p>
      <w:pPr>
        <w:spacing w:after="0" w:line="200" w:lineRule="exact"/>
        <w:rPr>
          <w:sz w:val="20"/>
          <w:szCs w:val="20"/>
          <w:color w:val="auto"/>
        </w:rPr>
      </w:pPr>
    </w:p>
    <w:p>
      <w:pPr>
        <w:spacing w:after="0" w:line="205"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Our business entails a significant risk of product liability and our ability to obtain sufficient insurance coverage could adversely affect our business, financial condition, results of operations and prospects.</w:t>
      </w:r>
    </w:p>
    <w:p>
      <w:pPr>
        <w:spacing w:after="0" w:line="49"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As we conduct clinical trials of our current or future product candidates, we are exposed to significant product liability risks inherent in the development, testing, manufacturing and marketing of new treatments. Product liability claims could delay or prevent completion of our development programs. If we succeed in marketing products, such claims could result in FDA or other regulatory authority investigation of the safety and effectiveness of our future product candidates, our manufacturing processes and facilities or our marketing programs and potentially a recall of our products or more serious enforcement action, limitations on the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33" w:name="page34"/>
    <w:bookmarkEnd w:id="33"/>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approved indications for which they may be used or suspension, variation or withdrawal of approvals. Regardless of the merits or eventual outcome, liability claims may also result in decreased demand for our product candidates,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and products that we may develop, and a decline in our stock price. We may need to obtain higher levels of product liability insurance for later stages of clinical development or marketing of our product candidates. Any insurance we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 financial condition, results of operations and prospects.</w:t>
      </w:r>
    </w:p>
    <w:p>
      <w:pPr>
        <w:spacing w:after="0" w:line="272" w:lineRule="exact"/>
        <w:rPr>
          <w:sz w:val="20"/>
          <w:szCs w:val="20"/>
          <w:color w:val="auto"/>
        </w:rPr>
      </w:pPr>
    </w:p>
    <w:p>
      <w:pPr>
        <w:jc w:val="both"/>
        <w:ind w:left="1720" w:right="1719"/>
        <w:spacing w:after="0" w:line="278" w:lineRule="auto"/>
        <w:rPr>
          <w:sz w:val="20"/>
          <w:szCs w:val="20"/>
          <w:color w:val="auto"/>
        </w:rPr>
      </w:pPr>
      <w:r>
        <w:rPr>
          <w:rFonts w:ascii="Times New Roman" w:cs="Times New Roman" w:eastAsia="Times New Roman" w:hAnsi="Times New Roman"/>
          <w:sz w:val="12"/>
          <w:szCs w:val="12"/>
          <w:b w:val="1"/>
          <w:bCs w:val="1"/>
          <w:i w:val="1"/>
          <w:iCs w:val="1"/>
          <w:color w:val="auto"/>
        </w:rPr>
        <w:t>Our insurance policies are expensive and only protect us from some business risks, which will leave us exposed to significant uninsured liabilities.</w:t>
      </w:r>
    </w:p>
    <w:p>
      <w:pPr>
        <w:spacing w:after="0" w:line="58"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We do not carry insurance for all categories of risk that our business may encounter. Some of the policies we currently maintain include commercial general liability, general liability, cyber liability, workers’ compensation, clinical trials and directors’ and officers’ liability insurance. We do not know, however, if we will be able to maintain insurance with adequate levels of coverage. Any significant uninsured liability may require us to pay substantial amounts, which would adversely affect our business, financial condition, results of operations and prospects.</w:t>
      </w:r>
    </w:p>
    <w:p>
      <w:pPr>
        <w:spacing w:after="0" w:line="118" w:lineRule="exact"/>
        <w:rPr>
          <w:sz w:val="20"/>
          <w:szCs w:val="20"/>
          <w:color w:val="auto"/>
        </w:rPr>
      </w:pPr>
    </w:p>
    <w:p>
      <w:pPr>
        <w:jc w:val="both"/>
        <w:ind w:left="1720" w:right="1739"/>
        <w:spacing w:after="0" w:line="278" w:lineRule="auto"/>
        <w:rPr>
          <w:sz w:val="20"/>
          <w:szCs w:val="20"/>
          <w:color w:val="auto"/>
        </w:rPr>
      </w:pPr>
      <w:r>
        <w:rPr>
          <w:rFonts w:ascii="Times New Roman" w:cs="Times New Roman" w:eastAsia="Times New Roman" w:hAnsi="Times New Roman"/>
          <w:sz w:val="12"/>
          <w:szCs w:val="12"/>
          <w:b w:val="1"/>
          <w:bCs w:val="1"/>
          <w:i w:val="1"/>
          <w:iCs w:val="1"/>
          <w:color w:val="auto"/>
        </w:rPr>
        <w:t>We may engage in strategic transactions in the future, which could impact our liquidity, increase our expenses and present significant distractions to our management.</w:t>
      </w:r>
    </w:p>
    <w:p>
      <w:pPr>
        <w:spacing w:after="0" w:line="58"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We may enter into strategic transactions in the future, including acquisitions of companies, asset purchases and in-licensing of intellectual property with the potential to acquire and advance new assets or product candidates where we believe we are well qualified to optimize the development of promising therapies. For example, we were founded in January 2021, and subsequently acquired ESK-001 via a stock purchase of FronThera U.S. Holdings, Inc. and its wholly owned subsidiary, FronThera U.S. Pharmaceuticals LLC (the FronThera Acquisition). Additional potential transactions that we may consider in the future include a variety of business arrangements, including strategic partnerships, in-licensing of product candidates, strategic collaborations,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w:t>
      </w:r>
    </w:p>
    <w:p>
      <w:pPr>
        <w:spacing w:after="0" w:line="217"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of the acquisition. Accordingly, although there can be no assurance that we will undertake or successfully complete any additional transactions of the nature described above, any additional transactions that we do complete could adversely affect our business, financial condition, results of operations and prospects.</w:t>
      </w:r>
    </w:p>
    <w:p>
      <w:pPr>
        <w:spacing w:after="0" w:line="270"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Our ability to use our net operating loss (NOL) carryforwards and certain other tax attributes to offset taxable income or taxes may be limited.</w:t>
      </w:r>
    </w:p>
    <w:p>
      <w:pPr>
        <w:spacing w:after="0" w:line="49" w:lineRule="exact"/>
        <w:rPr>
          <w:sz w:val="20"/>
          <w:szCs w:val="20"/>
          <w:color w:val="auto"/>
        </w:rPr>
      </w:pPr>
    </w:p>
    <w:p>
      <w:pPr>
        <w:jc w:val="both"/>
        <w:ind w:left="1720" w:right="1739"/>
        <w:spacing w:after="0" w:line="261" w:lineRule="auto"/>
        <w:rPr>
          <w:sz w:val="20"/>
          <w:szCs w:val="20"/>
          <w:color w:val="auto"/>
        </w:rPr>
      </w:pPr>
      <w:r>
        <w:rPr>
          <w:rFonts w:ascii="Times New Roman" w:cs="Times New Roman" w:eastAsia="Times New Roman" w:hAnsi="Times New Roman"/>
          <w:sz w:val="12"/>
          <w:szCs w:val="12"/>
          <w:color w:val="auto"/>
        </w:rPr>
        <w:t>We have incurred substantial losses during our history and do not expect to become profitable in the near future, and we may never achieve profitability. As of December 31, 2023, we had federal NOL carryforwards of $48.6 million and state NOL carryforwards of $4.4 million. Under the Internal Revenue Code of 1986, as amended (the Code), our U.S. federal net operating losses generated post tax years beginning after December 31, 2017 will not expire and may be carried forward indefinitely, but the deductibility of such federal net operating losses is limited to no more than 80% of current year taxable income.</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34" w:name="page35"/>
    <w:bookmarkEnd w:id="3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In addition, under Sections 382 and 383 of the Code, if a corporation undergoes an “ownership change,” generally defined as a greater than 50 percentage point change (by value) in its equity ownership by certain stockholders over a three-year period, the corporation’s ability to use its pre- change NOL carryforwards and other pre-change tax attributes to offset its post-change income or taxes may be limited. We have not completed a Section 382 study to assess whether an ownership change has occurred or whether there have been multiple ownership changes since our formation date, and there may be ownership changes in the future, some of which may be outside of our control. If we undergo an ownership change, and our ability to use our pre-change NOL carryforwards and other pre-change tax attributes (such as research tax credits) to offset our post-change income or taxes (if any) is limited, such limitation could harm our future results of operations by effectively increasing our future tax obligations.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26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Recent and future changes to tax laws could materially adversely affect our company.</w:t>
      </w:r>
    </w:p>
    <w:p>
      <w:pPr>
        <w:spacing w:after="0" w:line="111"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The tax regimes we are subject to or operate under, including with respect to income and non -income taxes, are unsettled and may be subject to significant change. Changes in tax laws, regulations, or rulings, or changes in interpretations of existing laws and regulations, could materially adversely affect our company. For example, the Tax Cuts and Jobs Act, the Coronavirus Aid, Relief, and Economic Security Act, and the Inflation Reduction Act enacted many significant changes to the U.S. tax laws. Future guidance from the Internal Revenue Service and other tax authorities with respect to such legislation may affect us, and certain aspects thereof could be repealed or modified in future legislation. For example, the Inflation Reduction Act includes provisions that will impact the U.S. federal income taxation of certain corporations, including imposing a 15% minimum tax on the book income of certain large corporations and an excise tax on certain corporate stock repurchases that would be imposed on the corporation repurchasing such stock. In addition, many countries in Europe, as well as a number of other countries and organizations (including the Organization for Economic Cooperation and Development and the European Commission), have proposed, recommended, or (in the case of countries) enacted or otherwise become subject to changes to existing tax laws or new tax laws that could significantly increase our tax obligations in the countries where we do business or require us to change the manner in which we operate our business.</w:t>
      </w:r>
    </w:p>
    <w:p>
      <w:pPr>
        <w:spacing w:after="0" w:line="271"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b w:val="1"/>
          <w:bCs w:val="1"/>
          <w:i w:val="1"/>
          <w:iCs w:val="1"/>
          <w:color w:val="auto"/>
        </w:rPr>
        <w:t>If our information technology systems, or those used by our CROs, CMOs, clinical sites or other third parties upon which we rely, are or were compromised, become unavailable or suffer security breaches, loss or leakage of data or other disruptions, we could suffer material adverse consequences resulting from such compromise, including but not limited to, operational or service interruption, harm to our reputation, regulatory investigations or actions, litigation, fines, penalties and liability, and other adverse consequences to our business, results of operations, and financial condition.</w:t>
      </w:r>
    </w:p>
    <w:p>
      <w:pPr>
        <w:spacing w:after="0" w:line="74"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In the ordinary course of our business, we, and the third parties upon which we rely, process personal information and other sensitive data, including intellectual property, trade secrets, proprietary or confidential business information, preclinical and clinical trial data, personal information related to relevant stakeholders, third-party data, and other sensitive data (collectively, sensitive information) and as a result, we and the third parties upon which we rely face a variety of evolving threats which could cause security incidents affecting or interruptions to our information technology systems and sensitive information.</w:t>
      </w:r>
    </w:p>
    <w:p>
      <w:pPr>
        <w:spacing w:after="0" w:line="74"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Our information technology systems and those of our CROs, CMOs, clinical sites and other third parties upon which we rely are vulnerable to attack, damage and interruption from a variety of evolving threats, including but not limited to computer viruses, misconfigurations, software bugs, worms, or other vulnerabilities and malicious codes, malware (including ransomware and as a result of advanced persistent threat intrusions), application security attacks, social engineering (including through phishing attacks and deep fakes, which may be increasingly more difficult to identify as fake), supply chain attacks and vulnerabilities through our third-party service providers, denial or degradation-of-service attacks (such as credential stuffing), credential harvesting, personnel misconduct or error, fraud, server malfunctions, software or hardware failures, loss of data or other information technology assets, attacks enhanced or facilitated by AI, adware, telecommunications and electrical failures, terrorism, war, earthquakes, fires, floods, and other</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35" w:name="page36"/>
    <w:bookmarkEnd w:id="35"/>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similar threats. Such threats are prevalent, are occurring more often, are increasingly difficult to detect, and come from a variety of sources, including traditional computer “hackers,” threat actors, “hacktivists,” organized criminal threat actors, personnel (such as through theft or misuse), sophisticated nation states, and nation-state-supported actors. In particular, ransomware attacks, including those from organized criminal threat actors, nation-states and nation-state supported actors, are becoming increasingly prevalent and severe and can lead to significant interruptions, delays, or outages in our operations, loss of data (including sensitive information), loss of income, significant extra expenses to restore data or systems, reputational loss, the diversion of funds and other consequences. To alleviate the negative impact of a ransomware attack, it may be preferable to make extortion payments, but we may be unwilling or unable to do so (including, for example, if applicable laws or regulations prohibit such payments).</w:t>
      </w:r>
    </w:p>
    <w:p>
      <w:pPr>
        <w:spacing w:after="0" w:line="76"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Some actors also now engage and are expected to continue to engage in cyberattacks, including without limitation nation- 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operations and supply chain. 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w:t>
      </w:r>
    </w:p>
    <w:p>
      <w:pPr>
        <w:spacing w:after="0" w:line="217"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Additionally, remote work has become more common and has increased risks to our information technology systems and data, as more of our personnel utilize network connections, computers and devices outside our premises or network, including working at home, while in transit and in public locations.</w:t>
      </w:r>
    </w:p>
    <w:p>
      <w:pPr>
        <w:spacing w:after="0" w:line="70" w:lineRule="exact"/>
        <w:rPr>
          <w:sz w:val="20"/>
          <w:szCs w:val="20"/>
          <w:color w:val="auto"/>
        </w:rPr>
      </w:pPr>
    </w:p>
    <w:p>
      <w:pPr>
        <w:jc w:val="both"/>
        <w:ind w:left="1720" w:right="1739"/>
        <w:spacing w:after="0" w:line="253" w:lineRule="auto"/>
        <w:rPr>
          <w:sz w:val="20"/>
          <w:szCs w:val="20"/>
          <w:color w:val="auto"/>
        </w:rPr>
      </w:pPr>
      <w:r>
        <w:rPr>
          <w:rFonts w:ascii="Times New Roman" w:cs="Times New Roman" w:eastAsia="Times New Roman" w:hAnsi="Times New Roman"/>
          <w:sz w:val="12"/>
          <w:szCs w:val="12"/>
          <w:color w:val="auto"/>
        </w:rPr>
        <w:t>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Additionally, we may discover security issues that were not found during due diligence of such acquired or integrated entities, and it may be difficult to integrate acquired entities into our information technology environment and security program.</w:t>
      </w:r>
    </w:p>
    <w:p>
      <w:pPr>
        <w:spacing w:after="0" w:line="216"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We may expend significant resources or modify our business activities to try to protect against security incidents. While we take steps designed to anticipate, detect and remediate threats and vulnerabilities, because the threats and techniques used to exploit such vulnerabilities and gain unauthorized access to, to sabotage or otherwise compromise systems change frequently, are often sophisticated in nature, and are often are not recognized until launched against a target, we may be unable to anticipate these techniques or implement and maintain adequate preventative measures. Therefore, such vulnerabilities have and could be exploited but may not be detected until after a security incident has occurred. We may also experience security breaches that may remain undetected for an extended period. Even if identified, we may experience delays in developing and deploying remedial measures designed to address any such identified vulnerabilities and we may be unable to adequately investigate or remediate incidents or breaches due to attackers increasingly using tools and techniques that are designed to circumvent controls, to avoid detection, and to remove or obfuscate forensic evidence. There can be no assurance that our information security policies, controls or procedures, will be fully implemented, complied with or effective in protecting our systems and sensitive information.</w:t>
      </w:r>
    </w:p>
    <w:p>
      <w:pPr>
        <w:spacing w:after="0" w:line="222"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Our reliance on third- party service providers could introduce additional cybersecurity risks and vulnerabilities, including supply-chain attacks and other threats to our business operations. We rely on third-party service providers and technologies to operate critical business systems and to process sensitive information in a variety of contexts, including, without limitation, cloud-based infrastructure, data hosting, encryption and authentication technology, personnel email, human resource management, training and other functions. We also rely on third-party service providers to assist with our clinical trials or otherwise to operate our business, including to manage and store sensitive patient data from our clinical trials. Our ability to monitor these third parties’ information security practices is limited, and these third parties may not have adequate information security measures in place. Our third-party service providers have and may in the future experience a security incident or other interruption.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36" w:name="page37"/>
    <w:bookmarkEnd w:id="3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that could result in a breach of or disruption to our information technology systems or the third-party information technology systems that support our operations.</w:t>
      </w:r>
    </w:p>
    <w:p>
      <w:pPr>
        <w:spacing w:after="0" w:line="50"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We and certain of our service providers have been and are from time to time subject to cyberattacks and security incidents. Any of the previously identified or similar threats have or could cause a security incident or other interruption that could result in unauthorized, unlawful, or accidental acquisition, modification, destruction, loss, alteration, encryption, disclosure, or other processing of, or access to our sensitive information or our information technology systems, or those of the third parties upon whom we rely. A security incident or other interruption could disrupt our ability (and that of third parties upon whom we rely) to conduct clinical trials. Additionally, sensitive information of the company could be leaked, disclosed, or revealed as a result of or in connection with our employees’, personnels’, or vendors’ use of generative AI technologies.</w:t>
      </w:r>
    </w:p>
    <w:p>
      <w:pPr>
        <w:spacing w:after="0" w:line="219"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The costs related to significant security breaches or disruptions could be material and cause us to incur significant expenses. If the information technology systems of our CROs, CMOs, clinical sites and other third parties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 Further, our cyber liability insurance coverage may not be sufficient to cover the financial, legal, business reputational or other losses that may result from an interruption or breach.</w:t>
      </w:r>
    </w:p>
    <w:p>
      <w:pPr>
        <w:spacing w:after="0" w:line="75"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If any such incidents were to occur and cause interruptions in our operations, it could result in a disruption of our business and development programs. For example, the loss of clinical trial data from completed or ongoing clinical trials for a product candidate could result in delays in our regulatory approval efforts and significantly increase our costs to recover or reproduce the data, or may limit our ability to effectively execute a product recall, if required in the future. To the extent that any disruption or security incident were to result in the loss of or damage to our data or applications, or inappropriate disclosure of sensitive information, we could incur liability and the further development of any product candidates could be delayed.</w:t>
      </w:r>
    </w:p>
    <w:p>
      <w:pPr>
        <w:spacing w:after="0" w:line="220"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Applicable data privacy and security obligations may require us to notify relevant stakeholders of security incidents. Such disclosures are costly, and the disclosure or the failure to comply with such requirements could lead to adverse consequences.</w:t>
      </w:r>
    </w:p>
    <w:p>
      <w:pPr>
        <w:spacing w:after="0" w:line="67"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If we or a third party upon whom we rely experience a security incident or are perceived to have experienced a security incident, we may experience adverse consequences such as legal claims or proceedings, liability including litigation exposure, penalties and fines under relevant legal obligations, enforcement actions and investigations by regulatory authorities, additional reporting requirements or oversight, restrictions on processing sensitive information (including personal information), indemnification obligations, monetary fund diversions, diversion of management attention, other financial loss, and damage to our reputation and a loss of confidence in us and our ability to conduct clinical trials, which could delay the clinical development of our product candidates, and of which may adversely affect our business, results of operations or financial condition.</w:t>
      </w:r>
    </w:p>
    <w:p>
      <w:pPr>
        <w:spacing w:after="0" w:line="263"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b w:val="1"/>
          <w:bCs w:val="1"/>
          <w:i w:val="1"/>
          <w:iCs w:val="1"/>
          <w:color w:val="auto"/>
        </w:rPr>
        <w:t>Our operations are concentrated in one location, and we or the third parties upon whom we depend may be adversely affected by a wildfire, earthquake or other natural disasters and our business continuity and disaster recovery plans may not adequately protect us from a serious disaster.</w:t>
      </w:r>
    </w:p>
    <w:p>
      <w:pPr>
        <w:spacing w:after="0" w:line="65"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Our current operations are predominantly located in California. Any unplanned event, such as flood, wildfire, explosion, earthquake, extreme weather condition, medical epidemic including the COVID-19 pandemic, power shortage, telecommunication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Any similar impacts of natural or manmade disasters on our third-party service providers, such as our CMOs and CROs located globally, could cause delays in our clinical trials and may have a material and adverse effect on our ability to operate our business and have significant negative consequences on our financial and operating conditions. If a natural disaster, power outage or other event occurred that prevented us from using our clinical trial sites, impacted clinical supply or the conduct of our clinical trials, that damaged critical infrastructure, such as the manufacturing facilities of our third-party CMOs, or that</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37" w:name="page38"/>
    <w:bookmarkEnd w:id="3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otherwise disrupted operations, it may be difficult or, in certain cases, impossible, for us to continue our business for a substantial period of time. The disaster recovery and business continuity plans we and third parties upon whom we rely have or may have in place may prove inadequate in the event of a serious disaster or similar event.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CMOs,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spacing w:after="0" w:line="272" w:lineRule="exact"/>
        <w:rPr>
          <w:sz w:val="20"/>
          <w:szCs w:val="20"/>
          <w:color w:val="auto"/>
        </w:rPr>
      </w:pPr>
    </w:p>
    <w:p>
      <w:pPr>
        <w:jc w:val="both"/>
        <w:ind w:left="1720" w:right="1739"/>
        <w:spacing w:after="0" w:line="278" w:lineRule="auto"/>
        <w:rPr>
          <w:sz w:val="20"/>
          <w:szCs w:val="20"/>
          <w:color w:val="auto"/>
        </w:rPr>
      </w:pPr>
      <w:r>
        <w:rPr>
          <w:rFonts w:ascii="Times New Roman" w:cs="Times New Roman" w:eastAsia="Times New Roman" w:hAnsi="Times New Roman"/>
          <w:sz w:val="12"/>
          <w:szCs w:val="12"/>
          <w:b w:val="1"/>
          <w:bCs w:val="1"/>
          <w:i w:val="1"/>
          <w:iCs w:val="1"/>
          <w:color w:val="auto"/>
        </w:rPr>
        <w:t>Our projections regarding the market opportunities for our product candidates may not be accurate, and the actual market for our products may be smaller than we estimate.</w:t>
      </w:r>
    </w:p>
    <w:p>
      <w:pPr>
        <w:spacing w:after="0" w:line="58" w:lineRule="exact"/>
        <w:rPr>
          <w:sz w:val="20"/>
          <w:szCs w:val="20"/>
          <w:color w:val="auto"/>
        </w:rPr>
      </w:pPr>
    </w:p>
    <w:p>
      <w:pPr>
        <w:jc w:val="both"/>
        <w:ind w:left="1720" w:right="1739"/>
        <w:spacing w:after="0" w:line="245" w:lineRule="auto"/>
        <w:rPr>
          <w:sz w:val="20"/>
          <w:szCs w:val="20"/>
          <w:color w:val="auto"/>
        </w:rPr>
      </w:pPr>
      <w:r>
        <w:rPr>
          <w:rFonts w:ascii="Times New Roman" w:cs="Times New Roman" w:eastAsia="Times New Roman" w:hAnsi="Times New Roman"/>
          <w:sz w:val="12"/>
          <w:szCs w:val="12"/>
          <w:color w:val="auto"/>
        </w:rPr>
        <w:t>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sales of our competitors, scientific literature, surveys of clinics, patient foundations or market research, and may prove to be incorrect in general, or as to their applicability to our company. Further, new trials may change the estimated incidence or prevalence of these diseases. The total addressable market across all of our product candidates will ultimately depend upon, among other things, the diagnosis criteria included in the final labeling for each of our product candidates approved for sale for these indications, the ability of our product candidates to improve on the safety, convenience, cost and efficacy of competing therapies or therapies in development, acceptance by the medical community and patients,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 despite obtaining such significant market share.</w:t>
      </w:r>
    </w:p>
    <w:p>
      <w:pPr>
        <w:spacing w:after="0" w:line="27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Our cash and cash equivalents may be exposed to failure of our banking institutions.</w:t>
      </w:r>
    </w:p>
    <w:p>
      <w:pPr>
        <w:spacing w:after="0" w:line="102"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While we seek to minimize our exposure to third-party losses of our cash and cash equivalents, we hold our balances in a number of large financial institutions. Notwithstanding, those institutions are subject to risk of failure. For example, on March 10, 2023, Silicon Valley Bank (“SVB”) was closed by the California Department of Financial Protection and Innovation, which appointed the Federal Deposit Insurance Corporation (“FDIC”) as receiver. Similarly, on March 12, 2023, Signature Bank was also swept into receivership. The U.S. Department of Treasury, the Federal Reserve Board (the “Federal Reserve”), and the FDIC released a statement that indicated that all depositors of SVB would have access to all of their funds, including funds held in uninsured deposit accounts, after only one business day of closure. The U.S. Department of Treasury, FDIC and Federal Reserve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however, that the U.S. Department of Treasury, FDIC and Federal Reserve will provide access to uninsured funds in the future in the event of the closure of other banks or financial institutions, or that they would do so in a timely fashion.</w:t>
      </w:r>
    </w:p>
    <w:p>
      <w:pPr>
        <w:spacing w:after="0" w:line="230"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Although we expect to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and in turn, us.</w:t>
      </w:r>
    </w:p>
    <w:p>
      <w:pPr>
        <w:spacing w:after="0" w:line="75"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These factors could include, among others, events such as liquidity constraints or failures, the ability to perform obligations under various types of financial, credit or liquidity agreements or arrangements,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8" w:name="page39"/>
    <w:bookmarkEnd w:id="3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77"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76"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In addition, one or more of our critical vendors, third party manufacturers, or other business partners could be adversely affected by any of the liquidity or other risks that are described above, which in turn, could have a material adverse effect on our current and/or projected business operations and results of operations and financial condition. Any business partner bankruptcy or insolvency, or any breach or default by a business partner, or the loss of any significant supplier relationships, could result in material adverse impacts on our current and/or projected business operations and financial condition.</w:t>
      </w:r>
    </w:p>
    <w:p>
      <w:pPr>
        <w:spacing w:after="0" w:line="128" w:lineRule="exact"/>
        <w:rPr>
          <w:sz w:val="20"/>
          <w:szCs w:val="20"/>
          <w:color w:val="auto"/>
        </w:rPr>
      </w:pPr>
    </w:p>
    <w:p>
      <w:pPr>
        <w:jc w:val="both"/>
        <w:ind w:left="1720" w:right="1739"/>
        <w:spacing w:after="0" w:line="278" w:lineRule="auto"/>
        <w:rPr>
          <w:sz w:val="20"/>
          <w:szCs w:val="20"/>
          <w:color w:val="auto"/>
        </w:rPr>
      </w:pPr>
      <w:r>
        <w:rPr>
          <w:rFonts w:ascii="Times New Roman" w:cs="Times New Roman" w:eastAsia="Times New Roman" w:hAnsi="Times New Roman"/>
          <w:sz w:val="12"/>
          <w:szCs w:val="12"/>
          <w:b w:val="1"/>
          <w:bCs w:val="1"/>
          <w:i w:val="1"/>
          <w:iCs w:val="1"/>
          <w:color w:val="auto"/>
        </w:rPr>
        <w:t>Public opinion and scrutiny of immunology treatments may impact public perception of our company and product candidates, or may adversely affect our ability to conduct our business and our business plans.</w:t>
      </w:r>
    </w:p>
    <w:p>
      <w:pPr>
        <w:spacing w:after="0" w:line="58"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Public perception may be influenced by claims, such as claims that our product candidates are unsafe, unethical or immoral and, consequently, our approach may not gain the acceptance of the public or the medical community. Adverse public attitudes may also adversely impact our ability to enroll clinical trials. Moreover, our success will depend upon physicians specializing in the treatment of those diseases that our product candidates target prescribing, and their patients being willing to receive, treatments that involve the use of our product candidates in lieu of, or in addition to, existing treatments they are already familiar with and for which greater clinical data may be available. AEs in our clinical trials, even if not ultimately attributable to our product candidates, and the resulting publicity could result in withdrawal of clinical trial participants,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In addition, side effects generally associated with TYK2 or JAK inhibitors may negatively impact public perception of us or ESK-001 and A-005. More restrictive government regulations or negative public opinion could have an adverse effect on our business, financial condition, results of operations and prospects, and may delay or impair the development and, if approved, commercialization of our product candidates or demand for any products we may develop.</w:t>
      </w:r>
    </w:p>
    <w:p>
      <w:pPr>
        <w:spacing w:after="0" w:line="27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Risks Related to Intellectual Property</w:t>
      </w:r>
    </w:p>
    <w:p>
      <w:pPr>
        <w:spacing w:after="0" w:line="155"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b w:val="1"/>
          <w:bCs w:val="1"/>
          <w:i w:val="1"/>
          <w:iCs w:val="1"/>
          <w:color w:val="auto"/>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67"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We rely upon a combination of patents, know-how and confidentiality agreements to protect the intellectual property related to our product candidates and technologies and to prevent third parties from copying and surpassing our achievements, thus eroding our competitive position in our market.</w:t>
      </w: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39" w:name="page40"/>
    <w:bookmarkEnd w:id="3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patent applications in the United States and abroad related to our product candidates and novel discoveries that are important to our business. Our pending and future patent applications may not result in patents being issued. We cannot assure you that issued patents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products or product candidates.</w:t>
      </w:r>
    </w:p>
    <w:p>
      <w:pPr>
        <w:spacing w:after="0" w:line="76"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Obtaining and enforcing patents is expensive and time-consuming, and we may not be able to file, prosecute, maintain, enforce or license all necessary or desirable patent applications or maintain and/or enforce patents that may issue based on our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any third parties from using any of our technology that is in the public domain to compete with our product candidates.</w:t>
      </w:r>
    </w:p>
    <w:p>
      <w:pPr>
        <w:spacing w:after="0" w:line="219"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Composition of matter patents for pharmaceutical product candidates often provide a strong form of intellectual property protection for those types of products, as such patents provide protection without regard to any method of use. However, we cannot be certain that the claims in our pending patent applications directed to composition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candidates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w:t>
      </w:r>
    </w:p>
    <w:p>
      <w:pPr>
        <w:spacing w:after="0" w:line="221"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As a result, the issuance, scope, validity, enforceability and commercial value of any patent rights are highly uncertain. Our pending and future owned or in-licensed patent applications may not result in issued patents that protect our product candidates effectively to prevent others from commercializing our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w:t>
      </w:r>
    </w:p>
    <w:p>
      <w:pPr>
        <w:spacing w:after="0" w:line="229"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The issuance of a patent is not conclusive as to its inventorship, scope, validity or enforceability and our pending patent applications may be challenged in patent offices in the United States and abroad. Even issued patents may later be found invalid or unenforceable or may be modified or revoked in proceedings instituted by third parties before various patent offices or in courts. For example, our pending patent applications may be subject to third-party pre-issuance submissions of prior art to the USPTO, or our issued patents may be subject to post-grant review (PGR) proceedings, oppositions, derivations, reexaminations, interferences, inter partes review (IPR) proceedings or other similar proceedings, in the United States or elsewhere, challenging our patent rights or the patent rights of others. Such submissions may also be made prior to a patent’s issuance, precluding the granting of a patent based on one or more of our owned pending patent applications. An</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40" w:name="page41"/>
    <w:bookmarkEnd w:id="4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adverse determination in any such challenges may result in loss of exclusivity or in patent claims being narrowed, invalidated, or held unenforceable, in whole or in part, which could limit our ability to stop others from using or commercializing similar or identical product candidates, or limit the duration of the patent protection of our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p>
    <w:p>
      <w:pPr>
        <w:spacing w:after="0" w:line="74"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A third party may also claim that our patent rights are invalid or unenforceable in a litigation. An adverse result in any legal proceeding could put one or more of our owned or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w:t>
      </w:r>
    </w:p>
    <w:p>
      <w:pPr>
        <w:spacing w:after="0" w:line="75"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In addition, given the amount of time required for the development, testing and regulatory review of new product candidates, patents protecting such product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spacing w:after="0" w:line="271"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b w:val="1"/>
          <w:bCs w:val="1"/>
          <w:i w:val="1"/>
          <w:iCs w:val="1"/>
          <w:color w:val="auto"/>
        </w:rPr>
        <w:t>We cannot ensure that patent rights relating to inventions described and claimed in our or any future licensors pending patent applications will issue or that patents based on our or any future licensors patent applications will not be challenged and rendered invalid and/or unenforceable.</w:t>
      </w:r>
    </w:p>
    <w:p>
      <w:pPr>
        <w:spacing w:after="0" w:line="70"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The patent application process is subject to numerous risks and uncertainties, and there can be no assurance that we or any potential future licensors or collaborators will be successful in protecting our product candidates by obtaining and defending patents. We have several pending United States and foreign patent applications in our portfolio. We cannot predict:</w:t>
      </w:r>
    </w:p>
    <w:p>
      <w:pPr>
        <w:spacing w:after="0" w:line="43" w:lineRule="exact"/>
        <w:rPr>
          <w:sz w:val="20"/>
          <w:szCs w:val="20"/>
          <w:color w:val="auto"/>
        </w:rPr>
      </w:pPr>
    </w:p>
    <w:p>
      <w:pPr>
        <w:ind w:left="2080" w:hanging="116"/>
        <w:spacing w:after="0"/>
        <w:tabs>
          <w:tab w:leader="none" w:pos="20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when patents may issue based on our patent applications;</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scope of protection of any patent issuing based on our patent applications;</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the claims of any patent issuing based on our patent applications will provide protection against competitors;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or not third parties will find ways to invalidate or circumvent our patent rights;</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or not others will obtain patents claiming aspects similar to those covered by our patents and patent applications;</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we will need to initiate litigation or administrative proceedings to enforce and/or defend our patent rights which will be costly whether we win or lose;</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the patent applications that we own will result in issued patents with claims that cover our product candidates or uses thereof in the United States or in other foreign countries; or</w:t>
      </w:r>
    </w:p>
    <w:p>
      <w:pPr>
        <w:spacing w:after="0" w:line="31" w:lineRule="exact"/>
        <w:rPr>
          <w:rFonts w:ascii="Times New Roman" w:cs="Times New Roman" w:eastAsia="Times New Roman" w:hAnsi="Times New Roman"/>
          <w:sz w:val="12"/>
          <w:szCs w:val="12"/>
          <w:color w:val="auto"/>
        </w:rPr>
      </w:pPr>
    </w:p>
    <w:p>
      <w:pPr>
        <w:jc w:val="both"/>
        <w:ind w:left="2080" w:right="1739" w:hanging="116"/>
        <w:spacing w:after="0" w:line="291" w:lineRule="auto"/>
        <w:tabs>
          <w:tab w:leader="none" w:pos="20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if the COVID-19 pandemic continues to spread around the globe, we may experience patent office interruption or delays to our ability to timely secure patent coverage to our product candidates.</w:t>
      </w:r>
    </w:p>
    <w:p>
      <w:pPr>
        <w:spacing w:after="0" w:line="50"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We cannot be certain that the claims in our or any future licensors’ pending patent applications directed to our product candidates will be considered patentable by the USPTO or by patent offices in foreign countries. There can be no assurance that any such patent applications will issue as granted patents. One aspect of the determination of patentability of our or any future licensors’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or any future licensors’ patent claims or, if issued, affect the validity or enforceability of a patent claim. Even if the patents do issue based on our or any future licensors’ patent applications, third parties may challenge the validity, enforceability or scope thereof, which may result in such patents being narrowed, invalidated or held unenforceable. Furthermore, even if they are unchallenged, patents in our or</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41" w:name="page42"/>
    <w:bookmarkEnd w:id="41"/>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color w:val="auto"/>
        </w:rPr>
        <w:t>any future licensors’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w:t>
      </w:r>
    </w:p>
    <w:p>
      <w:pPr>
        <w:spacing w:after="0" w:line="12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protect our intellectual property rights throughout the world.</w:t>
      </w:r>
    </w:p>
    <w:p>
      <w:pPr>
        <w:spacing w:after="0" w:line="111"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Patents are of national or regional effect, and filing, prosecuting and defending patents on all of our research programs and product candidates in all countries throughout the world would be prohibitively expensive.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or any future licensors’ inventions in all countries outside the United States, even in jurisdictions where we or any future licensors do pursue patent protection, or from selling or importing products made using our or any future licensors’ inventions in and into the United States or other jurisdictions. Competitors may use our or any future licensors’ technologies in jurisdictions where we have not obtained patent protection to develop their own products and, further, may export otherwise infringing products to territories where we or any future licensors have patent protection, but enforcement is not as strong as that in the United States. These competitor products may compete with our product candidates, and our or any future licensors’ patents or other intellectual property rights may not be effective or sufficient to prevent them from competing.</w:t>
      </w:r>
    </w:p>
    <w:p>
      <w:pPr>
        <w:spacing w:after="0" w:line="85"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pharmaceuticals, which could make it difficult for us to stop the infringement of our or any future licensors’ patents or marketing of competing products in violation of our proprietary rights.</w:t>
      </w:r>
    </w:p>
    <w:p>
      <w:pPr>
        <w:spacing w:after="0" w:line="68"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Certain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any future licensors are forced to grant a license to third parties with respect to any patents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 in the future.</w:t>
      </w:r>
    </w:p>
    <w:p>
      <w:pPr>
        <w:spacing w:after="0" w:line="228"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Further, the standards applied by the USPTO and foreign patent offices in granting patents are not always applied uniformly or predictably. As such, we do not know the degree of future protection that we will have on our product candidates. While we will endeavor to try to protect our product candidates with intellectual property rights, such as patents, as appropriate, the process of obtaining patents is time consuming, expensive and unpredictable.</w:t>
      </w:r>
    </w:p>
    <w:p>
      <w:pPr>
        <w:spacing w:after="0" w:line="26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Intellectual property rights do not necessarily address all potential threats to our competitive advantage.</w:t>
      </w:r>
    </w:p>
    <w:p>
      <w:pPr>
        <w:spacing w:after="0" w:line="111"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4" w:lineRule="exact"/>
        <w:rPr>
          <w:sz w:val="20"/>
          <w:szCs w:val="20"/>
          <w:color w:val="auto"/>
        </w:rPr>
      </w:pPr>
    </w:p>
    <w:p>
      <w:pPr>
        <w:jc w:val="both"/>
        <w:ind w:left="2080" w:right="1739" w:hanging="116"/>
        <w:spacing w:after="0" w:line="272" w:lineRule="auto"/>
        <w:tabs>
          <w:tab w:leader="none" w:pos="208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others may be able to make product candidates that are similar to ours but that are not covered by the pending patent applications that we own or any patents or patent applications that we may in-license in the future;</w:t>
      </w:r>
    </w:p>
    <w:p>
      <w:pPr>
        <w:spacing w:after="0" w:line="4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or any future licensors or collaborators might not have been the first to make the inventions covered by the pending patent application that we own or may in-license in the future;</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42" w:name="page43"/>
    <w:bookmarkEnd w:id="4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ind w:left="2080" w:right="1739" w:hanging="116"/>
        <w:spacing w:after="0" w:line="291" w:lineRule="auto"/>
        <w:tabs>
          <w:tab w:leader="none" w:pos="20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or any future licensors or collaborators might not have been the first to file patent applications covering certain of our or their inventions;</w:t>
      </w:r>
    </w:p>
    <w:p>
      <w:pPr>
        <w:spacing w:after="0" w:line="31"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others may independently develop similar or alternative technologies or duplicate any of our technologies without infringing or otherwise violating our owned intellectual property rights or any patent applications that we may license in the future;</w:t>
      </w:r>
    </w:p>
    <w:p>
      <w:pPr>
        <w:spacing w:after="0" w:line="43" w:lineRule="exact"/>
        <w:rPr>
          <w:rFonts w:ascii="Times New Roman" w:cs="Times New Roman" w:eastAsia="Times New Roman" w:hAnsi="Times New Roman"/>
          <w:sz w:val="12"/>
          <w:szCs w:val="12"/>
          <w:color w:val="auto"/>
        </w:rPr>
      </w:pPr>
    </w:p>
    <w:p>
      <w:pPr>
        <w:jc w:val="both"/>
        <w:ind w:left="2080" w:right="1739" w:hanging="116"/>
        <w:spacing w:after="0" w:line="266" w:lineRule="auto"/>
        <w:tabs>
          <w:tab w:leader="none" w:pos="20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possible that noncompliance with the USPTO and foreign governmental patent agencies requirement for a number of procedural, documentary, fee payment and other provisions during the patent process can result in abandonment or lapse of a patent or patent application, and partial or complete loss of patent rights in the relevant jurisdiction;</w:t>
      </w:r>
    </w:p>
    <w:p>
      <w:pPr>
        <w:spacing w:after="0" w:line="47"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possible that our pending owned patent applications or those that we may own or license in the future will not lead to issued patents;</w:t>
      </w:r>
    </w:p>
    <w:p>
      <w:pPr>
        <w:spacing w:after="0" w:line="22" w:lineRule="exact"/>
        <w:rPr>
          <w:rFonts w:ascii="Times New Roman" w:cs="Times New Roman" w:eastAsia="Times New Roman" w:hAnsi="Times New Roman"/>
          <w:sz w:val="12"/>
          <w:szCs w:val="12"/>
          <w:color w:val="auto"/>
        </w:rPr>
      </w:pPr>
    </w:p>
    <w:p>
      <w:pPr>
        <w:jc w:val="both"/>
        <w:ind w:left="2080" w:right="1739" w:hanging="116"/>
        <w:spacing w:after="0" w:line="283" w:lineRule="auto"/>
        <w:tabs>
          <w:tab w:leader="none" w:pos="20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issued patents, if any arise in the future, that we either own or that we may license in the future may be revoked, modified, or held invalid or unenforceable, as a result of legal challenges by our competitors;</w:t>
      </w:r>
    </w:p>
    <w:p>
      <w:pPr>
        <w:spacing w:after="0" w:line="187"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others may have access to the same intellectual property rights licensed to us in the future on a non-exclusive basis;</w:t>
      </w:r>
    </w:p>
    <w:p>
      <w:pPr>
        <w:spacing w:after="0" w:line="31"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3"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develop additional proprietary technologies that are patentable;</w:t>
      </w:r>
    </w:p>
    <w:p>
      <w:pPr>
        <w:spacing w:after="0" w:line="81" w:lineRule="exact"/>
        <w:rPr>
          <w:rFonts w:ascii="Times New Roman" w:cs="Times New Roman" w:eastAsia="Times New Roman" w:hAnsi="Times New Roman"/>
          <w:sz w:val="12"/>
          <w:szCs w:val="12"/>
          <w:color w:val="auto"/>
        </w:rPr>
      </w:pPr>
    </w:p>
    <w:p>
      <w:pPr>
        <w:jc w:val="both"/>
        <w:ind w:left="2080" w:right="1739" w:hanging="116"/>
        <w:spacing w:after="0" w:line="266" w:lineRule="auto"/>
        <w:tabs>
          <w:tab w:leader="none" w:pos="20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cannot predict the scope of protection of any patent issuing based on our or any future licensors’ patent applications, including whether the patent applications that we own, or, in the future, in-license will result in issued patents with claims directed to our product candidates or uses thereof in the United States or in other foreign countries;</w:t>
      </w:r>
    </w:p>
    <w:p>
      <w:pPr>
        <w:spacing w:after="0" w:line="47"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43" w:lineRule="exact"/>
        <w:rPr>
          <w:rFonts w:ascii="Times New Roman" w:cs="Times New Roman" w:eastAsia="Times New Roman" w:hAnsi="Times New Roman"/>
          <w:sz w:val="12"/>
          <w:szCs w:val="12"/>
          <w:color w:val="auto"/>
        </w:rPr>
      </w:pPr>
    </w:p>
    <w:p>
      <w:pPr>
        <w:jc w:val="both"/>
        <w:ind w:left="2080" w:right="1739" w:hanging="116"/>
        <w:spacing w:after="0" w:line="263" w:lineRule="auto"/>
        <w:tabs>
          <w:tab w:leader="none" w:pos="20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countries other than the United States may have patent laws less favorable to patentees than those upheld by United States courts, allowing foreign competitors a better opportunity to create, develop and market competing product candidates; the claims of any patent issuing based on our patent applications may not provide protection against competitors or any competitive advantages, or may be challenged by third parties;</w:t>
      </w:r>
    </w:p>
    <w:p>
      <w:pPr>
        <w:spacing w:after="0" w:line="49"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enforced, a court may not hold that our patents, if they issue in the future, are valid, enforceable and infringed;</w:t>
      </w:r>
    </w:p>
    <w:p>
      <w:pPr>
        <w:spacing w:after="0" w:line="22"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need to initiate litigation or administrative proceedings to enforce and/or defend our patent rights which will be costly whether we win or lose;</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choose not to file a patent application in order to maintain certain trade secrets or know-how, and a third party may subsequently file a patent application covering such intellectual property;</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fail to adequately protect and police our trademarks and trade secrets; and</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patents of others may have an adverse effect on our business, including if others obtain patents claiming subject matter similar to or improving that covered by our patent applications.</w:t>
      </w:r>
    </w:p>
    <w:p>
      <w:pPr>
        <w:spacing w:after="0" w:line="59" w:lineRule="exact"/>
        <w:rPr>
          <w:sz w:val="20"/>
          <w:szCs w:val="20"/>
          <w:color w:val="auto"/>
        </w:rPr>
      </w:pPr>
    </w:p>
    <w:p>
      <w:pPr>
        <w:ind w:left="1720" w:right="1739"/>
        <w:spacing w:after="0" w:line="275" w:lineRule="auto"/>
        <w:rPr>
          <w:sz w:val="20"/>
          <w:szCs w:val="20"/>
          <w:color w:val="auto"/>
        </w:rPr>
      </w:pPr>
      <w:r>
        <w:rPr>
          <w:rFonts w:ascii="Times New Roman" w:cs="Times New Roman" w:eastAsia="Times New Roman" w:hAnsi="Times New Roman"/>
          <w:sz w:val="12"/>
          <w:szCs w:val="12"/>
          <w:color w:val="auto"/>
        </w:rPr>
        <w:t>Should any of these or similar events occur, they could significantly harm our business, financial condition, results of operations and prospects.</w:t>
      </w:r>
    </w:p>
    <w:p>
      <w:pPr>
        <w:spacing w:after="0" w:line="103" w:lineRule="exact"/>
        <w:rPr>
          <w:sz w:val="20"/>
          <w:szCs w:val="20"/>
          <w:color w:val="auto"/>
        </w:rPr>
      </w:pPr>
    </w:p>
    <w:p>
      <w:pPr>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We may not identify relevant third-party patents or may incorrectly interpret the relevance, scope or expiration of a third-party patent, which might adversely affect our ability to develop and market our product candidates.</w:t>
      </w:r>
    </w:p>
    <w:p>
      <w:pPr>
        <w:spacing w:after="0" w:line="49" w:lineRule="exact"/>
        <w:rPr>
          <w:sz w:val="20"/>
          <w:szCs w:val="20"/>
          <w:color w:val="auto"/>
        </w:rPr>
      </w:pPr>
    </w:p>
    <w:p>
      <w:pPr>
        <w:ind w:left="1720" w:right="1739"/>
        <w:spacing w:after="0" w:line="275" w:lineRule="auto"/>
        <w:rPr>
          <w:sz w:val="20"/>
          <w:szCs w:val="20"/>
          <w:color w:val="auto"/>
        </w:rPr>
      </w:pPr>
      <w:r>
        <w:rPr>
          <w:rFonts w:ascii="Times New Roman" w:cs="Times New Roman" w:eastAsia="Times New Roman" w:hAnsi="Times New Roman"/>
          <w:sz w:val="12"/>
          <w:szCs w:val="12"/>
          <w:color w:val="auto"/>
        </w:rPr>
        <w:t>As the biopharmaceutical industry expands and more patents are issued, the risk increases that our product candidates may be subject to claims of infringement of the patent rights of third parties. There can be no</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43" w:name="page44"/>
    <w:bookmarkEnd w:id="43"/>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p>
    <w:p>
      <w:pPr>
        <w:spacing w:after="0" w:line="219"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Numerous United States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United States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product candidates or will prevent, limit or otherwise interfere with our ability to make, use or sell our product candidates.</w:t>
      </w:r>
    </w:p>
    <w:p>
      <w:pPr>
        <w:spacing w:after="0" w:line="219"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p>
    <w:p>
      <w:pPr>
        <w:spacing w:after="0" w:line="80"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We cannot provide any assurances that third-party patents and other intellectual property rights do not exist which might be enforced against our current technology, including our research programs, product candidates, their respective methods of use, manufacture and formulations thereof, and could result in either an injunction prohibiting our manufacture or future sales, or, with respect to our future sales, an obligation on our part to pay royalties and/or other forms of compensation to third parties, which could be significant.</w:t>
      </w:r>
    </w:p>
    <w:p>
      <w:pPr>
        <w:spacing w:after="0" w:line="121"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We may be involved in lawsuits to protect or enforce our patents or other intellectual property, which could be expensive, time-consuming and unsuccessful.</w:t>
      </w:r>
    </w:p>
    <w:p>
      <w:pPr>
        <w:spacing w:after="0" w:line="49"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Competitors or other third parties may infringe our patents, trademarks or other intellectual property. To counter infringement or unauthorized use, we or any future licensors may be required to file infringement claims, which can be expensive and time consuming and divert the time and attention of our management and scientific personnel. Our or any future licensors’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or any future licensors’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44" w:name="page45"/>
    <w:bookmarkEnd w:id="4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or any future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or any future licensors’ patent claims do not cover the invention, or decide that the other party’s use of our or any future licensors’ patented technology falls under the safe harbor to patent infringement under 35 U.S.C. §271I(1). An adverse outcome in a litigation or proceeding involving our or any future licensors’ patents could limit our ability to assert our or any future licensors’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19"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263" w:lineRule="exact"/>
        <w:rPr>
          <w:sz w:val="20"/>
          <w:szCs w:val="20"/>
          <w:color w:val="auto"/>
        </w:rPr>
      </w:pPr>
    </w:p>
    <w:p>
      <w:pPr>
        <w:jc w:val="both"/>
        <w:ind w:left="1720" w:right="1739"/>
        <w:spacing w:after="0" w:line="278" w:lineRule="auto"/>
        <w:rPr>
          <w:sz w:val="20"/>
          <w:szCs w:val="20"/>
          <w:color w:val="auto"/>
        </w:rPr>
      </w:pPr>
      <w:r>
        <w:rPr>
          <w:rFonts w:ascii="Times New Roman" w:cs="Times New Roman" w:eastAsia="Times New Roman" w:hAnsi="Times New Roman"/>
          <w:sz w:val="12"/>
          <w:szCs w:val="12"/>
          <w:b w:val="1"/>
          <w:bCs w:val="1"/>
          <w:i w:val="1"/>
          <w:iCs w:val="1"/>
          <w:color w:val="auto"/>
        </w:rPr>
        <w:t>We may become involved in third-party claims of intellectual property infringement, which may prevent or delay our product discovery and development efforts.</w:t>
      </w:r>
    </w:p>
    <w:p>
      <w:pPr>
        <w:spacing w:after="0" w:line="58"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Our commercial success depends in part on our avoiding infringement of the patents and proprietary rights of third parties. There is a substantial amount of litigation involving the infringement of patents and other intellectual property rights in the biotechnology and pharmaceutical industries. We may be exposed to, or threatened with, future litigation by third parties having patent or other intellectual property rights and who allege that our product candidates, uses and/or other proprietary technologies infringe their intellectual property rights. Numerous United States and foreign issued patents and pending patent applications, which are owned by third parties, exist in the fields in which we are developing our product candidates. As the biotechnology and pharmaceutical industries expand and more patents are issued, the risk that our product candidates may give rise to claims of infringement of the patent rights of others increases. Moreover, it is not always clear to industry participants, including us, which patents exist which may be found to cover various types of drugs, products or their methods of use or manufacture. Thus, because of the large number of patents issued and patent applications currently pending in our fields, there may be a risk that third parties may allege they have patent rights which are infringed by our product candidates, technologies or methods.</w:t>
      </w:r>
    </w:p>
    <w:p>
      <w:pPr>
        <w:spacing w:after="0" w:line="224"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If a third party alleges that we infringe its intellectual property rights, we may face a number of issues, including, but not limited to:</w:t>
      </w:r>
    </w:p>
    <w:p>
      <w:pPr>
        <w:spacing w:after="0" w:line="32" w:lineRule="exact"/>
        <w:rPr>
          <w:sz w:val="20"/>
          <w:szCs w:val="20"/>
          <w:color w:val="auto"/>
        </w:rPr>
      </w:pPr>
    </w:p>
    <w:p>
      <w:pPr>
        <w:jc w:val="both"/>
        <w:ind w:left="2080" w:right="1739" w:hanging="116"/>
        <w:spacing w:after="0" w:line="283" w:lineRule="auto"/>
        <w:tabs>
          <w:tab w:leader="none" w:pos="208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infringement and other intellectual property misappropriation which, regardless of merit, may be expensive and time-consuming to litigate and may divert our management’s attention from our core business;</w:t>
      </w:r>
    </w:p>
    <w:p>
      <w:pPr>
        <w:spacing w:after="0" w:line="187" w:lineRule="exact"/>
        <w:rPr>
          <w:rFonts w:ascii="Times New Roman" w:cs="Times New Roman" w:eastAsia="Times New Roman" w:hAnsi="Times New Roman"/>
          <w:sz w:val="12"/>
          <w:szCs w:val="12"/>
          <w:color w:val="auto"/>
        </w:rPr>
      </w:pPr>
    </w:p>
    <w:p>
      <w:pPr>
        <w:jc w:val="both"/>
        <w:ind w:left="2080" w:right="1739" w:hanging="116"/>
        <w:spacing w:after="0" w:line="266" w:lineRule="auto"/>
        <w:tabs>
          <w:tab w:leader="none" w:pos="208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substantial damages for infringement or misappropriation, which we may have to pay if a court decides that the product candidate or technology at issue infringes on or violates the third-party’s rights, and, if the court finds we have willfully infringed intellectual property rights, we could be ordered to pay treble damages and the patent owner’s attorneys’ fees;</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45" w:name="page46"/>
    <w:bookmarkEnd w:id="45"/>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2080" w:right="1739" w:hanging="116"/>
        <w:spacing w:after="0" w:line="283" w:lineRule="auto"/>
        <w:tabs>
          <w:tab w:leader="none" w:pos="208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injunction prohibiting us from manufacturing, marketing or selling our product candidates, or from using our proprietary technologies, unless the third party agrees to license its patent rights to us;</w:t>
      </w:r>
    </w:p>
    <w:p>
      <w:pPr>
        <w:spacing w:after="0" w:line="187" w:lineRule="exact"/>
        <w:rPr>
          <w:rFonts w:ascii="Times New Roman" w:cs="Times New Roman" w:eastAsia="Times New Roman" w:hAnsi="Times New Roman"/>
          <w:sz w:val="12"/>
          <w:szCs w:val="12"/>
          <w:color w:val="auto"/>
        </w:rPr>
      </w:pPr>
    </w:p>
    <w:p>
      <w:pPr>
        <w:jc w:val="both"/>
        <w:ind w:left="2080" w:right="1739" w:hanging="116"/>
        <w:spacing w:after="0" w:line="283" w:lineRule="auto"/>
        <w:tabs>
          <w:tab w:leader="none" w:pos="208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even if a license is available from a third party, we may have to pay substantial royalties, upfront fees and other amounts, and/or grant cross-licenses to intellectual property rights protecting our products; and</w:t>
      </w:r>
    </w:p>
    <w:p>
      <w:pPr>
        <w:spacing w:after="0" w:line="196"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forced to try to redesign our product candidates or processes so they do not infringe third-party intellectual property rights, an undertaking which may not be possible or which may require substantial monetary expenditures and time.</w:t>
      </w:r>
    </w:p>
    <w:p>
      <w:pPr>
        <w:spacing w:after="0" w:line="62"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77"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Third parties may assert that we are employing their proprietary technology without authorization. Generally, conducting preclinical and clinical trials and other development activities in the United States is not considered an act of infringement. While we may believe that patent claims or other intellectual property rights of a third party would not have a materially adverse effect on the commercialization of our product candidates, we may be incorrect in this belief, or we may not be able to prove it in litigation. In this regard, patents issued in the United States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 There may be currently pending patent applications which may later result in issued patents that may be infringed by our product candidates. Moreover, we may fail to identify relevant patents or incorrectly conclude that a patent is invalid, not enforceable, exhausted, or not infringed by our activities. If any third-party patents, held now or obtained in the future by a third party, were found by a court of competent jurisdiction to cover the manufacturing process of our product candidates,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any aspect of our formulations, any combination therapies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377"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46" w:name="page47"/>
    <w:bookmarkEnd w:id="4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We may not be successful in obtaining or maintaining necessary rights to our product candidates through acquisitions and in-licenses.</w:t>
      </w:r>
    </w:p>
    <w:p>
      <w:pPr>
        <w:spacing w:after="0" w:line="58"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on commercially reasonable terms or at all. Even if we are able to in-license any such necessary intellectual property, it could be on nonexclusive terms, thereby giving our competitors and other third parties access to the same intellectual property licensed to us, and it could require us to make substantial licensing and royalty payments.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obtained, we may have to abandon development of the relevant program or product candidate, which could adversely affect our business, financial condition, results of operations and prospects.</w:t>
      </w:r>
    </w:p>
    <w:p>
      <w:pPr>
        <w:spacing w:after="0" w:line="226"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We may enter into license agreements in the future with others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In that event, we may be required to expend significant time and resources to redesign our product candidates, or the methods for manufacturing them,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manufacturing methods, product candidates, or future methods or product candidates resulting in either an injunction prohibiting our manufacture or future sales, or, with respect to our future sales, an obligation on our part to pay royalties and/or other forms of compensation to third parties, which could be significant.</w:t>
      </w:r>
    </w:p>
    <w:p>
      <w:pPr>
        <w:spacing w:after="0" w:line="276"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We may become subject to claims challenging the inventorship or ownership of our or any future licensors’ patents and other intellectual property.</w:t>
      </w:r>
    </w:p>
    <w:p>
      <w:pPr>
        <w:spacing w:after="0" w:line="49"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We may be subject to claims that former employees, collaborators or other third parties have an interest in our or any future licensors’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spacing w:after="0" w:line="231"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Any future licensors may have relied on third-party consultants or collaborators or on funds from third parties, such as the United States government, such that these licensors are not the sole and exclusive owners of the patents we in-licensed. If other third parties have ownership rights or other rights to our in-licensed patents, they may be able to license such patents to our competitors, and our competitors could market competing</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47" w:name="page48"/>
    <w:bookmarkEnd w:id="4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products and technology. This could adversely affect our competitive position, business, financial condition, results of operations and prospects.</w:t>
      </w:r>
    </w:p>
    <w:p>
      <w:pPr>
        <w:spacing w:after="0" w:line="50"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spacing w:after="0" w:line="264"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We may form or seek collaborations or strategic alliances or enter into licensing arrangements in the future, and we may neither enter into, nor realize the benefits of, such alliances or licensing arrangements.</w:t>
      </w:r>
    </w:p>
    <w:p>
      <w:pPr>
        <w:spacing w:after="0" w:line="49"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Any future collaborations that we enter into may not be successful and we may not enter into such collaborations at all. The success of our collaboration arrangements will depend heavily on the efforts and activities of any future collaborators. Collaborations are subject to numerous risks, which may include that:</w:t>
      </w:r>
    </w:p>
    <w:p>
      <w:pPr>
        <w:spacing w:after="0" w:line="42" w:lineRule="exact"/>
        <w:rPr>
          <w:sz w:val="20"/>
          <w:szCs w:val="20"/>
          <w:color w:val="auto"/>
        </w:rPr>
      </w:pPr>
    </w:p>
    <w:p>
      <w:pPr>
        <w:ind w:left="2080" w:right="1739" w:hanging="116"/>
        <w:spacing w:after="0" w:line="291" w:lineRule="auto"/>
        <w:tabs>
          <w:tab w:leader="none" w:pos="20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collaborators have significant discretion in determining the efforts and resources that they will apply to collaborations;</w:t>
      </w:r>
    </w:p>
    <w:p>
      <w:pPr>
        <w:spacing w:after="0" w:line="31" w:lineRule="exact"/>
        <w:rPr>
          <w:rFonts w:ascii="Times New Roman" w:cs="Times New Roman" w:eastAsia="Times New Roman" w:hAnsi="Times New Roman"/>
          <w:sz w:val="12"/>
          <w:szCs w:val="12"/>
          <w:color w:val="auto"/>
        </w:rPr>
      </w:pPr>
    </w:p>
    <w:p>
      <w:pPr>
        <w:jc w:val="both"/>
        <w:ind w:left="2080" w:right="1739" w:hanging="116"/>
        <w:spacing w:after="0" w:line="263" w:lineRule="auto"/>
        <w:tabs>
          <w:tab w:leader="none" w:pos="20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 or the ongoing COVID-19 pandemic;</w:t>
      </w:r>
    </w:p>
    <w:p>
      <w:pPr>
        <w:spacing w:after="0" w:line="49"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collaborators could independently develop, or develop with third parties, products that compete directly or indirectly with our product candidates;</w:t>
      </w:r>
    </w:p>
    <w:p>
      <w:pPr>
        <w:spacing w:after="0" w:line="22" w:lineRule="exact"/>
        <w:rPr>
          <w:rFonts w:ascii="Times New Roman" w:cs="Times New Roman" w:eastAsia="Times New Roman" w:hAnsi="Times New Roman"/>
          <w:sz w:val="12"/>
          <w:szCs w:val="12"/>
          <w:color w:val="auto"/>
        </w:rPr>
      </w:pPr>
    </w:p>
    <w:p>
      <w:pPr>
        <w:jc w:val="both"/>
        <w:ind w:left="2080" w:right="1739" w:hanging="116"/>
        <w:spacing w:after="0" w:line="291" w:lineRule="auto"/>
        <w:tabs>
          <w:tab w:leader="none" w:pos="20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collaborator with marketing, manufacturing and distribution rights to one or more products may not commit sufficient resources to or otherwise not perform satisfactorily in carrying out these activities;</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65" w:lineRule="auto"/>
        <w:tabs>
          <w:tab w:leader="none" w:pos="20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could grant exclusive rights to our collaborators that would prevent us from collaborating with others;</w:t>
      </w:r>
    </w:p>
    <w:p>
      <w:pPr>
        <w:spacing w:after="0" w:line="213" w:lineRule="exact"/>
        <w:rPr>
          <w:rFonts w:ascii="Times New Roman" w:cs="Times New Roman" w:eastAsia="Times New Roman" w:hAnsi="Times New Roman"/>
          <w:sz w:val="12"/>
          <w:szCs w:val="12"/>
          <w:color w:val="auto"/>
        </w:rPr>
      </w:pPr>
    </w:p>
    <w:p>
      <w:pPr>
        <w:jc w:val="both"/>
        <w:ind w:left="2080" w:right="1739" w:hanging="116"/>
        <w:spacing w:after="0" w:line="266" w:lineRule="auto"/>
        <w:tabs>
          <w:tab w:leader="none" w:pos="20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47"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disputes may arise between us and a collaborator that causes the delay or termination of the research, development or commercialization of our future product candidates or that results in costly litigation or arbitration that diverts management attention and resources;</w:t>
      </w:r>
    </w:p>
    <w:p>
      <w:pPr>
        <w:spacing w:after="0" w:line="4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collaborations may be terminated, and, if terminated, may result in a need for additional capital to pursue further development or commercialization of the applicable future product candidates;</w:t>
      </w:r>
    </w:p>
    <w:p>
      <w:pPr>
        <w:spacing w:after="0" w:line="31"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collaborators may own or co-own intellectual property covering our product candidates that results from our collaborating with them, and in such cases, we would not have the exclusive right to develop or commercialize such intellectual property; and</w:t>
      </w:r>
    </w:p>
    <w:p>
      <w:pPr>
        <w:spacing w:after="0" w:line="34"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collaborator’s sales and marketing activities or other operations may not be in compliance with applicable laws, resulting in civil or criminal proceedings.</w:t>
      </w:r>
    </w:p>
    <w:p>
      <w:pPr>
        <w:spacing w:after="0" w:line="103"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b w:val="1"/>
          <w:bCs w:val="1"/>
          <w:i w:val="1"/>
          <w:iCs w:val="1"/>
          <w:color w:val="auto"/>
        </w:rPr>
        <w:t>If we fail to comply with our obligations in agreements under which we in-license or acquire development or commercialization rights to product candidates, or data from third parties, we could lose such rights that are important to our business.</w:t>
      </w:r>
    </w:p>
    <w:p>
      <w:pPr>
        <w:spacing w:after="0" w:line="65"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We may in the future in-license or otherwise acquire development or commercialization rights to product candidates or data from third parties, and any future licensors may rely upon third-party companies,</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48" w:name="page49"/>
    <w:bookmarkEnd w:id="4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consultants or collaborators, or on funds from third parties such that licensors are not the sole and exclusive owners of the patents we in-license. If any future licensors fail to prosecute, maintain, enforce, and defend such patents, or lose rights to those patents, the rights we have licensed may be reduced or eliminated, and our right to develop and commercialize future product candidates that may be subject of such licensed rights could be adversely affected. In spite of our efforts, any future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If such in-licenses are terminated, or if the underlying patents fail to provide the intended exclusivity, our competitors will have the freedom to seek regulatory approval of, and to market, products identical to our product candidates and the licensors to such in-licenses could prevent us from developing or commercializing product candidates that rely upon the patents or other intellectual property rights which were the subject matter of such terminated agreements. Any of these events could adversely affect our business, financial condition, results of operations, and prospects.</w:t>
      </w:r>
    </w:p>
    <w:p>
      <w:pPr>
        <w:spacing w:after="0" w:line="7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Disputes may arise regarding intellectual property subject to a licensing agreement, including:</w:t>
      </w:r>
    </w:p>
    <w:p>
      <w:pPr>
        <w:spacing w:after="0" w:line="82" w:lineRule="exact"/>
        <w:rPr>
          <w:sz w:val="20"/>
          <w:szCs w:val="20"/>
          <w:color w:val="auto"/>
        </w:rPr>
      </w:pPr>
    </w:p>
    <w:p>
      <w:pPr>
        <w:ind w:left="2080" w:hanging="116"/>
        <w:spacing w:after="0"/>
        <w:tabs>
          <w:tab w:leader="none" w:pos="20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scope of rights granted under the license agreement and other interpretation-related issues;</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financial or other obligations under the license agreement;</w:t>
      </w:r>
    </w:p>
    <w:p>
      <w:pPr>
        <w:spacing w:after="0" w:line="72"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to which our processes infringe on intellectual property of the licensor that is not subject to the licensing agreement;</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sublicensing of patent and other rights under our collaborative development relationships;</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diligence obligations under the license agreement and what activities satisfy those obligations;</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inventorship or ownership of inventions and know-how resulting from the joint creation or use of intellectual property by any future licensors and us and our partners; and</w:t>
      </w:r>
    </w:p>
    <w:p>
      <w:pPr>
        <w:spacing w:after="0" w:line="22"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priority of invention of patented technology.</w:t>
      </w:r>
    </w:p>
    <w:p>
      <w:pPr>
        <w:spacing w:after="0" w:line="109"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In addition, any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increase what we believe to be our financial or other obligations under the relevant agreement, either of which could adversely affect our business, financial condition, results of operations, and prospects. Moreover, if disputes over intellectual property that we may license in the future prevent or impair our ability to maintain future licensing arrangements on commercially acceptable terms, we may be unable to successfully develop and commercialize the affected product candidates, which could adversely affect our business, financial condition, results of operations, and prospects.</w:t>
      </w:r>
    </w:p>
    <w:p>
      <w:pPr>
        <w:spacing w:after="0" w:line="12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Any license agreements we enter into in the future may be subject to certain rights retained by third parties.</w:t>
      </w:r>
    </w:p>
    <w:p>
      <w:pPr>
        <w:spacing w:after="0" w:line="111"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Any future licensors may retain certain rights under the relevant agreements with us, including the right to use the underlying product candidates for academic and research use, to publish general scientific findings from research related to the product candidates, to make customary scientific and scholarly disclosures of information relating to the product candidates, or to develop or commercialize the licensed product candidates in certain regions.</w:t>
      </w:r>
    </w:p>
    <w:p>
      <w:pPr>
        <w:spacing w:after="0" w:line="217"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In addition, the United States federal government retains certain rights in inventions produced with its financial assistance under the Patent and Trademark Law Amendments Act (Bayh-Dole Act). The federal government retains a “nonexclusive, nontransferable, irrevocable, paid-up license” for its own benefit. The Bayh-Dole Act also provides federal agencies with “march-in rights.” March- 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We may at times choose to collaborate with academic institutions to accelerate our preclinical research or development. While we do not currently engage, and it is our policy to avoid engaging, university partners in projects in which there is a risk that federal funds may be commingled, we cannot be sure that any co-developed intellectual property will be free from government rights pursuant to the Bayh-Dole Act. Although none of our licenses to date are subject to march-in rights, if,</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49" w:name="page50"/>
    <w:bookmarkEnd w:id="4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10"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49" w:lineRule="exact"/>
        <w:rPr>
          <w:sz w:val="20"/>
          <w:szCs w:val="20"/>
          <w:color w:val="auto"/>
        </w:rPr>
      </w:pPr>
    </w:p>
    <w:p>
      <w:pPr>
        <w:jc w:val="both"/>
        <w:ind w:left="1720" w:right="1739"/>
        <w:spacing w:after="0" w:line="245" w:lineRule="auto"/>
        <w:rPr>
          <w:sz w:val="20"/>
          <w:szCs w:val="20"/>
          <w:color w:val="auto"/>
        </w:rPr>
      </w:pPr>
      <w:r>
        <w:rPr>
          <w:rFonts w:ascii="Times New Roman" w:cs="Times New Roman" w:eastAsia="Times New Roman" w:hAnsi="Times New Roman"/>
          <w:sz w:val="12"/>
          <w:szCs w:val="12"/>
          <w:color w:val="auto"/>
        </w:rPr>
        <w:t>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(Leahy-Smith Act), signed into law on September 16, 2011, could increase those uncertainties and costs surrounding the prosecution of patent applications filed after March 2013 and the enforcement or defense of our future issued patents or claiming priority to patent applications filed after March 2023. The Leahy-Smith Act includes a number of significant changes to United States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w:t>
      </w:r>
    </w:p>
    <w:p>
      <w:pPr>
        <w:spacing w:after="0" w:line="225"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or any future licensors’ patent claims that would not have been invalidated if first challenged by the third party as a defendant in a district court action. Thus, the Leahy-Smith Act and its implementation could increase the uncertainties and costs surrounding the prosecution of our or any future licensors’ patent applications and the enforcement or defense of our or any future licensors’ future issued patents, all of which could adversely affect our business, financial condition, results of operations and prospects.</w:t>
      </w:r>
    </w:p>
    <w:p>
      <w:pPr>
        <w:spacing w:after="0" w:line="76"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third-party was the first to invent the claimed invention. A third party that files a patent application in the USPTO after March 2013, but before we file an application covering the same invention, could therefore be awarded a patent covering an invention of ours or any future licensors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any future licensors were the first to either (i) file any patent application related to our product candidates and other proprietary technologies we may develop or (ii) invent any of the inventions claimed in our or any future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Leahy-Smith Act and its implementation could increase the uncertainties and costs surrounding the prosecution of our patent applications and the enforcement or defense of our future issued patents, all of which could adversely affect our business, financial condition, results of operations and prospects.</w:t>
      </w:r>
    </w:p>
    <w:p>
      <w:pPr>
        <w:spacing w:after="0" w:line="374" w:lineRule="exact"/>
        <w:rPr>
          <w:sz w:val="20"/>
          <w:szCs w:val="20"/>
          <w:color w:val="auto"/>
        </w:rPr>
      </w:pPr>
    </w:p>
    <w:p>
      <w:pPr>
        <w:jc w:val="both"/>
        <w:ind w:left="1720" w:right="1739"/>
        <w:spacing w:after="0" w:line="283" w:lineRule="auto"/>
        <w:rPr>
          <w:sz w:val="20"/>
          <w:szCs w:val="20"/>
          <w:color w:val="auto"/>
        </w:rPr>
      </w:pPr>
      <w:r>
        <w:rPr>
          <w:rFonts w:ascii="Times New Roman" w:cs="Times New Roman" w:eastAsia="Times New Roman" w:hAnsi="Times New Roman"/>
          <w:sz w:val="12"/>
          <w:szCs w:val="12"/>
          <w:color w:val="auto"/>
        </w:rPr>
        <w:t>In addition, the patent positions of companies in the development and commercialization of pharmaceuticals are particularly uncertain. The United States Supreme Court has ruled on several patent cases in recent years,</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50" w:name="page51"/>
    <w:bookmarkEnd w:id="5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either narrowing the scope of patent protection available in certain circumstances or weakening the rights of patent owners in certain situations. Depending on future actions by the United States Congress, the United States courts, the USPTO and the relevant law- making bodies in other countries, the laws and regulations governing patents could change in unpredictable ways that would weaken our or any future licensors’ ability to obtain new patents and patents that we or any future licensors might obtain in the future. We cannot predict how future decisions by the courts, the United States Congress or the USPTO may impact the value of our patents. Any similar adverse change in the patent laws of other jurisdictions could also adversely affect our business, financial condition, results of operations and prospects.</w:t>
      </w:r>
    </w:p>
    <w:p>
      <w:pPr>
        <w:spacing w:after="0" w:line="77"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 but doing so may preclude us from realizing the benefits of the UPC. Moreover, if we do not meet all of the formalities and requirements for opt-out under the UPC, our future European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product candidates and, resultantly, on our business, financial condition, prospects and results of operations.</w:t>
      </w:r>
    </w:p>
    <w:p>
      <w:pPr>
        <w:spacing w:after="0" w:line="271"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b w:val="1"/>
          <w:bCs w:val="1"/>
          <w:i w:val="1"/>
          <w:iCs w:val="1"/>
          <w:color w:val="auto"/>
        </w:rPr>
        <w:t>Obtaining and maintaining patent protection depends on compliance with various procedural, document submission, fee payment and other requirements imposed by government patent agencies, and our patent protection could be reduced or eliminated as a result of noncompliance with these requirements.</w:t>
      </w:r>
    </w:p>
    <w:p>
      <w:pPr>
        <w:spacing w:after="0" w:line="70"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Periodic maintenance fees, renewal fees, annuity fees and various other government fees on patents and/or applications will be due to be paid to the USPTO and various government patent agencies outside of the United States over the lifetime of our patents and patent applications. We rely on our outside patent counsel to pay these fees due to United States and non-United States patent agencies. The USPTO and various non-United States government patent agencies require compliance with several procedural, documentary, fee payment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adversely affect our business, financial condition, results of operations and prospects.</w:t>
      </w:r>
    </w:p>
    <w:p>
      <w:pPr>
        <w:spacing w:after="0" w:line="130" w:lineRule="exact"/>
        <w:rPr>
          <w:sz w:val="20"/>
          <w:szCs w:val="20"/>
          <w:color w:val="auto"/>
        </w:rPr>
      </w:pPr>
    </w:p>
    <w:p>
      <w:pPr>
        <w:jc w:val="both"/>
        <w:ind w:left="1720" w:right="1739"/>
        <w:spacing w:after="0" w:line="278" w:lineRule="auto"/>
        <w:rPr>
          <w:sz w:val="20"/>
          <w:szCs w:val="20"/>
          <w:color w:val="auto"/>
        </w:rPr>
      </w:pPr>
      <w:r>
        <w:rPr>
          <w:rFonts w:ascii="Times New Roman" w:cs="Times New Roman" w:eastAsia="Times New Roman" w:hAnsi="Times New Roman"/>
          <w:sz w:val="12"/>
          <w:szCs w:val="12"/>
          <w:b w:val="1"/>
          <w:bCs w:val="1"/>
          <w:i w:val="1"/>
          <w:iCs w:val="1"/>
          <w:color w:val="auto"/>
        </w:rPr>
        <w:t>Patent terms may be inadequate to protect our competitive position on products or product candidates for an adequate amount of time.</w:t>
      </w:r>
    </w:p>
    <w:p>
      <w:pPr>
        <w:spacing w:after="0" w:line="58"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Patents have a limited lifespan. In the United States, if all maintenance fees are timely paid, the natural expiration of a patent is generally 20 years from its earliest United States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our patent portfolio may not provide us with sufficient and continuing rights to exclude others from commercializing products similar or identical to ours.</w:t>
      </w:r>
    </w:p>
    <w:p>
      <w:pPr>
        <w:spacing w:after="0" w:line="2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If we do not obtain patent term extension for our product candidates, our business may be materially harmed.</w:t>
      </w:r>
    </w:p>
    <w:p>
      <w:pPr>
        <w:spacing w:after="0" w:line="111"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Depending upon the timing, duration and specifics of any FDA regulatory approval of our product candidates, one or more of our issued United States patents or issued United States patents that we may own</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51" w:name="page52"/>
    <w:bookmarkEnd w:id="51"/>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in the future may be eligible for limited patent term extension under the Drug Price Competition and Patent Term Restoration Action of 1984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71"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If we are unable to protect the confidentiality of our trade secrets, our business and competitive position would be harmed.</w:t>
      </w:r>
    </w:p>
    <w:p>
      <w:pPr>
        <w:spacing w:after="0" w:line="58"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In addition to the protection afforded by patents, we seek to rely on trade secret protection to protect proprietary know-how that is not patentable, processes for which patents are difficult to enforce and any other elements of our product discovery and development processes that involve proprietary know-how, information, or technology that is not covered by our patents. We may not be able to meaningfully protect our trade 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to our competitors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within the United States.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226"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Monitoring and detecting unauthorized disclosure or other compromise of trade secrets is difficult, and we do not know whether the steps we have taken to prevent such compromise are, or will be, adequate. If we were to enforce a claim that a third party had illegally obtained and was using our trade secrets, it would be expensive and time-consuming, and the outcome would be unpredictable. 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For example, significant elements of our business, including confidential aspects of sample preparation, methods of manufacturing, proprietary assays, computational-biological algorithms, data analytics and machine learning related to genetics, genomics, proteomics, biomarkers and samples, and related processes and software, are based on unpatented trade secrets, including those of our collaborators. For example, our collaborator, Foresite Labs, utilizes extensive trade secret algorithms, machine learning and AI analysis techniques, and we rely on their maintenance of these trade secrets.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52" w:name="page53"/>
    <w:bookmarkEnd w:id="5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65"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technologies or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technologies, or product candidates, which could adversely affect our business, financial condition, results of operations and prospects. Even if we are successful in defending against such claims, litigation could result in substantial costs and be a distraction to management.</w:t>
      </w:r>
    </w:p>
    <w:p>
      <w:pPr>
        <w:spacing w:after="0" w:line="219"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In addition, we may in the future be subject to claims by former employees, consultants or other third parties asserting an ownership right in our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technologies and product candidates. Such challenges may also result in our inability to develop, manufacture or commercialize our technologies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technologies and product candidates. Any of the foregoing could adversely affect our business, financial condition, results of operations and prospects.</w:t>
      </w:r>
    </w:p>
    <w:p>
      <w:pPr>
        <w:spacing w:after="0" w:line="265"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49"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Our unregistered trademarks, trade names or future registered trademarks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218"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53" w:name="page54"/>
    <w:bookmarkEnd w:id="53"/>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Risks Related to Government Regulation</w:t>
      </w:r>
    </w:p>
    <w:p>
      <w:pPr>
        <w:spacing w:after="0" w:line="155"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Even if we receive regulatory approval for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We may also be subject to penalties if we fail to comply with regulatory requirements or experience unanticipated problems with our product candidates.</w:t>
      </w:r>
    </w:p>
    <w:p>
      <w:pPr>
        <w:spacing w:after="0" w:line="74"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Any regulatory approvals that we or our future collaborators obtain for our product candidates may also be subject to limitations on the approved indicated uses for which a product may be marketed or to the conditions of approval, or contain requirements for potentially costly post-marketing testing and surveillance to monitor the safety and efficacy of the product candidate.</w:t>
      </w:r>
    </w:p>
    <w:p>
      <w:pPr>
        <w:spacing w:after="0" w:line="71"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In addition, if the FDA or a comparable foreign regulatory authority approves our product candidates, the manufacturing processes, labeling, packaging, distribution, post-approval monitoring and AE reporting, storage, import, export, advertising, promotion and recordkeeping for the product will be subject to extensive and ongoing regulatory requirements. The FDA has significant post- 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after approval, which may impose further requirements or restrictions on the distribution or use of an approved drug. Comparable foreign regulatory authorities may have similar authority. The manufacturing facilities we use to make a future product, if any, will also be subject to periodic review and inspection by the FDA and other regulatory authorities,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As we expect to rely on third- party manufacturers, we will have limited control over compliance with applicable rules and regulations by such manufacturers.</w:t>
      </w:r>
    </w:p>
    <w:p>
      <w:pPr>
        <w:spacing w:after="0" w:line="218"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In addition, any product promotion and advertising will also be subject to regulatory requirements and continuing regulatory review. For example, the FDA and comparable foreign regulatory authorities impose stringent restrictions on manufacturers’ communications regarding use of their products. Although clinicians may prescribe products for off-label uses, as the FDA and comparable foreign regulatory authorities do not regulate a physician’s choice of drug treatment made in the physician’s independent medical judgment, the FDA and such comparable foreign regulatory authorities do restrict promotional communications from companies or their sales force with respect to off-label uses of products. Specifically, any regulatory approval that the FDA grants is limited to those specific diseases and indications for which a product is deemed to be safe and effective by FDA, and our ability to promote any products will be narrowly limited to those indications that are specifically approved by the FDA. Similar restrictions apply in other countries. In the EU, applicable laws require that promotional materials and advertising in relation to medicinal products comply with the product’s Summary of Product Characteristics (SmPC) which may require approval by the competent national authorities in connection with an marketing authorization. The SmPC is the document that provides information to physicians concerning the safe and effective use of the product. Promotional activity that does not comply with the SmPC is considered off-label and is prohibited in the EU. If we are found to have promoted such off-label uses, we may become subject to significant liability. In addition, if we do not conduct head-to-head comparative clinical trials for our product candidates, we will be unable to make comparative claims regarding any other products in the promotional materials for our product candidates. If we promote our products, if approved, in a manner inconsistent with FDA-approved labeling, or the label approved by another comparable foreign regulatory authority, or otherwise not in compliance with FDA regulations or</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54" w:name="page55"/>
    <w:bookmarkEnd w:id="5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comparable foreign rules, we may be subject to enforcement action.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w:t>
      </w:r>
    </w:p>
    <w:p>
      <w:pPr>
        <w:spacing w:after="0" w:line="224"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Subsequent discovery of previously unknown problems with a product, including AEs of unanticipated severity or frequency, or with our third-party manufacturers or manufacturing processes, or failure by us, our contract manufacturers or service providers, or collaborators to comply with regulatory requirements, may result in, among other things:</w:t>
      </w:r>
    </w:p>
    <w:p>
      <w:pPr>
        <w:spacing w:after="0" w:line="48" w:lineRule="exact"/>
        <w:rPr>
          <w:sz w:val="20"/>
          <w:szCs w:val="20"/>
          <w:color w:val="auto"/>
        </w:rPr>
      </w:pPr>
    </w:p>
    <w:p>
      <w:pPr>
        <w:ind w:left="2080" w:right="1739" w:hanging="116"/>
        <w:spacing w:after="0" w:line="291" w:lineRule="auto"/>
        <w:tabs>
          <w:tab w:leader="none" w:pos="20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the marketing or manufacturing of the product, withdrawal of the product from the market or voluntary or mandatory product recalls;</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product distribution or use, or requirements to conduct post-marketing studies or clinical trials;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restrictions;</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fines, warning or untitled letters or holds on clinical trials;</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refusal by the FDA or comparable foreign regulatory authorities to approve, or delays in the approval of, pending applications or supplements to approved applications;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suspension, variation or revocation of product approvals;</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 seizure or detention or refusal to permit the import or export of products; and</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injunctions or the imposition of civil or criminal penalties.</w:t>
      </w:r>
    </w:p>
    <w:p>
      <w:pPr>
        <w:spacing w:after="0" w:line="109"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62"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The FDA’s and comparable foreign regulatory authorities’ policies may change and additional government regulations may be promulgated that could prevent, limit or delay marketing authorization of any product candidates we develop. 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24" w:lineRule="exact"/>
        <w:rPr>
          <w:sz w:val="20"/>
          <w:szCs w:val="20"/>
          <w:color w:val="auto"/>
        </w:rPr>
      </w:pPr>
    </w:p>
    <w:p>
      <w:pPr>
        <w:jc w:val="both"/>
        <w:ind w:left="1720" w:right="1739"/>
        <w:spacing w:after="0" w:line="274" w:lineRule="auto"/>
        <w:rPr>
          <w:sz w:val="20"/>
          <w:szCs w:val="20"/>
          <w:color w:val="auto"/>
        </w:rPr>
      </w:pPr>
      <w:r>
        <w:rPr>
          <w:rFonts w:ascii="Times New Roman" w:cs="Times New Roman" w:eastAsia="Times New Roman" w:hAnsi="Times New Roman"/>
          <w:sz w:val="12"/>
          <w:szCs w:val="12"/>
          <w:b w:val="1"/>
          <w:bCs w:val="1"/>
          <w:i w:val="1"/>
          <w:iCs w:val="1"/>
          <w:color w:val="auto"/>
        </w:rPr>
        <w:t>Recently enacted legislation, future legislation and other healthcare reform measures may increase the difficulty and cost for us to obtain regulatory approval for and commercialize our product candidates and may affect the prices we may set.</w:t>
      </w:r>
    </w:p>
    <w:p>
      <w:pPr>
        <w:spacing w:after="0" w:line="70"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regulatory approval. In particular, there have been and continue to be a number of initiatives at the U.S. federal and state levels that seek to reduce healthcare costs and improve the quality of healthcare.</w:t>
      </w:r>
    </w:p>
    <w:p>
      <w:pPr>
        <w:spacing w:after="0" w:line="76"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For example, in March 2010, the Patient Protection and Affordable Care Act, as amended by the Health Care and Education Reconciliation Act (collectively, the ACA) was enacted in the United States, which made a number of substantial changes in the way healthcare is financed by both governmental and private insurers. The ACA included a number of provisions that may reduce the profitability of drug products, including provisions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55" w:name="page56"/>
    <w:bookmarkEnd w:id="55"/>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In addition, other legislative changes have been proposed and adopted since the ACA was enacted. For example, the American Taxpayer Relief Act of 2021, effective January 1, 2024, eliminated the statutory cap on rebate amounts owed by drug manufacturers under the Medicaid Drug Rebate Program, which was previously capped at 100% of the Average Manufacturer Price (AMP) for a covered outpatient drug.</w:t>
      </w:r>
    </w:p>
    <w:p>
      <w:pPr>
        <w:spacing w:after="0" w:line="71" w:lineRule="exact"/>
        <w:rPr>
          <w:sz w:val="20"/>
          <w:szCs w:val="20"/>
          <w:color w:val="auto"/>
        </w:rPr>
      </w:pPr>
    </w:p>
    <w:p>
      <w:pPr>
        <w:jc w:val="both"/>
        <w:ind w:left="1720" w:right="1739"/>
        <w:spacing w:after="0" w:line="245" w:lineRule="auto"/>
        <w:rPr>
          <w:sz w:val="20"/>
          <w:szCs w:val="20"/>
          <w:color w:val="auto"/>
        </w:rPr>
      </w:pPr>
      <w:r>
        <w:rPr>
          <w:rFonts w:ascii="Times New Roman" w:cs="Times New Roman" w:eastAsia="Times New Roman" w:hAnsi="Times New Roman"/>
          <w:sz w:val="12"/>
          <w:szCs w:val="12"/>
          <w:color w:val="auto"/>
        </w:rPr>
        <w:t>Further, there has been heightened governmental scrutiny in the United States of pharmaceutical pricing practices in light of the rising cost of prescription drugs. Healthcare reform initiatives recently culminated in the enactment of the IRA in August 2022, which, among other things, allows the Department of Health and Human Services (HHS) to directly negotiate the selling price of a statutorily specified number of drugs and biologics each year that the Centers for Medicare &amp; Medicaid Services (CMS) reimburses under Medicare Part B and Part D. Only high-expenditure single-source drugs that have been approved for at least 7 years for single-source drugs (11 years for biologics) are eligible to be selected by CMS for negotiation, with the negotiated price taking effect two years after the selection year. Negotiations for Medicare Part D products take place in 2024 with the negotiated price taking effect in 2026, and negotiations for Medicare Part B products will begin in 2026 with the negotiated price taking effect in 2028. In August 2023, HHS announced the ten Medicare Part D drugs and biologics that it selected for negotiations. HHS will announce the negotiated maximum fair prices by September 1, 2024, and this price cap, which cannot exceed a statutory ceiling price, will go into effect on January 1, 2026. A drug or biological product that has an orphan drug designation for only one rare disease or condition will be excluded from the IRA’s price negotiation requirements, but will lose that exclusion if it receives designations for more than one rare disease or condition, or if is approved for an indication that is not within that single designated rare disease or condition, unless such additional designation or such disqualifying approvals are withdrawn by the time CMS evaluates the drug for selection for negotiation. The negotiated prices will represent a significant discount from average prices to wholesalers and direct purchasers. The law also imposes rebates on Medicare Part D and Part B drugs whose prices have increased at a rate greater than the rate of inflation. The IRA also extends enhanced subsidies for individuals purchasing health insurance coverage in ACA marketplaces through plan year 2025. The IRA permits the Secretary of HHS to implement many of these provisions through guidance, as opposed to regulation, for the initial years. Manufacturers that fail to comply with the IRA may be subject to various penalties, including civil monetary penalties. These provisions may be subject to legal challenges. For example, the provisions related to the negotiation of selling prices of high-expenditure single-source drugs and biologics have been challenged in multiple lawsuits brought by pharmaceutical manufacturers. Thus, while it is unclear how the IRA will be implemented, it will likely have a significant impact on the pharmaceutical industry.</w:t>
      </w:r>
    </w:p>
    <w:p>
      <w:pPr>
        <w:spacing w:after="0" w:line="367"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At the state level, legislatures have increasingly passed legislation and implemented regulations designed to control pharmaceutical product pricing, including price or patient reimbursement constraints, restrictions on certain product access, reporting on price increases and the introduction of high-cost drugs. In some states, laws have been enacted to encourage importation of lower cost drugs from other countries and bulk purchasing. For example, the FDA released a final rule in September 2020 providing guidance for states to build and submit plans for importing drugs from Canada, and FDA authorized the first such plan in Florida in January 2024.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 products that we successfully commercialize or put pressure on our product pricing.</w:t>
      </w:r>
    </w:p>
    <w:p>
      <w:pPr>
        <w:spacing w:after="0" w:line="83"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We expect that the ACA, the IRA, and any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71"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Moreover, in order to obtain reimbursement for our products in some European countries, including some EU member states, we may be required to compile additional data comparing the cost-effectiveness of our products to other available therapies. This of medicinal products is becoming an increasingly common part of the pricing and reimbursement procedures in some EU member states, including those representing the larger markets. The HTA process is the procedure to assess therapeutic, economic and societal impact of a given</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56" w:name="page57"/>
    <w:bookmarkEnd w:id="5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and provide the basis for cooperation at EU level for joint clinical assessments in these areas. It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spacing w:after="0" w:line="279"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b w:val="1"/>
          <w:bCs w:val="1"/>
          <w:i w:val="1"/>
          <w:iCs w:val="1"/>
          <w:color w:val="auto"/>
        </w:rPr>
        <w:t>Our operations and relationships with healthcare providers, healthcare organizations, customers and third-party payors will be subject to applicable anti-bribery, anti-kickback, fraud and abuse, transparency and other healthcare laws and regulations, which could expose us to, among other things, enforcement actions, criminal sanctions, civil penalties, contractual damages, reputational harm, administrative burdens and diminished profits and future earnings.</w:t>
      </w:r>
    </w:p>
    <w:p>
      <w:pPr>
        <w:spacing w:after="0" w:line="76"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Our future arrangements with healthcare providers, healthcare organizations, third-party payors and customers will expose us to broadly applicable anti-bribery, fraud and abuse and other healthcare laws and regulations that may constrain the business or financial arrangements and relationships through which we research, market, sell and distribute our product candidates, if approved. Restrictions under applicable federal, state and foreign anti-bribery and healthcare laws and regulations, include the following:</w:t>
      </w:r>
    </w:p>
    <w:p>
      <w:pPr>
        <w:spacing w:after="0" w:line="50" w:lineRule="exact"/>
        <w:rPr>
          <w:sz w:val="20"/>
          <w:szCs w:val="20"/>
          <w:color w:val="auto"/>
        </w:rPr>
      </w:pPr>
    </w:p>
    <w:p>
      <w:pPr>
        <w:jc w:val="both"/>
        <w:ind w:left="2080" w:right="1739" w:hanging="116"/>
        <w:spacing w:after="0" w:line="260" w:lineRule="auto"/>
        <w:tabs>
          <w:tab w:leader="none" w:pos="20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federal Anti-Kickback Statute, which prohibits, among other things, individuals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in whole or in part, under a federal and state healthcare program such as Medicare and Medicaid. A person or entity does not need to have actual knowledge of the statute or specific intent to violate it in order to have committed a violation;</w:t>
      </w:r>
    </w:p>
    <w:p>
      <w:pPr>
        <w:spacing w:after="0" w:line="52" w:lineRule="exact"/>
        <w:rPr>
          <w:rFonts w:ascii="Times New Roman" w:cs="Times New Roman" w:eastAsia="Times New Roman" w:hAnsi="Times New Roman"/>
          <w:sz w:val="12"/>
          <w:szCs w:val="12"/>
          <w:color w:val="auto"/>
        </w:rPr>
      </w:pPr>
    </w:p>
    <w:p>
      <w:pPr>
        <w:jc w:val="both"/>
        <w:ind w:left="2080" w:right="1739" w:hanging="116"/>
        <w:spacing w:after="0" w:line="258" w:lineRule="auto"/>
        <w:tabs>
          <w:tab w:leader="none" w:pos="20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federal criminal and civil false claims laws, including the federal False Claims Act, which can be enforced through civil whistleblower or qui tam actions against individuals or entities, and the Federal Civil Monetary Penalties Laws, which prohibit,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federal False Claims Act;</w:t>
      </w:r>
    </w:p>
    <w:p>
      <w:pPr>
        <w:spacing w:after="0" w:line="55" w:lineRule="exact"/>
        <w:rPr>
          <w:rFonts w:ascii="Times New Roman" w:cs="Times New Roman" w:eastAsia="Times New Roman" w:hAnsi="Times New Roman"/>
          <w:sz w:val="12"/>
          <w:szCs w:val="12"/>
          <w:color w:val="auto"/>
        </w:rPr>
      </w:pPr>
    </w:p>
    <w:p>
      <w:pPr>
        <w:jc w:val="both"/>
        <w:ind w:left="2080" w:right="1739" w:hanging="116"/>
        <w:spacing w:after="0" w:line="263" w:lineRule="auto"/>
        <w:tabs>
          <w:tab w:leader="none" w:pos="20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Health Insurance Portability and Accountability Act (HIPAA), which imposes criminal and civil liability,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57" w:name="page58"/>
    <w:bookmarkEnd w:id="5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ind w:left="2080" w:right="1739"/>
        <w:spacing w:after="0" w:line="291" w:lineRule="auto"/>
        <w:rPr>
          <w:sz w:val="20"/>
          <w:szCs w:val="20"/>
          <w:color w:val="auto"/>
        </w:rPr>
      </w:pPr>
      <w:r>
        <w:rPr>
          <w:rFonts w:ascii="Times New Roman" w:cs="Times New Roman" w:eastAsia="Times New Roman" w:hAnsi="Times New Roman"/>
          <w:sz w:val="12"/>
          <w:szCs w:val="12"/>
          <w:color w:val="auto"/>
        </w:rPr>
        <w:t>person or entity does not need to have actual knowledge of the statute or specific intent to violate it in order to have committed a violation;</w:t>
      </w:r>
    </w:p>
    <w:p>
      <w:pPr>
        <w:spacing w:after="0" w:line="23" w:lineRule="exact"/>
        <w:rPr>
          <w:sz w:val="20"/>
          <w:szCs w:val="20"/>
          <w:color w:val="auto"/>
        </w:rPr>
      </w:pPr>
    </w:p>
    <w:p>
      <w:pPr>
        <w:jc w:val="both"/>
        <w:ind w:left="2080" w:right="1739" w:hanging="116"/>
        <w:spacing w:after="0" w:line="260" w:lineRule="auto"/>
        <w:tabs>
          <w:tab w:leader="none" w:pos="208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federal legislation commonly referred to as the Physician Payments Sunshine Act, enacted as part of the ACA, and its implementing regulations, which requires certain manufacturers of covered drugs, devices, biologics and medical supplies that are reimbursable under Medicare, Medicaid, or the Children’s Health Insurance Program, with certain exceptions, to report annually to CMS information on certain payments and other transfers of value to clinicians (defined to include doctors, dentists, optometrists, podiatrists and chiropractors), teaching hospitals, and certain other health care providers (such as physician assistants and nurse practitioners), as well as ownership and investment interests held by the clinicians described above and their immediate family members;</w:t>
      </w:r>
    </w:p>
    <w:p>
      <w:pPr>
        <w:spacing w:after="0" w:line="40" w:lineRule="exact"/>
        <w:rPr>
          <w:rFonts w:ascii="Times New Roman" w:cs="Times New Roman" w:eastAsia="Times New Roman" w:hAnsi="Times New Roman"/>
          <w:sz w:val="12"/>
          <w:szCs w:val="12"/>
          <w:color w:val="auto"/>
        </w:rPr>
      </w:pPr>
    </w:p>
    <w:p>
      <w:pPr>
        <w:jc w:val="both"/>
        <w:ind w:left="2080" w:right="1739" w:hanging="116"/>
        <w:spacing w:after="0" w:line="263" w:lineRule="auto"/>
        <w:tabs>
          <w:tab w:leader="none" w:pos="208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spacing w:after="0" w:line="49"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analogous state and foreign laws and regulations, such as state and foreign anti-kickback and false claims laws, that may apply to sales or marketing arrangements and claims involving healthcare items or services reimbursed by non-governmental third-party payors, including private insurers; and</w:t>
      </w:r>
    </w:p>
    <w:p>
      <w:pPr>
        <w:spacing w:after="0" w:line="43" w:lineRule="exact"/>
        <w:rPr>
          <w:rFonts w:ascii="Times New Roman" w:cs="Times New Roman" w:eastAsia="Times New Roman" w:hAnsi="Times New Roman"/>
          <w:sz w:val="12"/>
          <w:szCs w:val="12"/>
          <w:color w:val="auto"/>
        </w:rPr>
      </w:pPr>
    </w:p>
    <w:p>
      <w:pPr>
        <w:jc w:val="both"/>
        <w:ind w:left="2080" w:right="1739" w:hanging="116"/>
        <w:spacing w:after="0" w:line="263" w:lineRule="auto"/>
        <w:tabs>
          <w:tab w:leader="none" w:pos="208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state and foreign laws that require pharmaceutical companies to comply with the pharmaceutical industry’s voluntary compliance guidelines and the relevant compliance guidance promulgated by the government in addition to requiring drug manufacturers to report information related to payments to clinicians and other healthcare providers or marketing expenditures and drug pricing information, and state and local laws that require the registration of pharmaceutical sales representatives.</w:t>
      </w:r>
    </w:p>
    <w:p>
      <w:pPr>
        <w:spacing w:after="0" w:line="224"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In the EU, interactions between pharmaceutical companies and healthcare professionals and healthcare organizations are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pharmaceutical products is prohibited in the EU. Relationships with healthcare professionals and associations are subject to stringent anti-gift statutes and anti-bribery laws, the scope of which differs across the EU. In addition, national transparency and reporting rules may require pharmaceutical companies to report/publish transfers of value provided to healthcare professionals and associations on a regular (e.g. annual) basis.</w:t>
      </w:r>
    </w:p>
    <w:p>
      <w:pPr>
        <w:spacing w:after="0" w:line="77"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If we or our future collaborators, manufacturers or service providers fail to comply with applicable federal, state or foreign laws or regulations, we could be subject to enforcement actions, which could affect our ability to develop, market and sell our product candidates successfully and could harm our reputation and lead to reduced acceptance of our products, if approved by the market.</w:t>
      </w:r>
    </w:p>
    <w:p>
      <w:pPr>
        <w:spacing w:after="0" w:line="71"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Efforts to ensure that our current and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significant penalties, including civil, criminal and administrative penalties, damages, fines, disgorgement, imprisonment, the curtailment or restructuring of our operations, loss of eligibility to obtain approvals from the FDA or comparable foreign regulatory authorities, exclusion from participation in government contracting, healthcare reimbursement or other government programs, including Medicare and Medicaid or comparable foreign programs, integrity oversight and reporting obligations, or reputational harm, any of which could adversely affect our financial results.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58" w:name="page59"/>
    <w:bookmarkEnd w:id="5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Governments outside the United States tend to impose strict price controls, which may adversely affect our revenue, if any.</w:t>
      </w:r>
    </w:p>
    <w:p>
      <w:pPr>
        <w:spacing w:after="0" w:line="49"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In some countries, particularly in the European Union, the pricing of prescription pharmaceuticals is subject to governmental control. In these countries, pricing negotiations with governmental authorities can take considerable time after the receipt of regulatory approval for a drug. To obtain coverage and reimbursement or pricing approval in some countries, we may be required to conduct a study that compares the cost-effectiveness of our product candidate to other available therapies. In addition, many countries outside the United States have limited government support programs that provide for reimbursement of drugs such as our product candidates, with an emphasis on private payors for access to commercial products. If reimbursement of our products, if approved is unavailable or limited in scope or amount, or if pricing is set at unsatisfactory levels, our business could be materially harmed.</w:t>
      </w:r>
    </w:p>
    <w:p>
      <w:pPr>
        <w:spacing w:after="0" w:line="130"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consequences for our business, results of operations and financial condition.</w:t>
      </w:r>
    </w:p>
    <w:p>
      <w:pPr>
        <w:spacing w:after="0" w:line="74"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In the ordinary course of business, we collect, receive, store, process, generate, use, transfer, disclose, make accessible, protect, secure, dispose of, transmit, and share (collectively, process or processing) personal data and other sensitive information, including proprietary and confidential business data, trade secrets, employee data, intellectual property, data we collect about trial participants in connection with clinical trials, and other sensitive third-party data (collectively,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77"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Various federal, state, local and foreign legislative and regulatory bodies, or self-regulatory organizations, may expand current laws, rules or regulations, enact new laws, rules or regulations or issue revised rules or guidance regarding data privacy and security. Implementation standards and enforcement practices are likely to remain uncertain for the foreseeable future, and we cannot yet determine the impact future laws, regulations, standards, or perception of their requirements may have on our business.</w:t>
      </w:r>
    </w:p>
    <w:p>
      <w:pPr>
        <w:spacing w:after="0" w:line="75"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In the United States, federal, state, and local governments have enacted numerous data privacy and security laws, including data breach notification laws, personal information privacy laws, and consumer protection laws. For example, HIPAA, as amended by the Health Information Technology for Economic and Clinical Health Act of 2009 and their respective implementing regulations (collectively, HIPAA) imposes specific requirements relating to the privacy, security, and transmission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77"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Additionally, the California Consumer Privacy Act (CCPA) applies to personal information of California consumers, business representatives, and employees, and among other things requires regulated businesses to provide specific disclosures in privacy notices and honor requests of California residents to exercise certain privacy rights, including the right to opt out of certain disclosures of their information. The CCPA provides for civil penalties as well as a private right of action with statutory damages for certain data breaches, thereby potentially increasing risks associated with a data breach. The CCPA does not currently apply to us because we do not generate the requisite annual revenue, but it may apply to us in the future. In addition, although the CCPA includes limited exceptions, including for certain information collected as part of clinical trials, the CCPA may impact our processing of personal information and increases our compliance costs depending on how it is interpreted. Additionally, amendments to the CCPA expanded the CCPA’s requirements, including by granting additional rights to California residents, such as the right to correct personal information and additional opt-out rights, and establishing a regulatory authority dedicated to enforcing the CCPA. Other states, such as Virginia, Connecticut, Utah and Colorado, have also passed comprehensive privacy laws, and similar laws are being considered or have been enacted in several other states, as well as at the federal and local levels. While U.S. state privacy laws, like the CCPA, may also exempt some data processed in the context of</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59" w:name="page60"/>
    <w:bookmarkEnd w:id="5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clinical trials, these developments further complicate compliance efforts, and increase legal risk and compliance costs for us and the third parties upon whom we rely. In addition to government activity, privacy advocacy groups and technology and other industries are considering various new, additional or different self-regulatory standards that may place additional burdens on us.</w:t>
      </w:r>
    </w:p>
    <w:p>
      <w:pPr>
        <w:spacing w:after="0" w:line="71"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There are also various laws, regulations and industry standards in other jurisdictions outside the United States relating to data privacy and security, with which we may need to comply. For example, the European Union’s General Data Protection Regulation (EU GDPR) and the United Kingdom’s equivalent (UK GDPR), collectively, GDPR, impose strict requirements for processing personal data. Notably, under the GDPR, companies may face temporary or definitive bans on data processing and other corrective actions; fines of up to €20 million under the EU GDPR / £17.5 million under the UK GDPR, or, in each case, 4% of the annual global revenue of the noncompliant undertaking, whichever is greater. The GDPR also provides for private litigation related to processing of personal data brought by classes of data subjects or consumer protection organizations authorized at law to represent their interests. Additionally, EU member states may introduce further conditions, including limitations, and make their own laws and regulations further limiting the processing of “special categories of personal data”, including personal data related to health, biometric data used for unique identification purposes and genetic information, which could limit our ability to process such special categories of personal data, and could cause our compliance costs to increase, ultimately adversely affecting our business, financial condition, results of operations and prospects.</w:t>
      </w:r>
    </w:p>
    <w:p>
      <w:pPr>
        <w:spacing w:after="0" w:line="82"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Although there are currently various mechanisms that may be used to transfer personal data from the EEA and UK to the United States in compliance with law, such as the EEA standard contractual clauses, the UK’s International Data Transfer Agreement / Addendum, the EU-US Data Privacy Framework, and the UK extension thereto (which allows for transfers to relevant U.S. -based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221"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Other jurisdictions may adopt similarly stringent interpretations of their data localization and cross-border data transfer laws.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217"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In addition to data privacy and security laws, we are also bound by other contractual obligations related to data privacy and security, and our efforts to comply with such obligations may not be successful.</w:t>
      </w:r>
    </w:p>
    <w:p>
      <w:pPr>
        <w:spacing w:after="0" w:line="59"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Each of these laws, rules, regulations and contractual obligations relating to data privacy and security, and any other such changes or new laws, rules, regulations or contractual obligations could impose significant limitations, require changes to our business, or restrict our collection, use, storage or processing of personal information, which may increase our compliance expenses and make our business more costly or less efficient to conduct. In addition, any such changes could compromise our ability to develop an adequate marketing strategy and pursue our growth strategy effectively or even prevent us from providing certain products in jurisdictions in which we currently operate and in which we may operate in the future or incur potential liability in an effort to comply with such legislation, which, in turn, could adversely affect our business, financial condition, results of operations and prospects. Complying with these numerous, complex and often</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60" w:name="page61"/>
    <w:bookmarkEnd w:id="6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changing regulations is expensive and difficult, and failure to comply with any data privacy or security laws, whether by us, one of our CROs, CMOs or another third party, could adversely affect our business, financial condition, results of operations and prospects, including but not limited to: regulatory investigation costs; material fines and penalties; compensatory, special, punitive and statutory damages; litigation (including class claims); consent orders regarding our data privacy and security practices; requirements that we provide notices, bans on processing personal data (including clinical trial data), orders to destroy or not use personal data, credit monitoring services and/or credit restoration services or other relevant services to impacted individuals in the event of an information security incident impacting personal information; adverse actions against our licenses to do business; reputational damage; and injunctive relief. The implementation of the GDPR have increased our responsibility and liability in relation to sensitive data that we process, including in clinical trials, and we may be required to put in place additional mechanisms to comply with the GDPR and other applicable laws and regulations,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EEA, the UK and other jurisdictions, and we cannot determine the impact such future laws, regulations and standards may have on our business.</w:t>
      </w:r>
    </w:p>
    <w:p>
      <w:pPr>
        <w:spacing w:after="0" w:line="365"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We may at times fail (or be perceived to have failed) in our efforts to comply with our data privacy and security obligations. Any actual or perceived failure by us or our third-party service providers to comply with any federal, state or foreign laws, rules, regulations, industry self -regulatory principles, industry standards or codes of conduct, regulatory guidance, orders to which we may be subject or other legal obligations relating to privacy, data protection, data security or consumer protection could adversely affect our reputation, brand and business. We may also be contractually required to indemnify and hold harmless third parties from the costs or consequences of non-compliance with any laws, rules and regulations or other legal obligations relating to privacy or any inadvertent or unauthorized use or disclosure, or other compromise of data that we store or handle as part of operating our business. Any of these events could adversely affect our reputation, business, or financial condition, including but not limited to: interruptions or stoppages in our business operations (including clinical trials and the development of product candidates);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spacing w:after="0" w:line="222"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We cannot assure you that our CROs, CMOs or other third-party service providers with access to our or our suppliers’, manufacturers’, trial participants’, employees’ and others’ sensitive data in relation to which we are responsible will not breach contractual obligations imposed by us, or that they will not experience data security incidents, which could have a corresponding effect on our business, including putting us in breach of our obligations including under privacy laws and regulations and/or which could in turn adversely affect our business, financial condition, results of operations and prospects. We cannot assure you that our contractual measures and our own privacy and security-related safeguards will protect us from the risks associated with the third-party processing of such information. Any of the foregoing could adversely affect our business, financial condition, results of operations and prospects.</w:t>
      </w:r>
    </w:p>
    <w:p>
      <w:pPr>
        <w:spacing w:after="0" w:line="76"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We also publicly post our privacy policies and practices concerning our collection, use, disclosure and other processing of the personal information provided to us or that we collect. Although we endeavor to comply with our public statements and documentation, we may at times fail to do so or be perceived to have failed to do so. Our publication of our privacy policies and other statements we publish that provide promises and assurances about data privacy and security can subject us to potential claims if they are found to be deceptive, unfair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transfer or other compromise of personal information or other sensitive data, may result in enforcement actions and prosecutions, private litigation (including class claims), significant fines, penalties (including bans on processing personal data or orders to destroy or not use personal data) and censure, claims for damages by affected individuals, regulatory inquiries and investigations or adverse publicity and could cause reputational harm, any of which could adversely affect our business, financial condition, results of operations and prospects.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61" w:name="page62"/>
    <w:bookmarkEnd w:id="61"/>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The successful assertion of one or more large data privacy or security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1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Risks Related to Our Reliance on Third Parties</w:t>
      </w:r>
    </w:p>
    <w:p>
      <w:pPr>
        <w:spacing w:after="0" w:line="155"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We may have conflicts with any future licensors or collaborators that could delay or prevent the development or commercialization of our product candidates.</w:t>
      </w:r>
    </w:p>
    <w:p>
      <w:pPr>
        <w:spacing w:after="0" w:line="58"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We may enter into strategic transactions in the future, and we may have conflicts with any potential licensors or collaborators, such as conflicts concerning the interpretation of preclinical or clinical data, the achievement of milestones, the interpretation of contractual obligations, payments for services, development obligations or the ownership of intellectual property developed during our collaboration. If any conflicts arise with any of our future collaborators, such collaborator may act in a manner that is adverse to our best interests. Any such disagreement could result in one or more of the following, each of which could delay or prevent the development or commercialization of our product candidates, and in turn prevent us from generating revenue: disputes regarding milestone payments or royalties; uncertainty regarding ownership of intellectual property rights arising from our collaborative activities, which could prevent us from entering into future additional collaborations; unwillingness by such collaborator to cooperate in the development or manufacture of a product candidate, including providing us with data or materials; unwillingness on the part of a collaborator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w:t>
      </w:r>
    </w:p>
    <w:p>
      <w:pPr>
        <w:spacing w:after="0" w:line="274"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b w:val="1"/>
          <w:bCs w:val="1"/>
          <w:i w:val="1"/>
          <w:iCs w:val="1"/>
          <w:color w:val="auto"/>
        </w:rPr>
        <w:t>We have relied and expect to continue to rely on third parties to conduct our preclinical studies and clinical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w:t>
      </w:r>
    </w:p>
    <w:p>
      <w:pPr>
        <w:spacing w:after="0" w:line="76"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We rely and intend to rely in the future on third-party clinical investigators, CROs and clinical data management organizations to conduct, supervise and monitor preclinical studies and clinical trials of our current or future product candidates. Because we currently rely and intend to continue to rely on these third parties, we will have less control over the timing, quality and other aspects of preclinical studies and clinical trials than we would have had we conducted them independently. These parties are not, and will not be, our employees and we will have limited control over the amount of time and resources that they dedicate to our programs. Additionally, such parties may have contractual relationships with other entities, some of which may be our competitors, which may draw time and resources from our programs.</w:t>
      </w:r>
    </w:p>
    <w:p>
      <w:pPr>
        <w:spacing w:after="0" w:line="68"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color w:val="auto"/>
        </w:rPr>
        <w:t>We have no experience as a company in submitting and supporting the applications necessary to gain regulatory approvals. Securing regulatory approval requires the submission of extensive preclinical and clinical data and supporting information to regulatory authorities for each indication to establish the product candidate’s safety or efficacy for that indication. Securing regulatory approval also requires the submission of information about the product manufacturing process to, and inspection of manufacturing facilities and clinical trial sites by, applicable regulatory authorities.</w:t>
      </w:r>
    </w:p>
    <w:p>
      <w:pPr>
        <w:spacing w:after="0" w:line="76"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Large-scale clinical trials require significant financial and management resources, and reliance on third-party clinical investigators, CROs, partners or consultants. Relying on third-party clinical investigators or CROs may force us to encounter delays and challenges that are outside of our control. We may not be able to demonstrate sufficient comparability between products manufactured at different facilities to allow for inclusion of the clinical results from participants treated with products from these different facilities, in our product registrations. Further, our third-party clinical manufacturers may not be able to manufacture our product candidates or otherwise fulfill their obligations to us because of interruptions to their business, including the loss of their key staff or interruptions to their raw material supply.</w:t>
      </w: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62" w:name="page63"/>
    <w:bookmarkEnd w:id="6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Our reliance on these third parties for development activities will reduce our control over these activities.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For example, we will remain responsible for ensuring that each of our preclinical studies are conducted in accordance with good laboratory practices, where applicable, and clinical trials are conducted in accordance with GCPs and applicable rules. Moreover, the FDA and comparable foreign regulatory authorities require us to comply with GCP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through inspections that may be conducted once we submit an NDA to the FDA) of trial sponsors, clinical investigators, trial sites and certain third parties including CROs. If we, our CROs, clinical trial sites, or other third parties fail to comply with applicable GCP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 Moreover, our business may be significantly impacted if our CROs, clinical investigators or other third parties violate federal or state healthcare fraud and abuse or false claims laws and regulations or healthcare privacy and security laws, and foreign equivalents.</w:t>
      </w:r>
    </w:p>
    <w:p>
      <w:pPr>
        <w:spacing w:after="0" w:line="207"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In the event we need to repeat, extend, delay or terminate our clinical trials because these third parties do not successfully carry out their contractual duties, meet expected deadlines or conduct our clinical trials in accordance with regulatory requirements or our stated protocols, our clinical trials may need to be repeated, extended, delayed or terminated and we may not be able to obtain, or may be delayed in obtaining, regulatory approvals for our product candidates, and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materially and adversely affected.</w:t>
      </w:r>
    </w:p>
    <w:p>
      <w:pPr>
        <w:spacing w:after="0" w:line="67"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If any of our relationships with these third parties terminate, we may not be able to enter into alternative arrangements or do so on commercially reasonable terms. Switching or adding additional contractors involves additional cost and time and requires management time and focus. In addition, there is a natural transition period when a new third party commences work. As a result, delays could occur, which could compromise our ability to meet our desired development timelines. In addition, if an agreement with any of our future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spacing w:after="0" w:line="67"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and/or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and may ultimately lead to the denial of regulatory approval of one or more of our product candidates.</w:t>
      </w:r>
    </w:p>
    <w:p>
      <w:pPr>
        <w:spacing w:after="0" w:line="245"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b w:val="1"/>
          <w:bCs w:val="1"/>
          <w:i w:val="1"/>
          <w:iCs w:val="1"/>
          <w:color w:val="auto"/>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w:t>
      </w:r>
    </w:p>
    <w:p>
      <w:pPr>
        <w:spacing w:after="0" w:line="70"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We do not own or operate, and currently have no plans to establish, any manufacturing facilities for drug manufacturing, storage, distribution or quality testing. We currently rely, and expect to continue to rely, on</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63" w:name="page64"/>
    <w:bookmarkEnd w:id="63"/>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third parties for the manufacture of active pharmaceutical ingredients (API), bulk drug substances, raw materials, samples, components and other materials for our product candidates for clinical testing, as well as for the manufacture of any products candidates that we commercialize, if approved. Reliance on third-party manufacturers may expose us to different risks than if we were to manufacture product candidates ourselves. There can be no assurance that our preclinical and clinical development product supplies will not be limited, interrupted, terminated or will be of satisfactory quality or be available at acceptable prices. In addition, any replacement of our manufacturer could require significant effort and time because there may be a limited number of qualified replacements.</w:t>
      </w:r>
    </w:p>
    <w:p>
      <w:pPr>
        <w:spacing w:after="0" w:line="77" w:lineRule="exact"/>
        <w:rPr>
          <w:sz w:val="20"/>
          <w:szCs w:val="20"/>
          <w:color w:val="auto"/>
        </w:rPr>
      </w:pPr>
    </w:p>
    <w:p>
      <w:pPr>
        <w:jc w:val="both"/>
        <w:ind w:left="1720" w:right="1739"/>
        <w:spacing w:after="0" w:line="245" w:lineRule="auto"/>
        <w:rPr>
          <w:sz w:val="20"/>
          <w:szCs w:val="20"/>
          <w:color w:val="auto"/>
        </w:rPr>
      </w:pPr>
      <w:r>
        <w:rPr>
          <w:rFonts w:ascii="Times New Roman" w:cs="Times New Roman" w:eastAsia="Times New Roman" w:hAnsi="Times New Roman"/>
          <w:sz w:val="12"/>
          <w:szCs w:val="12"/>
          <w:color w:val="auto"/>
        </w:rPr>
        <w:t>We obtain our preclinical and clinical supplies from our manufacturers on a purchase order basis, and currently do not have long-term supply arrangements in place. The manufacturing process for our product candidates is subject to the FDA and foreign regulatory authority review. We, and our suppliers and manufacturers, must meet applicable manufacturing requirements and undergo rigorous facility and process validation tests required by regulatory authorities in order to comply with regulatory standards, such as cGMPs. If our CMOs cannot successfully manufacture material that conforms to our specifications and the strict regulatory requirements of the FDA or comparable foreign regulatory authorities, we may not be able to rely on their facilities for the manufacture of elements of our product candidates. Securing regulatory approval also requires the submission of information about the product manufacturing process to, and inspection of manufacturing facilities by, the FDA, and comparable foreign regulatory authorities. If the FDA or any comparable foreign regulatory authority determines that our third-party manufacturers’ facilities are not in compliance with applicable laws and regulations, including those governing cGMPs, they may deny any NDA or marketing application we submit until the deficiencies are corrected or we replace the manufacturer in our application with a manufacturer that is able to demonstrate a compliance status acceptable to the FDA or foreign regulatory authority. Moreover, we are dependent on our CMOs for manufacturing in compliance with cGMPs and other regulatory requirements. In the event that any of our manufacturers fails to comply with such requirements or to perform its obligations in relation to quality, timing or otherwise, or if our projected manufacturing capacity or supply of materials becomes limited, interrupted, or more costly than anticipated, we may be forced to enter into an agreement with another third party, which we may not be able to do timely or on reasonable terms, if at all. In some cases, the technical skills or technology required to manufacture our product candidates may be unique or proprietary to the original manufacturer and we may have difficulty transferring such to another third party. These factors would increase our reliance on such manufacturer or require us to obtain a license from such manufacturer in order to enable us, or to have another third party, manufacture our product candidates. We will be required to verify that the new manufacturer maintains facilities and procedures that comply with applicable quality standards and regulations and guidelines; and we may be required to repeat some of the development program. If we are required to change manufacturers, the delays and costs associated with the verification of a new manufacturer, whether due to failure to comply with regulatory requirements, or quality, timing and supply issues, or other reason, could negatively affect our ability to develop product candidates in a timely manner or within budget.</w:t>
      </w:r>
    </w:p>
    <w:p>
      <w:pPr>
        <w:spacing w:after="0" w:line="360"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 xml:space="preserve">For example, as part of our process development efforts, we also may make changes to the manufacturing processes at various points during development, for various reasons, such as controlling costs, achieving scale, decreasing processing time, improving product formulations, increasing manufacturing success rate or other reasons. For example, we plan to implement certain manufacturing process changes for ESK-001 to increase scalability with respect to our planned Phase 3 clinical trials. Such changes carry the risk that they will not achieve their intended objectives, and any of these changes could cause our current or future product candidates to perform differently and affect the results of our future clinical trials. In some circumstances, changes in the manufacturing process may require us to perform </w:t>
      </w:r>
      <w:r>
        <w:rPr>
          <w:rFonts w:ascii="Times New Roman" w:cs="Times New Roman" w:eastAsia="Times New Roman" w:hAnsi="Times New Roman"/>
          <w:sz w:val="12"/>
          <w:szCs w:val="12"/>
          <w:i w:val="1"/>
          <w:iCs w:val="1"/>
          <w:color w:val="auto"/>
        </w:rPr>
        <w:t>ex vivo</w:t>
      </w:r>
      <w:r>
        <w:rPr>
          <w:rFonts w:ascii="Times New Roman" w:cs="Times New Roman" w:eastAsia="Times New Roman" w:hAnsi="Times New Roman"/>
          <w:sz w:val="12"/>
          <w:szCs w:val="12"/>
          <w:color w:val="auto"/>
        </w:rPr>
        <w:t xml:space="preserve"> comparability studies or clinical bridging studies, and we may be required to collect additional data from participants prior to undertaking more advanced clinical trials. For instance, changes in our process during the course of clinical development may require us to show the comparability of the product used in earlier clinical phases or at earlier portions of a trial to the product used in later clinical phases or later portions of the trial.</w:t>
      </w:r>
    </w:p>
    <w:p>
      <w:pPr>
        <w:spacing w:after="0" w:line="75"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We expect to continue to rely on third- party manufacturers if we receive regulatory approval for any product candidate. To the extent that we enter into future long-term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64" w:name="page65"/>
    <w:bookmarkEnd w:id="6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inspection by the FDA and comparable foreign regulatory authorities, including for continued compliance with cGMP requirements,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comparable foreign regulatory authorities could adversely affect our business in a number of ways, including:</w:t>
      </w:r>
    </w:p>
    <w:p>
      <w:pPr>
        <w:spacing w:after="0" w:line="47" w:lineRule="exact"/>
        <w:rPr>
          <w:sz w:val="20"/>
          <w:szCs w:val="20"/>
          <w:color w:val="auto"/>
        </w:rPr>
      </w:pPr>
    </w:p>
    <w:p>
      <w:pPr>
        <w:ind w:left="2080" w:hanging="116"/>
        <w:spacing w:after="0"/>
        <w:tabs>
          <w:tab w:leader="none" w:pos="208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inability to initiate or continue preclinical studies or clinical trials of product candidates;</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65" w:lineRule="auto"/>
        <w:tabs>
          <w:tab w:leader="none" w:pos="208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 in submitting regulatory applications, or receiving regulatory approvals, for product candidates;</w:t>
      </w:r>
    </w:p>
    <w:p>
      <w:pPr>
        <w:spacing w:after="0" w:line="213"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loss of the cooperation of future collaborators;</w:t>
      </w:r>
    </w:p>
    <w:p>
      <w:pPr>
        <w:spacing w:after="0" w:line="72" w:lineRule="exact"/>
        <w:rPr>
          <w:rFonts w:ascii="Times New Roman" w:cs="Times New Roman" w:eastAsia="Times New Roman" w:hAnsi="Times New Roman"/>
          <w:sz w:val="12"/>
          <w:szCs w:val="12"/>
          <w:color w:val="auto"/>
        </w:rPr>
      </w:pPr>
    </w:p>
    <w:p>
      <w:pPr>
        <w:jc w:val="both"/>
        <w:ind w:left="2080" w:right="1739" w:hanging="116"/>
        <w:spacing w:after="0" w:line="266" w:lineRule="auto"/>
        <w:tabs>
          <w:tab w:leader="none" w:pos="208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sanctions being imposed on us, including shutdown of the third-party vendor or invalidation of drug product lots or processes, fines, injunctions, civil penalties, delays, suspension, variation or withdrawal of approvals, license revocation, seizures of product candidates or drugs, operating restrictions and criminal prosecutions;</w:t>
      </w:r>
    </w:p>
    <w:p>
      <w:pPr>
        <w:spacing w:after="0" w:line="47"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requirements to cease distribution or to recall batches of our product candidates; and</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approval to market and commercialize a product candidate, an inability to meet commercial demands for our products.</w:t>
      </w:r>
    </w:p>
    <w:p>
      <w:pPr>
        <w:spacing w:after="0" w:line="59"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Additionally, our CMOs may experience difficulties due to resource constraints or as a result of labor disputes or unstable political environments. If our CMOs were to encounter any of these difficulties, our ability to provide our product candidates to participants in preclinical and clinical trials, or to provide product for treatment of participants once approved, would be jeopardized.</w:t>
      </w:r>
    </w:p>
    <w:p>
      <w:pPr>
        <w:spacing w:after="0" w:line="114" w:lineRule="exact"/>
        <w:rPr>
          <w:sz w:val="20"/>
          <w:szCs w:val="20"/>
          <w:color w:val="auto"/>
        </w:rPr>
      </w:pPr>
    </w:p>
    <w:p>
      <w:pPr>
        <w:jc w:val="both"/>
        <w:ind w:left="1720" w:right="1719"/>
        <w:spacing w:after="0" w:line="257" w:lineRule="auto"/>
        <w:rPr>
          <w:sz w:val="20"/>
          <w:szCs w:val="20"/>
          <w:color w:val="auto"/>
        </w:rPr>
      </w:pPr>
      <w:r>
        <w:rPr>
          <w:rFonts w:ascii="Times New Roman" w:cs="Times New Roman" w:eastAsia="Times New Roman" w:hAnsi="Times New Roman"/>
          <w:sz w:val="12"/>
          <w:szCs w:val="12"/>
          <w:b w:val="1"/>
          <w:bCs w:val="1"/>
          <w:i w:val="1"/>
          <w:iCs w:val="1"/>
          <w:color w:val="auto"/>
        </w:rPr>
        <w:t>We depend on limited source suppliers for certain raw materials used in our product candidates. If we are unable to source these supplies on a timely basis or establish redundancy in our manufacturing process or longer-term contracts with our CMOs, we will not be able to complete our clinical trials on time and the development of our product candidates may be delayed.</w:t>
      </w:r>
    </w:p>
    <w:p>
      <w:pPr>
        <w:spacing w:after="0" w:line="70" w:lineRule="exact"/>
        <w:rPr>
          <w:sz w:val="20"/>
          <w:szCs w:val="20"/>
          <w:color w:val="auto"/>
        </w:rPr>
      </w:pPr>
    </w:p>
    <w:p>
      <w:pPr>
        <w:jc w:val="both"/>
        <w:ind w:left="1720" w:right="1739"/>
        <w:spacing w:after="0" w:line="245" w:lineRule="auto"/>
        <w:rPr>
          <w:sz w:val="20"/>
          <w:szCs w:val="20"/>
          <w:color w:val="auto"/>
        </w:rPr>
      </w:pPr>
      <w:r>
        <w:rPr>
          <w:rFonts w:ascii="Times New Roman" w:cs="Times New Roman" w:eastAsia="Times New Roman" w:hAnsi="Times New Roman"/>
          <w:sz w:val="12"/>
          <w:szCs w:val="12"/>
          <w:color w:val="auto"/>
        </w:rPr>
        <w:t>Certain of the raw materials necessary to produce ESK-001 and A-005 are in limited supply, and we generally rely on one CMO for each manufacturing stage. While we intend to identify and qualify additional suppliers and redundant manufacturers provide the API, drug product and critical raw material prior to submission of an NDA to the FDA and/or a comparable marketing application outside the United States, there can be no assurance that we will be successful in doing so. Furthermore, any of the limited source suppliers upon whom we rely could stop producing our supplies, cease operations or be acquired by, or enter into exclusive arrangements with, our competitors. Establishing redundancy in CMOs and additional or replacement suppliers for these supplies, and obtaining regulatory authorizations that may result from adding or replacing CMOs and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limited source suppliers, we have a limited operating history and cannot assure you that we will not experience disruptions in our supply chain in the future as a result of such reliance or otherwise.</w:t>
      </w:r>
    </w:p>
    <w:p>
      <w:pPr>
        <w:spacing w:after="0" w:line="225"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In addition, we do not currently have long-term supply contracts with our CMOs, and they are not obligated to supply drug products to us for any period, in any specified quantity or at any certain price beyond the delivery contemplated by the relevant purchase orders. As a result, our suppliers could stop selling to us at commercially reasonable prices, or at all. While we intend to enter into long-term master supply agreements with certain of our CMOs prior to any potential NDA submission, we may not be successful in negotiating such agreements on favorable terms or at all. If we do enter into such long-term master supply agreements, or enter into such agreements on less favorable terms than we currently have with such manufacturers, we could be subject to binding long-term purchase obligations that may be harmful to our business, including in the</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65" w:name="page66"/>
    <w:bookmarkEnd w:id="65"/>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color w:val="auto"/>
        </w:rPr>
        <w:t>event that we do not conduct our trials on planned timelines or utilize the drug products that we are required to purchase. Any change in our relationships with our CMOs or changes to the contractual terms of our agreements with them could adversely affect our business, financial condition, results of operations and prospects.</w:t>
      </w:r>
    </w:p>
    <w:p>
      <w:pPr>
        <w:spacing w:after="0" w:line="265" w:lineRule="exact"/>
        <w:rPr>
          <w:sz w:val="20"/>
          <w:szCs w:val="20"/>
          <w:color w:val="auto"/>
        </w:rPr>
      </w:pPr>
    </w:p>
    <w:p>
      <w:pPr>
        <w:jc w:val="both"/>
        <w:ind w:left="1720" w:right="1719"/>
        <w:spacing w:after="0" w:line="274" w:lineRule="auto"/>
        <w:rPr>
          <w:sz w:val="20"/>
          <w:szCs w:val="20"/>
          <w:color w:val="auto"/>
        </w:rPr>
      </w:pPr>
      <w:r>
        <w:rPr>
          <w:rFonts w:ascii="Times New Roman" w:cs="Times New Roman" w:eastAsia="Times New Roman" w:hAnsi="Times New Roman"/>
          <w:sz w:val="12"/>
          <w:szCs w:val="12"/>
          <w:b w:val="1"/>
          <w:bCs w:val="1"/>
          <w:i w:val="1"/>
          <w:iCs w:val="1"/>
          <w:color w:val="auto"/>
        </w:rPr>
        <w:t>The operations of our suppliers, most of which are located outside of the United States, are subject to additional risks that are beyond our control and that could harm our business, financial condition, results of operations and prospects.</w:t>
      </w:r>
    </w:p>
    <w:p>
      <w:pPr>
        <w:spacing w:after="0" w:line="70"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Currently, most of our suppliers are located outside of the United States. As a result of our global suppliers, we are subject to risks associated with doing business abroad, including:</w:t>
      </w:r>
    </w:p>
    <w:p>
      <w:pPr>
        <w:spacing w:after="0" w:line="32" w:lineRule="exact"/>
        <w:rPr>
          <w:sz w:val="20"/>
          <w:szCs w:val="20"/>
          <w:color w:val="auto"/>
        </w:rPr>
      </w:pPr>
    </w:p>
    <w:p>
      <w:pPr>
        <w:ind w:left="2080" w:right="1739" w:hanging="116"/>
        <w:spacing w:after="0" w:line="291" w:lineRule="auto"/>
        <w:tabs>
          <w:tab w:leader="none" w:pos="208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political unrest, terrorism, labor disputes, and economic instability resulting in the disruption of trade from foreign countries in which our products are manufactured;</w:t>
      </w:r>
    </w:p>
    <w:p>
      <w:pPr>
        <w:spacing w:after="0" w:line="31" w:lineRule="exact"/>
        <w:rPr>
          <w:rFonts w:ascii="Times New Roman" w:cs="Times New Roman" w:eastAsia="Times New Roman" w:hAnsi="Times New Roman"/>
          <w:sz w:val="12"/>
          <w:szCs w:val="12"/>
          <w:color w:val="auto"/>
        </w:rPr>
      </w:pPr>
    </w:p>
    <w:p>
      <w:pPr>
        <w:jc w:val="both"/>
        <w:ind w:left="2080" w:right="1739" w:hanging="116"/>
        <w:spacing w:after="0" w:line="266" w:lineRule="auto"/>
        <w:tabs>
          <w:tab w:leader="none" w:pos="208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p>
      <w:pPr>
        <w:spacing w:after="0" w:line="47"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greater challenges and increased costs with enforcing and periodically auditing or reviewing our suppliers’ and manufacturers’ compliance with cGMPs or status acceptable to the FDA or comparable foreign regulatory authorities;</w:t>
      </w:r>
    </w:p>
    <w:p>
      <w:pPr>
        <w:spacing w:after="0" w:line="4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reduced protection for intellectual property rights, including trademark protection, in some countries particularly China;</w:t>
      </w:r>
    </w:p>
    <w:p>
      <w:pPr>
        <w:spacing w:after="0" w:line="40"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disruptions in operations due to global, regional, or local public health crises or other emergencies or natural disasters, including, for example, disruptions experienced during the COVID-19 pandemic;</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disruptions or delays in shipments; and</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local economic conditions in countries where our manufacturers or suppliers are located.</w:t>
      </w:r>
    </w:p>
    <w:p>
      <w:pPr>
        <w:spacing w:after="0" w:line="109"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color w:val="auto"/>
        </w:rPr>
        <w:t>These and other factors beyond our control could interrupt our suppliers’ production, influence the ability of our suppliers to export our clinical supplies cost-effectively or at all, and inhibit our suppliers’ ability to procure certain materials, any of which could harm our business, financial condition, results of operations and prospects.</w:t>
      </w:r>
    </w:p>
    <w:p>
      <w:pPr>
        <w:spacing w:after="0" w:line="26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Risks Related to this Offering and Ownership of Our Common Stock</w:t>
      </w:r>
    </w:p>
    <w:p>
      <w:pPr>
        <w:spacing w:after="0" w:line="155"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As a result of our history of losses and negative cash flows from operations, our consolidated financial statements contain a statement regarding a substantial doubt about our ability to continue as a going concern.</w:t>
      </w:r>
    </w:p>
    <w:p>
      <w:pPr>
        <w:spacing w:after="0" w:line="49"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A history of operating losses and negative cash flows from operations combined with our anticipated use of cash to fund operations raises substantial doubt about our ability to continue as a going concern beyond the 12-month period from the date when our unaudited interim condensed consolidated financial statements for the three months ended March 31, 2024 are available to be issued. Our future viability as an ongoing business is dependent on our ability to generate cash from our operating activities or to raise additional capital to finance our operations.</w:t>
      </w:r>
    </w:p>
    <w:p>
      <w:pPr>
        <w:spacing w:after="0" w:line="224"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If we are unable to raise additional capital as and when needed, our business, financial condition and results of operations will be materially and adversely affected, and we may be forced to delay our development efforts, limit our activities and reduce research and development costs. If we are unable to continue as a going concern, we may have to liquidate our assets, and the values we receive for our assets in liquidation or dissolution could be significantly lower than the values reflected in our financial statements. The inclusion of a going concern explanatory paragraph by our independent registered public accounting firm, our lack of cash resources and our potential inability to continue as a going concern may materially adversely affect our share price and our ability to raise new capital, enter into licensing and collaboration arrangements or other contractual relationships with third parties and otherwise execute our development strategy.</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66" w:name="page67"/>
    <w:bookmarkEnd w:id="6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both"/>
        <w:ind w:left="1720" w:right="171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An active and liquid trading market for our common stock may not develop and you may not be able to resell your shares of common stock at or above the public offering price, if at all.</w:t>
      </w:r>
    </w:p>
    <w:p>
      <w:pPr>
        <w:spacing w:after="0" w:line="49"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Prior to this offering, no market for shares of our common stock existed. We intend to apply to list our common stock on Nasdaq under the symbol “ALMS.” Assuming that our common stock is listed and after the consummation of this offering, an active or liquid trading market for our common stock may never develop or be sustained following this offering. To the extent certain of our existing stockholders and their affiliated entities participate in this offering, such purchases would reduce the non-affiliated public float of our shares, meaning the number of shares of our common stock that are not held by officers, directors and affiliated stockholders. A reduction in the public float could reduce the number of shares that are available to be traded at any given time, thereby adversely impacting the liquidity of our common stock and depressing the price at which you may be able to sell your shares. Moreover, the initial public offering price for our common stock will be determined through negotiations with the underwriters and may vary from the market price of our common stock following this offering. As a result of these and other factors, you may be unable to resell your shares of our common stock at or above the initial public offering price, at the time you wish to sell them, or at a price that you consider reasonable. The lack of an active market may also reduce the fair market value of your shares. Furthermore, an inactive market may also impair our ability to raise capital by selling shares of our common stock in the future and may impair our ability to enter into strategic collaborations or acquire companies or products by using our shares of common stock as consideration.</w:t>
      </w:r>
    </w:p>
    <w:p>
      <w:pPr>
        <w:spacing w:after="0" w:line="125" w:lineRule="exact"/>
        <w:rPr>
          <w:sz w:val="20"/>
          <w:szCs w:val="20"/>
          <w:color w:val="auto"/>
        </w:rPr>
      </w:pPr>
    </w:p>
    <w:p>
      <w:pPr>
        <w:jc w:val="both"/>
        <w:ind w:left="1720" w:right="1719"/>
        <w:spacing w:after="0" w:line="274" w:lineRule="auto"/>
        <w:rPr>
          <w:sz w:val="20"/>
          <w:szCs w:val="20"/>
          <w:color w:val="auto"/>
        </w:rPr>
      </w:pPr>
      <w:r>
        <w:rPr>
          <w:rFonts w:ascii="Times New Roman" w:cs="Times New Roman" w:eastAsia="Times New Roman" w:hAnsi="Times New Roman"/>
          <w:sz w:val="12"/>
          <w:szCs w:val="12"/>
          <w:b w:val="1"/>
          <w:bCs w:val="1"/>
          <w:i w:val="1"/>
          <w:iCs w:val="1"/>
          <w:color w:val="auto"/>
        </w:rPr>
        <w:t>Our quarterly and annual operating results may fluctuate significantly or may fall below the expectations of investors or securities analysts or any guidance we may publicly provide, each of which may cause our stock price to fluctuate or decline.</w:t>
      </w:r>
    </w:p>
    <w:p>
      <w:pPr>
        <w:spacing w:after="0" w:line="61"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We expect our operating results to be subject to quarterly and annual fluctuations which may, in turn, cause the price of our common stock to fluctuate substantially. Our net loss and other operating results will be affected by numerous factors, including:</w:t>
      </w:r>
    </w:p>
    <w:p>
      <w:pPr>
        <w:spacing w:after="0" w:line="44" w:lineRule="exact"/>
        <w:rPr>
          <w:sz w:val="20"/>
          <w:szCs w:val="20"/>
          <w:color w:val="auto"/>
        </w:rPr>
      </w:pPr>
    </w:p>
    <w:p>
      <w:pPr>
        <w:ind w:left="2080" w:right="1739" w:hanging="116"/>
        <w:spacing w:after="0" w:line="291" w:lineRule="auto"/>
        <w:tabs>
          <w:tab w:leader="none" w:pos="20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variations in the level of expense related to the ongoing development of our most advanced product candidate ESK-001, A-005 and other development programs;</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results and timing of preclinical studies and ongoing and future clinical trials, or the addition or termination of any such clinical trials;</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of payments we may make or receive under future license and future collaboration arrangements or the termination or modification thereof;</w:t>
      </w:r>
    </w:p>
    <w:p>
      <w:pPr>
        <w:spacing w:after="0" w:line="31"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execution of any strategic transactions, including acquisitions, collaborations, licenses or similar arrangements, and the timing and amount of payments we may make or receive in connection with such transactions;</w:t>
      </w:r>
    </w:p>
    <w:p>
      <w:pPr>
        <w:spacing w:after="0" w:line="4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intellectual property infringement lawsuit or opposition, interference or cancellation proceeding in which we may become involved;</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recruitment and departures of key personnel;</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our product candidates receive regulatory approval, the terms of such approval and market acceptance and demand for such products;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developments affecting our product candidates or those of our competitors;</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stock-based compensation expense;</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impacts of inflation and rising interest rates on our business and operations; and</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general market and economic conditions.</w:t>
      </w:r>
    </w:p>
    <w:p>
      <w:pPr>
        <w:spacing w:after="0" w:line="109"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We believe that quarterly or annual comparisons of our financial results are not necessarily meaningful and should not be relied upon as an indication of our future performance.</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67" w:name="page68"/>
    <w:bookmarkEnd w:id="6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Our stock price may be volatile, which could result in substantial losses for investors purchasing shares in this offering.</w:t>
      </w:r>
    </w:p>
    <w:p>
      <w:pPr>
        <w:spacing w:after="0" w:line="49" w:lineRule="exact"/>
        <w:rPr>
          <w:sz w:val="20"/>
          <w:szCs w:val="20"/>
          <w:color w:val="auto"/>
        </w:rPr>
      </w:pPr>
    </w:p>
    <w:p>
      <w:pPr>
        <w:ind w:left="1720" w:right="1739"/>
        <w:spacing w:after="0" w:line="275" w:lineRule="auto"/>
        <w:rPr>
          <w:sz w:val="20"/>
          <w:szCs w:val="20"/>
          <w:color w:val="auto"/>
        </w:rPr>
      </w:pPr>
      <w:r>
        <w:rPr>
          <w:rFonts w:ascii="Times New Roman" w:cs="Times New Roman" w:eastAsia="Times New Roman" w:hAnsi="Times New Roman"/>
          <w:sz w:val="12"/>
          <w:szCs w:val="12"/>
          <w:color w:val="auto"/>
        </w:rPr>
        <w:t>The market price of our common stock is likely to be volatile and could fluctuate widely in response to many factors, including but not limited to:</w:t>
      </w:r>
    </w:p>
    <w:p>
      <w:pPr>
        <w:spacing w:after="0" w:line="32" w:lineRule="exact"/>
        <w:rPr>
          <w:sz w:val="20"/>
          <w:szCs w:val="20"/>
          <w:color w:val="auto"/>
        </w:rPr>
      </w:pPr>
    </w:p>
    <w:p>
      <w:pPr>
        <w:ind w:left="2080" w:hanging="116"/>
        <w:spacing w:after="0"/>
        <w:tabs>
          <w:tab w:leader="none" w:pos="20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volatility and instability in the financial and capital markets;</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relating to our product candidates, including the results of clinical trials by us or any future collaborators;</w:t>
      </w:r>
    </w:p>
    <w:p>
      <w:pPr>
        <w:spacing w:after="0" w:line="22"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by competitors that impact our competitive outlook;</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negative developments with respect to our product candidates, or similar products or product candidates with which we compete;</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developments with respect to patents or intellectual property rights;</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of technological innovations, new product candidates, new products or new contracts by us or our competitors;</w:t>
      </w:r>
    </w:p>
    <w:p>
      <w:pPr>
        <w:spacing w:after="0" w:line="22"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relating to strategic transactions, including acquisitions, collaborations, licenses or similar arrangements;</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variations in our operating results due to the level of development expenses and other factors;</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financial estimates by equities research analysts and whether our earnings (or losses) meet or exceed such estimates;</w:t>
      </w:r>
    </w:p>
    <w:p>
      <w:pPr>
        <w:spacing w:after="0" w:line="22"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 or expectation of additional financing efforts and receipt, or lack of receipt, of funding in support of conducting our business;</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of our common stock by us, our insiders, or other stockholders, or issuances by us of shares of our common stock in connection with strategic transactions;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expiration of market standoff or lock-up agreements described in the section titled “Underwriting;”</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conditions and trends in the pharmaceutical, biotechnology and other industries;</w:t>
      </w:r>
    </w:p>
    <w:p>
      <w:pPr>
        <w:spacing w:after="0" w:line="72"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developments within, and outside of, the United States, including changes in the structure of health care payment systems;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litigation or arbitration;</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COVID-19 or other pandemics, natural disasters, or major catastrophic events;</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economic, political and market conditions and other factors; and</w:t>
      </w:r>
    </w:p>
    <w:p>
      <w:pPr>
        <w:spacing w:after="0" w:line="72"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occurrence of any of the risks described in this section titled “Risk Factors.”</w:t>
      </w:r>
    </w:p>
    <w:p>
      <w:pPr>
        <w:spacing w:after="0" w:line="109"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stock shortly following this offering.</w:t>
      </w:r>
    </w:p>
    <w:p>
      <w:pPr>
        <w:spacing w:after="0" w:line="118" w:lineRule="exact"/>
        <w:rPr>
          <w:sz w:val="20"/>
          <w:szCs w:val="20"/>
          <w:color w:val="auto"/>
        </w:rPr>
      </w:pPr>
    </w:p>
    <w:p>
      <w:pPr>
        <w:jc w:val="both"/>
        <w:ind w:left="1720" w:right="1739"/>
        <w:spacing w:after="0" w:line="278" w:lineRule="auto"/>
        <w:rPr>
          <w:sz w:val="20"/>
          <w:szCs w:val="20"/>
          <w:color w:val="auto"/>
        </w:rPr>
      </w:pPr>
      <w:r>
        <w:rPr>
          <w:rFonts w:ascii="Times New Roman" w:cs="Times New Roman" w:eastAsia="Times New Roman" w:hAnsi="Times New Roman"/>
          <w:sz w:val="12"/>
          <w:szCs w:val="12"/>
          <w:b w:val="1"/>
          <w:bCs w:val="1"/>
          <w:i w:val="1"/>
          <w:iCs w:val="1"/>
          <w:color w:val="auto"/>
        </w:rPr>
        <w:t>You will experience immediate and substantial dilution as a result of this offering and may experience additional dilution in the future.</w:t>
      </w:r>
    </w:p>
    <w:p>
      <w:pPr>
        <w:spacing w:after="0" w:line="58" w:lineRule="exact"/>
        <w:rPr>
          <w:sz w:val="20"/>
          <w:szCs w:val="20"/>
          <w:color w:val="auto"/>
        </w:rPr>
      </w:pPr>
    </w:p>
    <w:p>
      <w:pPr>
        <w:jc w:val="both"/>
        <w:ind w:left="1720" w:right="1739"/>
        <w:spacing w:after="0" w:line="253" w:lineRule="auto"/>
        <w:rPr>
          <w:sz w:val="20"/>
          <w:szCs w:val="20"/>
          <w:color w:val="auto"/>
        </w:rPr>
      </w:pPr>
      <w:r>
        <w:rPr>
          <w:rFonts w:ascii="Times New Roman" w:cs="Times New Roman" w:eastAsia="Times New Roman" w:hAnsi="Times New Roman"/>
          <w:sz w:val="12"/>
          <w:szCs w:val="12"/>
          <w:color w:val="auto"/>
        </w:rPr>
        <w:t>You will suffer immediate and substantial dilution with respect to the common stock you purchase in this offering. Specifically, assuming an initial public offering price of $17.00 per share, and assuming that the number of shares offered by us, as set forth on the cover page of this prospectus, remains the same and that the underwriters do not exercise their option to purchase additional shares of common stock in this offering, you will incur immediate dilution of $7.69 per share. That number represents the difference between the assumed</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68" w:name="page69"/>
    <w:bookmarkEnd w:id="6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initial public offering price of $17.00 per share and our pro forma as adjusted net tangible book value per share as of March 31, 2024, after giving effect to (i) the elimination of the derivative liability related to the second tranche closing of Series C redeemable convertible preferred stock, (ii) the issuance of 41,264,892 shares of Series C redeemable convertible preferred stock in May 2024, convertible into 8,826,699 shares of common stock, for approximately $129.3 million in aggregate net proceeds therefrom,</w:t>
      </w:r>
    </w:p>
    <w:p>
      <w:pPr>
        <w:jc w:val="both"/>
        <w:ind w:left="1720" w:right="1739"/>
        <w:spacing w:after="0" w:line="262" w:lineRule="auto"/>
        <w:tabs>
          <w:tab w:leader="none" w:pos="1955"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Preferred Stock Conversion and the Common Stock Reclassification (as if each had occurred as of March 31, 2024) and (iv) the filing and effectiveness of our amended and restated certificate of incorporation to be in effect immediately prior to the closing of this offering.</w:t>
      </w:r>
    </w:p>
    <w:p>
      <w:pPr>
        <w:spacing w:after="0" w:line="76"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For a further description of the dilution that you will experience immediately after this offering, see the section titled “Dilution.”</w:t>
      </w:r>
    </w:p>
    <w:p>
      <w:pPr>
        <w:spacing w:after="0" w:line="103"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Sales of a substantial number of shares of our common stock by our existing stockholders in the public market could cause our stock price to fall.</w:t>
      </w:r>
    </w:p>
    <w:p>
      <w:pPr>
        <w:spacing w:after="0" w:line="58"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62"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Based on shares of common stock outstanding as of March 31, 2024 (after giving effect to (i) the issuance of 41,264,892 shares of Series C redeemable convertible preferred stock, convertible into 8,826,699 shares of common stock, in May 2024 and (ii) the Preferred Stock Conversion and the Common Stock Reclassification (as if each had occurred as of March 31, 2024)), upon the closing of this offering, we will have outstanding a total of 49,184,821 shares of common stock and 7,184,908 shares of non-voting common stock, assuming no exercise of the underwriters’ option to purchase additional shares and no exercise of outstanding options subsequent to such date. Of these shares, only the shares of common stock sold in this offering by us, plus any shares sold upon exercise of the underwriters’ option to purchase additional shares, will (unless they are purchased by one of our affiliates) be freely tradable, without restriction, in the public market immediately following this offering.</w:t>
      </w:r>
    </w:p>
    <w:p>
      <w:pPr>
        <w:spacing w:after="0" w:line="226"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Our directors and executive officers and holders of substantially all of our outstanding securities have entered into lock-up agreements with the underwriters pursuant to which they may not, with certain exceptions, for a period of 180 days from the date of this prospectus, offer, sell or otherwise transfer or dispose of any of our securities, without the prior written consent of Morgan Stanley &amp; Co. LLC. However, Morgan Stanley &amp; Co. LLC may permit our officers, directors and other security holders who are subject to the lock-up agreements to sell shares prior to the expiration of the lock-up agreements at any time in their sole discretion. See the section titled “Underwriting.” Sales of these shares, or perceptions that they will be sold, could cause the trading price of our common stock to decline. After the lock-up agreements expire, an additional 38,719,729 shares of common stock will be eligible for sale in the public market, of which 30,296,700 shares are held by directors, executive officers and other affiliates and will be subject to volume limitations under Rule 144 under the Securities Act.</w:t>
      </w:r>
    </w:p>
    <w:p>
      <w:pPr>
        <w:spacing w:after="0" w:line="229"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In addition, as of March 31, 2024, 5,565,543 shares of common stock that are subject to outstanding options under our employee benefit plan will become eligible for sale in the public market after this offering, to the extent permitted by the provisions of various vesting schedules, the lock-up agreements (and the exceptions thereto) and Rule 144 and Rule 701 under the Securities Act. If these additional shares of common stock are sold, or if it is perceived that they will be sold, in the public market, the trading price of our common stock could decline.</w:t>
      </w:r>
    </w:p>
    <w:p>
      <w:pPr>
        <w:spacing w:after="0" w:line="215"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After this offering, the holders of 36,318,638 shares of our outstanding common stock and our outstanding non-voting common stock, or approximately 93.8% of our total outstanding common stock and non-voting stock based on shares outstanding as of March 31, 2024, will be entitled to rights with respect to the registration of their shares under the Securities Act, subject to the lock-up agreements described above. See “Description of Capital Stock—Registration Rights.”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adversely affect the trading price of our common stock.</w:t>
      </w: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69" w:name="page70"/>
    <w:bookmarkEnd w:id="6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We have broad discretion in how we use the net proceeds of this offering and may not use these proceeds effectively, which could affect our results of operations and cause our stock price to decline.</w:t>
      </w:r>
    </w:p>
    <w:p>
      <w:pPr>
        <w:spacing w:after="0" w:line="49"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We will have considerable discretion in the application of the net proceeds of this offering, including for any of the purposes described in the section of this prospectus titled “Use of Proceeds,” and you will not have the opportunity as part of your investment decision to assess whether the net proceeds are being used appropriately.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264"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Our principal stockholders and management own a significant percentage of our common stock and will be able to control matters subject to stockholder approval.</w:t>
      </w:r>
    </w:p>
    <w:p>
      <w:pPr>
        <w:spacing w:after="0" w:line="49"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Based on 38,719,729 shares of our capital stock outstanding as of March 31, 2024, after giving effect to (i) the second tranche closing of Series C redeemable convertible preferred stock in May 2024 and (ii) the Preferred Stock Conversion and the Common Stock Reclassification (as if each had occurred as of March 31, 2024), and prior to this offering, our executive officers, directors, holders of 5% or more of our capital stock and their respective affiliates beneficially owned approximately 83.9% of our voting common stock and 100% of our non-voting common stock and, upon the completion of this offering, that same group will hold approximately 53.8% of our outstanding voting common stock and 100% of our outstanding non-voting common stock (assuming no exercise of the underwriters’ option to purchase additional shares of common stock, no exercise of outstanding options and no purchases of shares of common stock in this offering. Therefore, even after this offering, these stockholders will have the ability to influence us through this ownership position.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63" w:lineRule="exact"/>
        <w:rPr>
          <w:sz w:val="20"/>
          <w:szCs w:val="20"/>
          <w:color w:val="auto"/>
        </w:rPr>
      </w:pPr>
    </w:p>
    <w:p>
      <w:pPr>
        <w:jc w:val="both"/>
        <w:ind w:left="1720" w:right="1739"/>
        <w:spacing w:after="0" w:line="278" w:lineRule="auto"/>
        <w:rPr>
          <w:sz w:val="20"/>
          <w:szCs w:val="20"/>
          <w:color w:val="auto"/>
        </w:rPr>
      </w:pPr>
      <w:r>
        <w:rPr>
          <w:rFonts w:ascii="Times New Roman" w:cs="Times New Roman" w:eastAsia="Times New Roman" w:hAnsi="Times New Roman"/>
          <w:sz w:val="12"/>
          <w:szCs w:val="12"/>
          <w:b w:val="1"/>
          <w:bCs w:val="1"/>
          <w:i w:val="1"/>
          <w:iCs w:val="1"/>
          <w:color w:val="auto"/>
        </w:rPr>
        <w:t>Participation in this offering by our existing stockholders and their affiliated entities may further concentrate control among these existing stockholders, and may reduce the public float for our common stock.</w:t>
      </w:r>
    </w:p>
    <w:p>
      <w:pPr>
        <w:spacing w:after="0" w:line="58"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To the extent certain of our existing stockholders and their affiliated entities participate in this offering, such purchases could increase or further concentrate the control and voting power held by our existing stockholders. In addition, such participation would reduce the non-affiliate public float of our shares, meaning the number of shares of our common stock that are not held by officers, directors and principal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 If any shares are purchased by our existing stockholders, the number and percentage of shares of our common stock beneficially owned by them after this offering will differ from the amounts set forth in this prospectus.</w:t>
      </w:r>
    </w:p>
    <w:p>
      <w:pPr>
        <w:spacing w:after="0" w:line="123" w:lineRule="exact"/>
        <w:rPr>
          <w:sz w:val="20"/>
          <w:szCs w:val="20"/>
          <w:color w:val="auto"/>
        </w:rPr>
      </w:pPr>
    </w:p>
    <w:p>
      <w:pPr>
        <w:jc w:val="both"/>
        <w:ind w:left="1720" w:right="1719"/>
        <w:spacing w:after="0" w:line="274" w:lineRule="auto"/>
        <w:rPr>
          <w:sz w:val="20"/>
          <w:szCs w:val="20"/>
          <w:color w:val="auto"/>
        </w:rPr>
      </w:pPr>
      <w:r>
        <w:rPr>
          <w:rFonts w:ascii="Times New Roman" w:cs="Times New Roman" w:eastAsia="Times New Roman" w:hAnsi="Times New Roman"/>
          <w:sz w:val="12"/>
          <w:szCs w:val="12"/>
          <w:b w:val="1"/>
          <w:bCs w:val="1"/>
          <w:i w:val="1"/>
          <w:iCs w:val="1"/>
          <w:color w:val="auto"/>
        </w:rPr>
        <w:t>We are an “emerging growth company” and a “smaller reporting company” and the reduced reporting requirements applicable to emerging growth companies and smaller reporting companies may make our common stock less attractive to investors.</w:t>
      </w:r>
    </w:p>
    <w:p>
      <w:pPr>
        <w:spacing w:after="0" w:line="70"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We are an “emerging growth company” as defined in Section 2(a) of the Securities Act, as modified by the JOBS Act. As an emerging growth company, we are only required to provide two years of audited financial statements (in addition to any required unaudited interim financial statements) and correspondingly reduced management discussion and analysis of financial condition and results of operations disclosure. In addition, we are not required to obtain auditor attestation of reporting on internal control over financial reporting, we have reduced disclosure obligations regarding executive compensation and we are not required to hold non-binding advisory votes on executive compensation or obtain stockholder approval of any golden</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70" w:name="page71"/>
    <w:bookmarkEnd w:id="7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parachute payments not previously approved. We may choose to take advantage of some, but not all, of the available exemptions. We have taken advantage of reduced reporting obligations in this prospectus. In particular, in this prospectus, we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These provisions allow an emerging growth company to delay the adoption of these accounting standards until they would otherwise apply to private companies. We have elected to take advantage of such extended transition period. We cannot predict whether investors will find our common stock less attractive as a result of its reliance on these exemptions. If some investors find our common stock to be less attractive as a result, there may be a less active trading market for our common stock and the price of our common stock may be more volatile than the current trading market and price of our common stock.</w:t>
      </w:r>
    </w:p>
    <w:p>
      <w:pPr>
        <w:spacing w:after="0" w:line="217"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Further, there is no guarantee that the exemptions available under the JOBS Act will result in significant savings. To the extent that we choose not to use exemptions from various reporting requirements under the JOBS Act, we will incur additional compliance costs, which may impact our financial condition.</w:t>
      </w:r>
    </w:p>
    <w:p>
      <w:pPr>
        <w:spacing w:after="0" w:line="67"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We will remain an emerging growth company until the earliest of: (i) the end of the fiscal year in which we have a total annual gross revenue of   $1.235 billion; (ii) the last day of our fiscal year following the fifth anniversary of the completion of this offering; (iii) the date on which we have, during the previous three-year period, issued more than $1.0 billion in non-convertible debt; or (iv) the end of the fiscal year in which the market value of common stock held by non-affiliates exceeds $700 million as of the prior June 30.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addition, if we are a smaller reporting company with less than $100 million in annual revenue, we would not be required to comply with the auditor attestation requirements of Section 404 of the Sarbanes-Oxley Act.</w:t>
      </w:r>
    </w:p>
    <w:p>
      <w:pPr>
        <w:spacing w:after="0" w:line="120"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b w:val="1"/>
          <w:bCs w:val="1"/>
          <w:i w:val="1"/>
          <w:iCs w:val="1"/>
          <w:color w:val="auto"/>
        </w:rPr>
        <w:t>Anti-takeover provisions in our charter documents and under Delaware law could prevent or delay an acquisition of us that may be beneficial to our stockholders and may prevent attempts by our stockholders to replace or remove our current management.</w:t>
      </w:r>
    </w:p>
    <w:p>
      <w:pPr>
        <w:spacing w:after="0" w:line="70" w:lineRule="exact"/>
        <w:rPr>
          <w:sz w:val="20"/>
          <w:szCs w:val="20"/>
          <w:color w:val="auto"/>
        </w:rPr>
      </w:pPr>
    </w:p>
    <w:p>
      <w:pPr>
        <w:jc w:val="both"/>
        <w:ind w:left="1720" w:right="1739"/>
        <w:spacing w:after="0" w:line="255" w:lineRule="auto"/>
        <w:rPr>
          <w:sz w:val="20"/>
          <w:szCs w:val="20"/>
          <w:color w:val="auto"/>
        </w:rPr>
      </w:pPr>
      <w:r>
        <w:rPr>
          <w:rFonts w:ascii="Times New Roman" w:cs="Times New Roman" w:eastAsia="Times New Roman" w:hAnsi="Times New Roman"/>
          <w:sz w:val="12"/>
          <w:szCs w:val="12"/>
          <w:color w:val="auto"/>
        </w:rPr>
        <w:t>Our amended and restated certificate of incorporation and our amended and restated bylaws that will be in effect upon completion of this offering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45" w:lineRule="exact"/>
        <w:rPr>
          <w:sz w:val="20"/>
          <w:szCs w:val="20"/>
          <w:color w:val="auto"/>
        </w:rPr>
      </w:pPr>
    </w:p>
    <w:p>
      <w:pPr>
        <w:ind w:left="2080" w:hanging="116"/>
        <w:spacing w:after="0"/>
        <w:tabs>
          <w:tab w:leader="none" w:pos="20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 a classified board of directors so that not all members of our board are elected at one time;</w:t>
      </w:r>
    </w:p>
    <w:p>
      <w:pPr>
        <w:spacing w:after="0" w:line="72" w:lineRule="exact"/>
        <w:rPr>
          <w:rFonts w:ascii="Times New Roman" w:cs="Times New Roman" w:eastAsia="Times New Roman" w:hAnsi="Times New Roman"/>
          <w:sz w:val="12"/>
          <w:szCs w:val="12"/>
          <w:color w:val="auto"/>
        </w:rPr>
      </w:pPr>
    </w:p>
    <w:p>
      <w:pPr>
        <w:ind w:left="2080" w:right="1739" w:hanging="116"/>
        <w:spacing w:after="0" w:line="265" w:lineRule="auto"/>
        <w:tabs>
          <w:tab w:leader="none" w:pos="20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permit only the board of directors to establish the number of directors and fill vacancies on the board;</w:t>
      </w:r>
    </w:p>
    <w:p>
      <w:pPr>
        <w:spacing w:after="0" w:line="204"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that directors may only be removed “for cause” and only with the approval of two-thirds of our stockholders;</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super-majority voting to amend some provisions in our amended and restated certificate of incorporation and amended and restated bylaws;</w:t>
      </w:r>
    </w:p>
    <w:p>
      <w:pPr>
        <w:spacing w:after="0" w:line="22"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authorize the issuance of “blank check” preferred stock that our board could use to implement a stockholder rights plan;</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eliminate the ability of our stockholders to call special meetings of stockholders;</w:t>
      </w:r>
    </w:p>
    <w:p>
      <w:pPr>
        <w:spacing w:after="0" w:line="72"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prohibit stockholder action by written consent, which requires all stockholder actions to be taken at a meeting of our stockholders;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prohibit cumulative voting; and</w:t>
      </w:r>
    </w:p>
    <w:p>
      <w:pPr>
        <w:spacing w:after="0" w:line="72"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 advance notice requirements for nominations for election to our board or for proposing matters that can be acted upon by stockholders at annual stockholder meetings.</w:t>
      </w:r>
    </w:p>
    <w:p>
      <w:pPr>
        <w:spacing w:after="0" w:line="59"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71" w:name="page72"/>
    <w:bookmarkEnd w:id="71"/>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both"/>
        <w:ind w:left="1720" w:right="1739"/>
        <w:spacing w:after="0" w:line="301" w:lineRule="auto"/>
        <w:rPr>
          <w:sz w:val="20"/>
          <w:szCs w:val="20"/>
          <w:color w:val="auto"/>
        </w:rPr>
      </w:pPr>
      <w:r>
        <w:rPr>
          <w:rFonts w:ascii="Times New Roman" w:cs="Times New Roman" w:eastAsia="Times New Roman" w:hAnsi="Times New Roman"/>
          <w:sz w:val="11"/>
          <w:szCs w:val="11"/>
          <w:b w:val="1"/>
          <w:bCs w:val="1"/>
          <w:i w:val="1"/>
          <w:iCs w:val="1"/>
          <w:color w:val="auto"/>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spacing w:after="0" w:line="48"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Our amended and restated certificate of incorporation that will be in effect upon completion of this offering, to the fullest extent permitted by law, will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that is governed by the internal affairs doctrine. This exclusive forum provision does not apply to suits brought to enforce a duty or liability created by the Exchange Act.</w:t>
      </w:r>
    </w:p>
    <w:p>
      <w:pPr>
        <w:spacing w:after="0" w:line="75"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financial condition, results of operations and prospects.</w:t>
      </w:r>
    </w:p>
    <w:p>
      <w:pPr>
        <w:spacing w:after="0" w:line="75" w:lineRule="exact"/>
        <w:rPr>
          <w:sz w:val="20"/>
          <w:szCs w:val="20"/>
          <w:color w:val="auto"/>
        </w:rPr>
      </w:pPr>
    </w:p>
    <w:p>
      <w:pPr>
        <w:jc w:val="both"/>
        <w:ind w:left="1720" w:right="1739"/>
        <w:spacing w:after="0" w:line="245" w:lineRule="auto"/>
        <w:rPr>
          <w:sz w:val="20"/>
          <w:szCs w:val="20"/>
          <w:color w:val="auto"/>
        </w:rPr>
      </w:pPr>
      <w:r>
        <w:rPr>
          <w:rFonts w:ascii="Times New Roman" w:cs="Times New Roman" w:eastAsia="Times New Roman" w:hAnsi="Times New Roman"/>
          <w:sz w:val="12"/>
          <w:szCs w:val="12"/>
          <w:color w:val="auto"/>
        </w:rPr>
        <w:t>Section 22 of the Securities Act creates concurrent jurisdiction for federal and state courts over all claims brought to enforce any duty or liability created by the Securities Act or the rules and regulations thereunder. Our amended and restated bylaws will provide that the federal district courts of the United States of America will, to the fullest extent permitted by law, be the exclusive forum for resolving any complaint asserting a cause of action arising under the Securities Act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366"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Any person or entity purchasing or otherwise acquiring or holding any interest in any of our securities shall be deemed to have notice of and consented to our exclusive forum provisions in our amended and restated bylaws,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spacing w:after="0" w:line="118" w:lineRule="exact"/>
        <w:rPr>
          <w:sz w:val="20"/>
          <w:szCs w:val="20"/>
          <w:color w:val="auto"/>
        </w:rPr>
      </w:pPr>
    </w:p>
    <w:p>
      <w:pPr>
        <w:jc w:val="both"/>
        <w:ind w:left="1720" w:right="1739"/>
        <w:spacing w:after="0" w:line="278" w:lineRule="auto"/>
        <w:rPr>
          <w:sz w:val="20"/>
          <w:szCs w:val="20"/>
          <w:color w:val="auto"/>
        </w:rPr>
      </w:pPr>
      <w:r>
        <w:rPr>
          <w:rFonts w:ascii="Times New Roman" w:cs="Times New Roman" w:eastAsia="Times New Roman" w:hAnsi="Times New Roman"/>
          <w:sz w:val="12"/>
          <w:szCs w:val="12"/>
          <w:b w:val="1"/>
          <w:bCs w:val="1"/>
          <w:i w:val="1"/>
          <w:iCs w:val="1"/>
          <w:color w:val="auto"/>
        </w:rPr>
        <w:t>Our board of directors will be authorized to issue and designate shares of our preferred stock without stockholder approval.</w:t>
      </w:r>
    </w:p>
    <w:p>
      <w:pPr>
        <w:spacing w:after="0" w:line="58" w:lineRule="exact"/>
        <w:rPr>
          <w:sz w:val="20"/>
          <w:szCs w:val="20"/>
          <w:color w:val="auto"/>
        </w:rPr>
      </w:pPr>
    </w:p>
    <w:p>
      <w:pPr>
        <w:jc w:val="both"/>
        <w:ind w:left="1720" w:right="1739"/>
        <w:spacing w:after="0" w:line="253" w:lineRule="auto"/>
        <w:rPr>
          <w:sz w:val="20"/>
          <w:szCs w:val="20"/>
          <w:color w:val="auto"/>
        </w:rPr>
      </w:pPr>
      <w:r>
        <w:rPr>
          <w:rFonts w:ascii="Times New Roman" w:cs="Times New Roman" w:eastAsia="Times New Roman" w:hAnsi="Times New Roman"/>
          <w:sz w:val="12"/>
          <w:szCs w:val="12"/>
          <w:color w:val="auto"/>
        </w:rPr>
        <w:t>Our amended and restated certificate of incorporation will authorize our board of directors, without the approval of our stockholders, to issue shares of preferred stock, subject to limitations prescribed by applicable law, rules and regulations and the provisions of our amended and restated certificate of incorporation, and to establish from time to time the number of shares of preferred stock to be included in each such series and to fix the designation, powers, preferences and rights of the shares of each such series and the qualifications,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72" w:name="page73"/>
    <w:bookmarkEnd w:id="7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limitations or restrictions thereof. The powers, preferences and rights of these additional series of convertible preferred stock may be senior to or on parity with our common stock, which may reduce our common stock’s value.</w:t>
      </w:r>
    </w:p>
    <w:p>
      <w:pPr>
        <w:spacing w:after="0" w:line="110"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Because we do not anticipate paying any dividends on our capital stock in the foreseeable future, capital appreciation, if any, will be your sole source of gain.</w:t>
      </w:r>
    </w:p>
    <w:p>
      <w:pPr>
        <w:spacing w:after="0" w:line="49"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We have never declared nor paid dividends on our capital stock. We currently intend to retain all of our future earnings, if any, to finance the growth and development, operation and expansion of our business and we do not anticipate declaring or paying any dividends in the foreseeable future. As a result, capital appreciation of our common stock, which may never occur, will be your sole source of gain on your investment for the foreseeable future.</w:t>
      </w:r>
    </w:p>
    <w:p>
      <w:pPr>
        <w:spacing w:after="0" w:line="119" w:lineRule="exact"/>
        <w:rPr>
          <w:sz w:val="20"/>
          <w:szCs w:val="20"/>
          <w:color w:val="auto"/>
        </w:rPr>
      </w:pPr>
    </w:p>
    <w:p>
      <w:pPr>
        <w:jc w:val="both"/>
        <w:ind w:left="1720" w:right="171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The dual-class structure of our common stock may limit your ability to influence corporate matters and may limit your visibility with respect to certain transactions.</w:t>
      </w:r>
    </w:p>
    <w:p>
      <w:pPr>
        <w:spacing w:after="0" w:line="49"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ownership and other limitations provided for in our certificate of incorporation. Consequently, if holders of our non-voting common stock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Additionally, stockholders who hold, in the aggregate, more than 10% of our common stock and non-voting common stock, but 10% or less of our common stock, and are not otherwise an insider, may not be required to report changes in their ownership due to transactions in our non-voting common stock pursuant to Section 16(a) of the Exchange Act, and may not be subject to the short-swing profit provisions of Section 16(b) of the Exchange Act.</w:t>
      </w:r>
    </w:p>
    <w:p>
      <w:pPr>
        <w:spacing w:after="0" w:line="26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General Risk Factors</w:t>
      </w:r>
    </w:p>
    <w:p>
      <w:pPr>
        <w:spacing w:after="0" w:line="155" w:lineRule="exact"/>
        <w:rPr>
          <w:sz w:val="20"/>
          <w:szCs w:val="20"/>
          <w:color w:val="auto"/>
        </w:rPr>
      </w:pPr>
    </w:p>
    <w:p>
      <w:pPr>
        <w:jc w:val="both"/>
        <w:ind w:left="1720" w:right="1739"/>
        <w:spacing w:after="0" w:line="278" w:lineRule="auto"/>
        <w:rPr>
          <w:sz w:val="20"/>
          <w:szCs w:val="20"/>
          <w:color w:val="auto"/>
        </w:rPr>
      </w:pPr>
      <w:r>
        <w:rPr>
          <w:rFonts w:ascii="Times New Roman" w:cs="Times New Roman" w:eastAsia="Times New Roman" w:hAnsi="Times New Roman"/>
          <w:sz w:val="12"/>
          <w:szCs w:val="12"/>
          <w:b w:val="1"/>
          <w:bCs w:val="1"/>
          <w:i w:val="1"/>
          <w:iCs w:val="1"/>
          <w:color w:val="auto"/>
        </w:rPr>
        <w:t>Unstable economic and market conditions may have serious adverse consequences on our business, financial condition and stock price.</w:t>
      </w:r>
    </w:p>
    <w:p>
      <w:pPr>
        <w:spacing w:after="0" w:line="58"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Global economic and business activities continue to face widespread uncertainties, and global credit and financial markets have experienced extreme volatility and disruptions in the past several years, including severely diminished liquidity and credit availability, rising inflation and monetary supply shifts, rising interest rates, labor shortages, declines in consumer confidence, declines in economic growth, increases in unemployment rates, recession risks, and uncertainty about economic and geopolitical stability (for example, related to the ongoing conflicts in Ukraine and Israel and the surrounding areas).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There can be no assurance that further deterioration in economic or market conditions will not occur, or how long these challenges will persist. If the current equity and credit markets further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275"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If securities or industry analysts do not publish research or reports about our business, or if they publish inaccurate or unfavorable research about our business, our stock price and trading volume could decline.</w:t>
      </w:r>
    </w:p>
    <w:p>
      <w:pPr>
        <w:spacing w:after="0" w:line="58"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The trading market for our common stock will be influenced in part by the research and reports that industry or securities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commence coverage of us, or if analysts cease coverage of us, we could lose visibility in the financial markets, and the trading price for</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73" w:name="page74"/>
    <w:bookmarkEnd w:id="73"/>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spacing w:after="0" w:line="124" w:lineRule="exact"/>
        <w:rPr>
          <w:sz w:val="20"/>
          <w:szCs w:val="20"/>
          <w:color w:val="auto"/>
        </w:rPr>
      </w:pPr>
    </w:p>
    <w:p>
      <w:pPr>
        <w:jc w:val="both"/>
        <w:ind w:left="1720" w:right="1739"/>
        <w:spacing w:after="0" w:line="278" w:lineRule="auto"/>
        <w:rPr>
          <w:sz w:val="20"/>
          <w:szCs w:val="20"/>
          <w:color w:val="auto"/>
        </w:rPr>
      </w:pPr>
      <w:r>
        <w:rPr>
          <w:rFonts w:ascii="Times New Roman" w:cs="Times New Roman" w:eastAsia="Times New Roman" w:hAnsi="Times New Roman"/>
          <w:sz w:val="12"/>
          <w:szCs w:val="12"/>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58"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After the completion of this offering, as a public company, and particularly after we are no longer an emerging growth company, we will incur significant legal, accounting and other expenses that we did not incur as a private company. The Securities Act, the Exchange Act,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64"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b w:val="1"/>
          <w:bCs w:val="1"/>
          <w:i w:val="1"/>
          <w:iCs w:val="1"/>
          <w:color w:val="auto"/>
        </w:rPr>
        <w:t>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p>
    <w:p>
      <w:pPr>
        <w:spacing w:after="0" w:line="65"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We are not currently required to comply with the rules of the SEC implementing Section 404 of the Sarbanes-Oxley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internal control over financial reporting. Although we will be required to disclose changes made in our internal control over financial reporting on a quarterly basis, we will not be required to make our first annual assessment of our internal control over financial reporting until our second annual report on Form 10-K. However, as an emerging growth company, our independent registered public accounting firm will not be required to formally attest to the effectiveness of our internal control over financial reporting until the later of the year following our first annual report required to be filed with the SEC or the date we are no longer an emerging growth company. At such time, our independent registered public accounting firm would need to issue a report that is adverse in the event that there are material weaknesses in our internal control over financial reporting.</w:t>
      </w:r>
    </w:p>
    <w:p>
      <w:pPr>
        <w:spacing w:after="0" w:line="222"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As a private company, we do not currently have any internal audit function. 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controls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74" w:name="page75"/>
    <w:bookmarkEnd w:id="7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and we could become subject to investigations by the stock exchange on which our securities are listed, the SEC or other comparable foreign regulatory authorities, which could require additional financial and management resources. In addition, if we fail to remedy any material weakness, our financial statements could be inaccurate, and we could face restricted access to capital markets.</w:t>
      </w:r>
    </w:p>
    <w:p>
      <w:pPr>
        <w:spacing w:after="0" w:line="1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Our disclosure controls and procedures may not prevent or detect all errors or acts of fraud.</w:t>
      </w:r>
    </w:p>
    <w:p>
      <w:pPr>
        <w:spacing w:after="0" w:line="111" w:lineRule="exact"/>
        <w:rPr>
          <w:sz w:val="20"/>
          <w:szCs w:val="20"/>
          <w:color w:val="auto"/>
        </w:rPr>
      </w:pPr>
    </w:p>
    <w:p>
      <w:pPr>
        <w:jc w:val="both"/>
        <w:ind w:left="1720" w:right="1739"/>
        <w:spacing w:after="0" w:line="261" w:lineRule="auto"/>
        <w:rPr>
          <w:sz w:val="20"/>
          <w:szCs w:val="20"/>
          <w:color w:val="auto"/>
        </w:rPr>
      </w:pPr>
      <w:r>
        <w:rPr>
          <w:rFonts w:ascii="Times New Roman" w:cs="Times New Roman" w:eastAsia="Times New Roman" w:hAnsi="Times New Roman"/>
          <w:sz w:val="12"/>
          <w:szCs w:val="12"/>
          <w:color w:val="auto"/>
        </w:rPr>
        <w:t>Upon the completion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Any disclosure controls and procedures, no matter how well-conceived and operated, can provide only reasonable, not absolute, assurance that the objectives of the control system are met.</w:t>
      </w:r>
    </w:p>
    <w:p>
      <w:pPr>
        <w:spacing w:after="0" w:line="226"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1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We may be subject to securities litigation, which is expensive and could divert management attention.</w:t>
      </w:r>
    </w:p>
    <w:p>
      <w:pPr>
        <w:spacing w:after="0" w:line="102"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The market price of our common stock is likely to be volatile. The stock market in general, and Nasdaq and biopharmaceutical companies in particular, have experienced extreme price and volume fluctuations that have often been unrelated or disproportionate to the operating performance of companies. In the past, companies that have experienced volatility in the market price of their stock have been subject to securities class action litigation. We may be the target of this type of litigation in the future. Securities litigation (including the cost to defend against, and any potential adverse outcome resulting from any such proceeding) can be expensive, time-consuming, damage our reputation and divert our management’s attention from other business concerns,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75" w:name="page76"/>
    <w:bookmarkEnd w:id="75"/>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SPECIAL NOTE REGARDING FORWARD-LOOKING STATEMENTS</w:t>
      </w:r>
    </w:p>
    <w:p>
      <w:pPr>
        <w:spacing w:after="0" w:line="111"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This prospectus contains forward-looking statements that are based on our management’s beliefs and assumptions and on information currently available to our management. Some of the statements under the sections titled “Prospectus Summary,” “Risk Factors,” “Management’s Discussion and Analysis of Financial Condition and Results of Operations” and “Business” and elsewhere in this prospectus contain forward-looking statements. In some cases, you can identify forward-looking statements by the following words: “anticipate,” “believe,” “continue,” “could,” “estimate,” “expect,” “intend,” “may,” “ongoing,” “plan,” “potential,” “predict,” “project,” “should,” “will,” “would” or the negative of these terms or other comparable terminology, although not all forward-looking statements contain these words.</w:t>
      </w:r>
    </w:p>
    <w:p>
      <w:pPr>
        <w:spacing w:after="0" w:line="77"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These forward-looking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 Forward-looking statements in this prospectus include, but are not limited to, statements about:</w:t>
      </w:r>
    </w:p>
    <w:p>
      <w:pPr>
        <w:spacing w:after="0" w:line="191" w:lineRule="exact"/>
        <w:rPr>
          <w:sz w:val="20"/>
          <w:szCs w:val="20"/>
          <w:color w:val="auto"/>
        </w:rPr>
      </w:pPr>
    </w:p>
    <w:p>
      <w:pPr>
        <w:ind w:left="2080" w:hanging="116"/>
        <w:spacing w:after="0"/>
        <w:tabs>
          <w:tab w:leader="none" w:pos="20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the potential benefits of our strategy;</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the operation of our product candidates and related benefits;</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 of competing therapies that are, or may become, available;</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developments relating to our competitors and our industry, including competing product candidates and therapies;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details regarding our strategic vision and planned product candidate pipeline;</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beliefs regarding the success, cost and timing of our product candidate development activities and current and future clinical trials and studies, including study design</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65" w:lineRule="auto"/>
        <w:tabs>
          <w:tab w:leader="none" w:pos="20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or likelihood of regulatory filings or other actions and related regulatory authority responses;</w:t>
      </w:r>
    </w:p>
    <w:p>
      <w:pPr>
        <w:spacing w:after="0" w:line="204"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and willingness of various third parties to engage in research and development activities involving our product candidates, and our ability to leverage those activities;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the ease of administration associated with our product candidates;</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the patient compatibility associated with our product candidates;</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65" w:lineRule="auto"/>
        <w:tabs>
          <w:tab w:leader="none" w:pos="20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beliefs regarding the potential markets for our product candidates and our ability to serve those markets;</w:t>
      </w:r>
    </w:p>
    <w:p>
      <w:pPr>
        <w:spacing w:after="0" w:line="21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to obtain and maintain regulatory approval of any of our product candidates, and any related restrictions, limitations and/or warnings in the label of any approved product candidate;</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commercialize any approved products;</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rate and degree of market acceptance of any approved products;</w:t>
      </w:r>
    </w:p>
    <w:p>
      <w:pPr>
        <w:spacing w:after="0" w:line="72"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attract and retain key personnel;</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accuracy of our estimates regarding our future revenue, as well as our future operating expenses, capital requirements and needs for additional financing;</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obtain funding for our operations, including funding necessary to complete further development and any commercialization of our product candidates;</w:t>
      </w:r>
    </w:p>
    <w:p>
      <w:pPr>
        <w:spacing w:after="0" w:line="31"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obtain, maintain, protect and enforce intellectual property protection for our product candidates and technology and not infringe, misappropriate or otherwise violate the intellectual property of others;</w:t>
      </w:r>
    </w:p>
    <w:p>
      <w:pPr>
        <w:spacing w:after="0" w:line="43"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developments in the United States and foreign countries;</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76" w:name="page77"/>
    <w:bookmarkEnd w:id="7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ind w:left="2080" w:hanging="116"/>
        <w:spacing w:after="0"/>
        <w:tabs>
          <w:tab w:leader="none" w:pos="20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expected use of the net proceeds to us from this offering; and</w:t>
      </w:r>
    </w:p>
    <w:p>
      <w:pPr>
        <w:spacing w:after="0" w:line="81" w:lineRule="exact"/>
        <w:rPr>
          <w:rFonts w:ascii="Times New Roman" w:cs="Times New Roman" w:eastAsia="Times New Roman" w:hAnsi="Times New Roman"/>
          <w:sz w:val="12"/>
          <w:szCs w:val="12"/>
          <w:color w:val="auto"/>
        </w:rPr>
      </w:pPr>
    </w:p>
    <w:p>
      <w:pPr>
        <w:jc w:val="both"/>
        <w:ind w:left="2080" w:right="1739" w:hanging="116"/>
        <w:spacing w:after="0" w:line="283" w:lineRule="auto"/>
        <w:tabs>
          <w:tab w:leader="none" w:pos="20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the period during which we qualify as an “emerging growth company” under the JOBS Act, and a “smaller reporting company,” as defined in Rule 12b-2 of the Exchange Act.</w:t>
      </w:r>
    </w:p>
    <w:p>
      <w:pPr>
        <w:spacing w:after="0" w:line="215"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color w:val="auto"/>
        </w:rPr>
        <w:t>You should refer to the section titled “Risk Factors” for a discussion of other important factors that may cause our actual results to differ materially from those expressed or implied by our forward-looking statements. As a result of these factors, we cannot assure you that the forward-looking statements in this prospectus will prove to be accurate.</w:t>
      </w:r>
    </w:p>
    <w:p>
      <w:pPr>
        <w:spacing w:after="0" w:line="221"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67"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77" w:name="page78"/>
    <w:bookmarkEnd w:id="77"/>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MARKET, INDUSTRY AND OTHER DATA</w:t>
      </w:r>
    </w:p>
    <w:p>
      <w:pPr>
        <w:spacing w:after="0" w:line="111"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color w:val="auto"/>
        </w:rPr>
        <w:t>We obtained the industry, market and competitive position data used throughout this prospectus from our own internal estimates and research, as well as from market research, industry and general publications and surveys, governmental agencies, research, surveys and studies conducted by third parties and publicly available information.</w:t>
      </w:r>
    </w:p>
    <w:p>
      <w:pPr>
        <w:spacing w:after="0" w:line="221"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In presenting this data, we have made certain assumptions based on our knowledge of our industry and market, which we believe to be reasonable. Internal estimates are derived from publicly available information released by industry analysts and third-party sources, our internal research and our industry experience.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while we believe the industry, market and competitive position data included in this prospectus is reliable and based on reasonable assumptions, such data involve risks and uncertainties and are subject to change based on various factors, including those discussed in the sections titled “Risk Factors” and “Special Note Regarding Forward-Looking Statements.” These and other factors could cause results to differ materially from those expressed in the estimates made by the independent parties or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8" w:name="page79"/>
    <w:bookmarkEnd w:id="78"/>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USE OF PROCEEDS</w:t>
      </w:r>
    </w:p>
    <w:p>
      <w:pPr>
        <w:spacing w:after="0" w:line="111"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We estimate that we will receive net proceeds from this offering of approximately $274.0 million (or approximately $315.9 million if the underwriters’ over-allotment option is exercised in full) based on the assumed initial public offering price of $17.00 per share, after deducting underwriting discounts and commissions and estimated offering expenses payable by us.</w:t>
      </w:r>
    </w:p>
    <w:p>
      <w:pPr>
        <w:spacing w:after="0" w:line="71"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Each $1.00 increase or decrease in the assumed initial public offering price of $17.00 per share would increase or decrease, as applicable, the net proceeds to us from this offering by approximately $16.4 million, assuming the number of shares offered by us, as set forth on the cover page of this prospectus, remains the same, and after deducting underwriting discounts and commissions and estimated offering expenses payable by us. Similarly, each increase or decrease of 1.0 million shares in the number of shares of common stock offered by us would increase or decrease, as applicable, the net proceeds to us from this offering by approximately $15.8 million, assuming the assumed initial public offering price of $17.00 per share remains the same, and after deducting underwriting discounts and commissions and estimated offering expenses payable by us.</w:t>
      </w:r>
    </w:p>
    <w:p>
      <w:pPr>
        <w:spacing w:after="0" w:line="219"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The principal purposes of this offering are to obtain additional capital to support our operations, establish a public market for our common stock and facilitate our future access to the public capital markets.</w:t>
      </w:r>
    </w:p>
    <w:p>
      <w:pPr>
        <w:spacing w:after="0" w:line="59"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We currently intend to use the net proceeds we receive from this offering, together with our existing cash, cash equivalents and marketable securities, as follows:</w:t>
      </w:r>
    </w:p>
    <w:p>
      <w:pPr>
        <w:spacing w:after="0" w:line="32" w:lineRule="exact"/>
        <w:rPr>
          <w:sz w:val="20"/>
          <w:szCs w:val="20"/>
          <w:color w:val="auto"/>
        </w:rPr>
      </w:pPr>
    </w:p>
    <w:p>
      <w:pPr>
        <w:jc w:val="both"/>
        <w:ind w:left="2080" w:right="1739" w:hanging="116"/>
        <w:spacing w:after="0" w:line="283" w:lineRule="auto"/>
        <w:tabs>
          <w:tab w:leader="none" w:pos="20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approximately $345 million to advance the clinical development of ESK-001, through the topline data readout in our Phase 3 clinical trial in PsO and through completion of our Phase 2b clinical trial in SLE;</w:t>
      </w:r>
    </w:p>
    <w:p>
      <w:pPr>
        <w:spacing w:after="0" w:line="187" w:lineRule="exact"/>
        <w:rPr>
          <w:rFonts w:ascii="Times New Roman" w:cs="Times New Roman" w:eastAsia="Times New Roman" w:hAnsi="Times New Roman"/>
          <w:sz w:val="12"/>
          <w:szCs w:val="12"/>
          <w:color w:val="auto"/>
        </w:rPr>
      </w:pPr>
    </w:p>
    <w:p>
      <w:pPr>
        <w:jc w:val="both"/>
        <w:ind w:left="2080" w:right="1739" w:hanging="116"/>
        <w:spacing w:after="0" w:line="283" w:lineRule="auto"/>
        <w:tabs>
          <w:tab w:leader="none" w:pos="20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approximately $5 million to advance the clinical development of A-005 by completing the single ascending doses (SAD) and multiple ascending doses (MAD) portions of our Phase 1 study in healthy volunteers;</w:t>
      </w:r>
    </w:p>
    <w:p>
      <w:pPr>
        <w:spacing w:after="0" w:line="187"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approximately $36 million to advance our discovery research efforts, including preclinical development activities;</w:t>
      </w:r>
    </w:p>
    <w:p>
      <w:pPr>
        <w:spacing w:after="0" w:line="22"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$23 million for a milestone payment that is contingent upon the first administration of ESK-001 to a patient enrolled in a Phase 3 clinical trial of ESK-001, under our stock purchase agreement with FronThera U.S. Holdings, Inc.; and</w:t>
      </w:r>
    </w:p>
    <w:p>
      <w:pPr>
        <w:spacing w:after="0" w:line="4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remainder for general corporate purposes, including additional clinical development, working capital, operating expenses and capital expenditures.</w:t>
      </w:r>
    </w:p>
    <w:p>
      <w:pPr>
        <w:spacing w:after="0" w:line="59"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We may also use a portion of the net proceeds and our existing cash, cash equivalents and marketable securities to in- license, acquire, or invest in complementary businesses, technology platforms, products or assets, although we have no current agreements, commitments or understandings to do so.</w:t>
      </w:r>
    </w:p>
    <w:p>
      <w:pPr>
        <w:spacing w:after="0" w:line="70"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Based on our current operating plan, we believe that our existing cash, cash equivalents and marketable securities, together with the estimated net proceeds from this offering, will be sufficient to meet our working capital and capital expenditure needs for at least the next 12 months, although there can be no assurance in that regard. In particular, we expect that the net proceeds from this offering will allow us to fund the continued clinical development of ESK-001, through the topline data readout in our Phase 3 clinical trial in PsO and through completion of our Phase 2b clinical trial in SLE; to advance the clinical development of A-005 by completing the SAD/MAD portions of our Phase 1 study in healthy volunteers; and to advance our discovery research efforts, including preclinical development activities. Our expected use of proceeds from this offering described above represents our current intentions based on our present plans and business condition. As of the date of this prospectus, we cannot predict with certainty all of the particular uses for the proceeds to be received upon the closing of this offering or the actual amounts that we will spend on the uses set forth above. The net proceeds from this offering, together with our existing cash, cash equivalents and marketable securities, will not be sufficient to complete the clinical development of our product candidates, and we will need to raise substantial additional capital to complete the development of and commercialize our product candidates.</w:t>
      </w:r>
    </w:p>
    <w:p>
      <w:pPr>
        <w:spacing w:after="0" w:line="219"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We do not have sufficient certainty regarding the additional dollar amount that will be needed to fund our product candidates through clinical development and regulatory approval, as the amounts and timing of our</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79" w:name="page80"/>
    <w:bookmarkEnd w:id="7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actual expenditures will depend on numerous factors, including the time and cost necessary to conduct our ongoing and planned preclinical studies and clinical trials, the results of our preclinical studies and clinical trials and other factors described in the section titled “Risk Factors” in this prospectus, as well as the amount of cash used in our operations and any unforeseen cash needs. Therefore, our actual expenditures may differ materially from the estimates described above. We may find it necessary or advisable to use the net proceeds for other purposes.</w:t>
      </w:r>
    </w:p>
    <w:p>
      <w:pPr>
        <w:spacing w:after="0" w:line="224"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We will have broad discretion over how to use the net proceeds to us from this offering. We intend to invest the net proceeds to us from this offering that are not used as described above in short-term, investment-grade, interest-bearing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80" w:name="page81"/>
    <w:bookmarkEnd w:id="80"/>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DIVIDEND POLICY</w:t>
      </w:r>
    </w:p>
    <w:p>
      <w:pPr>
        <w:spacing w:after="0" w:line="111"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We do not anticipate declaring or paying, in the foreseeable future, any cash dividends on our capital stock. We intend to retain all available funds and future earnings, if any, to fund the development and expansion of our business.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 In addition, our ability to pay cash dividends on our capital stock in the future may be limited by the terms of any future debt or preferred securities we issue or any credit facilities we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1" w:name="page82"/>
    <w:bookmarkEnd w:id="81"/>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CAPITALIZATION</w:t>
      </w:r>
    </w:p>
    <w:p>
      <w:pPr>
        <w:spacing w:after="0" w:line="111" w:lineRule="exact"/>
        <w:rPr>
          <w:sz w:val="20"/>
          <w:szCs w:val="20"/>
          <w:color w:val="auto"/>
        </w:rPr>
      </w:pPr>
    </w:p>
    <w:p>
      <w:pPr>
        <w:ind w:left="1720" w:right="1739"/>
        <w:spacing w:after="0" w:line="275" w:lineRule="auto"/>
        <w:rPr>
          <w:sz w:val="20"/>
          <w:szCs w:val="20"/>
          <w:color w:val="auto"/>
        </w:rPr>
      </w:pPr>
      <w:r>
        <w:rPr>
          <w:rFonts w:ascii="Times New Roman" w:cs="Times New Roman" w:eastAsia="Times New Roman" w:hAnsi="Times New Roman"/>
          <w:sz w:val="12"/>
          <w:szCs w:val="12"/>
          <w:color w:val="auto"/>
        </w:rPr>
        <w:t>The following table sets forth our cash and cash equivalents, marketable securities, and total capitalization as of March 31, 2024:</w:t>
      </w:r>
    </w:p>
    <w:p>
      <w:pPr>
        <w:spacing w:after="0" w:line="32" w:lineRule="exact"/>
        <w:rPr>
          <w:sz w:val="20"/>
          <w:szCs w:val="20"/>
          <w:color w:val="auto"/>
        </w:rPr>
      </w:pPr>
    </w:p>
    <w:p>
      <w:pPr>
        <w:ind w:left="2080" w:hanging="116"/>
        <w:spacing w:after="0"/>
        <w:tabs>
          <w:tab w:leader="none" w:pos="20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an actual basis;</w:t>
      </w:r>
    </w:p>
    <w:p>
      <w:pPr>
        <w:spacing w:after="0" w:line="72" w:lineRule="exact"/>
        <w:rPr>
          <w:rFonts w:ascii="Times New Roman" w:cs="Times New Roman" w:eastAsia="Times New Roman" w:hAnsi="Times New Roman"/>
          <w:sz w:val="12"/>
          <w:szCs w:val="12"/>
          <w:color w:val="auto"/>
        </w:rPr>
      </w:pPr>
    </w:p>
    <w:p>
      <w:pPr>
        <w:jc w:val="both"/>
        <w:ind w:left="2080" w:right="1739" w:hanging="116"/>
        <w:spacing w:after="0" w:line="260" w:lineRule="auto"/>
        <w:tabs>
          <w:tab w:leader="none" w:pos="20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 pro forma basis, giving effect to (i) the issuance of 41,264,892 shares of Series C redeemable convertible preferred stock, convertible into 8,826,699 shares of common stock, in May 2024 for approximately $129.3 million in aggregate net proceeds therefrom, (ii) the elimination of the derivative liability related to the second tranche closing of Series C redeemable convertible preferred stock in May 2024, (iii) the Preferred Stock Conversion and the Common Stock Reclassification (as if each had occurred as of March 31, 2024) and (iv) the filing and effectiveness of our amended and restated certificate of incorporation; and</w:t>
      </w:r>
    </w:p>
    <w:p>
      <w:pPr>
        <w:spacing w:after="0" w:line="43"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 pro forma as adjusted basis to give further effect to our issuance and sale of shares of our common stock in this offering at the assumed initial public offering price of $17.00 per share, after deducting underwriting discounts and commissions and estimated offering expenses payable by us.</w:t>
      </w:r>
    </w:p>
    <w:p>
      <w:pPr>
        <w:spacing w:after="0" w:line="7"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You should read this table together with the sections titled “Management’s Discussion and Analysis of Financial Condition and Results of Operations” and “Description of Capital Stock,” and our consolidated financial statements and the related notes included elsewhere in this prospectus.</w:t>
      </w:r>
    </w:p>
    <w:p>
      <w:pPr>
        <w:spacing w:after="0" w:line="20" w:lineRule="exact"/>
        <w:rPr>
          <w:sz w:val="20"/>
          <w:szCs w:val="20"/>
          <w:color w:val="auto"/>
        </w:rPr>
      </w:pPr>
    </w:p>
    <w:tbl>
      <w:tblPr>
        <w:tblLayout w:type="fixed"/>
        <w:tblInd w:w="860" w:type="dxa"/>
        <w:tblCellMar>
          <w:top w:w="0" w:type="dxa"/>
          <w:left w:w="0" w:type="dxa"/>
          <w:bottom w:w="0" w:type="dxa"/>
          <w:right w:w="0" w:type="dxa"/>
        </w:tblCellMar>
      </w:tblPr>
      <w:tr>
        <w:trPr>
          <w:trHeight w:val="136"/>
        </w:trPr>
        <w:tc>
          <w:tcPr>
            <w:tcW w:w="860" w:type="dxa"/>
            <w:vAlign w:val="bottom"/>
          </w:tcPr>
          <w:p>
            <w:pPr>
              <w:spacing w:after="0"/>
              <w:rPr>
                <w:sz w:val="11"/>
                <w:szCs w:val="1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tcPr>
          <w:p>
            <w:pPr>
              <w:spacing w:after="0"/>
              <w:rPr>
                <w:sz w:val="11"/>
                <w:szCs w:val="11"/>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As of March 31, 2024</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82"/>
        </w:trPr>
        <w:tc>
          <w:tcPr>
            <w:tcW w:w="860" w:type="dxa"/>
            <w:vAlign w:val="bottom"/>
          </w:tcPr>
          <w:p>
            <w:pPr>
              <w:spacing w:after="0"/>
              <w:rPr>
                <w:sz w:val="7"/>
                <w:szCs w:val="7"/>
                <w:color w:val="auto"/>
              </w:rPr>
            </w:pPr>
          </w:p>
        </w:tc>
        <w:tc>
          <w:tcPr>
            <w:tcW w:w="3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580" w:type="dxa"/>
            <w:vAlign w:val="bottom"/>
            <w:tcBorders>
              <w:top w:val="single" w:sz="8" w:color="auto"/>
            </w:tcBorders>
            <w:gridSpan w:val="3"/>
          </w:tcPr>
          <w:p>
            <w:pPr>
              <w:jc w:val="right"/>
              <w:ind w:right="115"/>
              <w:spacing w:after="0" w:line="83" w:lineRule="exact"/>
              <w:rPr>
                <w:sz w:val="20"/>
                <w:szCs w:val="20"/>
                <w:color w:val="auto"/>
              </w:rPr>
            </w:pPr>
            <w:r>
              <w:rPr>
                <w:rFonts w:ascii="Times New Roman" w:cs="Times New Roman" w:eastAsia="Times New Roman" w:hAnsi="Times New Roman"/>
                <w:sz w:val="9"/>
                <w:szCs w:val="9"/>
                <w:b w:val="1"/>
                <w:bCs w:val="1"/>
                <w:color w:val="auto"/>
              </w:rPr>
              <w:t>Pro Forma</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860" w:type="dxa"/>
            <w:vAlign w:val="bottom"/>
          </w:tcPr>
          <w:p>
            <w:pPr>
              <w:spacing w:after="0"/>
              <w:rPr>
                <w:sz w:val="10"/>
                <w:szCs w:val="10"/>
                <w:color w:val="auto"/>
              </w:rPr>
            </w:pPr>
          </w:p>
        </w:tc>
        <w:tc>
          <w:tcPr>
            <w:tcW w:w="3460" w:type="dxa"/>
            <w:vAlign w:val="bottom"/>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0"/>
                <w:szCs w:val="10"/>
                <w:b w:val="1"/>
                <w:bCs w:val="1"/>
                <w:color w:val="auto"/>
              </w:rPr>
              <w:t>​​</w:t>
            </w:r>
          </w:p>
        </w:tc>
        <w:tc>
          <w:tcPr>
            <w:tcW w:w="1920" w:type="dxa"/>
            <w:vAlign w:val="bottom"/>
            <w:gridSpan w:val="8"/>
          </w:tcPr>
          <w:p>
            <w:pPr>
              <w:jc w:val="right"/>
              <w:ind w:right="15"/>
              <w:spacing w:after="0" w:line="110" w:lineRule="exact"/>
              <w:rPr>
                <w:sz w:val="20"/>
                <w:szCs w:val="20"/>
                <w:color w:val="auto"/>
              </w:rPr>
            </w:pPr>
            <w:r>
              <w:rPr>
                <w:rFonts w:ascii="Times New Roman" w:cs="Times New Roman" w:eastAsia="Times New Roman" w:hAnsi="Times New Roman"/>
                <w:sz w:val="10"/>
                <w:szCs w:val="10"/>
                <w:b w:val="1"/>
                <w:bCs w:val="1"/>
                <w:color w:val="auto"/>
              </w:rPr>
              <w:t>Actual   ​ ​ Pro Forma  ​ ​ As Adjusted</w:t>
            </w:r>
            <w:r>
              <w:rPr>
                <w:rFonts w:ascii="Times New Roman" w:cs="Times New Roman" w:eastAsia="Times New Roman" w:hAnsi="Times New Roman"/>
                <w:sz w:val="12"/>
                <w:szCs w:val="12"/>
                <w:b w:val="1"/>
                <w:bCs w:val="1"/>
                <w:color w:val="auto"/>
                <w:vertAlign w:val="superscript"/>
              </w:rPr>
              <w:t>(1)(2)</w:t>
            </w:r>
          </w:p>
        </w:tc>
        <w:tc>
          <w:tcPr>
            <w:tcW w:w="860" w:type="dxa"/>
            <w:vAlign w:val="bottom"/>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79"/>
        </w:trPr>
        <w:tc>
          <w:tcPr>
            <w:tcW w:w="860" w:type="dxa"/>
            <w:vAlign w:val="bottom"/>
          </w:tcPr>
          <w:p>
            <w:pPr>
              <w:spacing w:after="0"/>
              <w:rPr>
                <w:sz w:val="6"/>
                <w:szCs w:val="6"/>
                <w:color w:val="auto"/>
              </w:rPr>
            </w:pPr>
          </w:p>
        </w:tc>
        <w:tc>
          <w:tcPr>
            <w:tcW w:w="3460" w:type="dxa"/>
            <w:vAlign w:val="bottom"/>
          </w:tcPr>
          <w:p>
            <w:pPr>
              <w:spacing w:after="0" w:line="79" w:lineRule="exact"/>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tcPr>
          <w:p>
            <w:pPr>
              <w:spacing w:after="0" w:line="79" w:lineRule="exact"/>
              <w:rPr>
                <w:sz w:val="20"/>
                <w:szCs w:val="20"/>
                <w:color w:val="auto"/>
              </w:rPr>
            </w:pPr>
            <w:r>
              <w:rPr>
                <w:rFonts w:ascii="Times New Roman" w:cs="Times New Roman" w:eastAsia="Times New Roman" w:hAnsi="Times New Roman"/>
                <w:sz w:val="9"/>
                <w:szCs w:val="9"/>
                <w:b w:val="1"/>
                <w:bCs w:val="1"/>
                <w:color w:val="auto"/>
              </w:rPr>
              <w:t>​​</w:t>
            </w:r>
          </w:p>
        </w:tc>
        <w:tc>
          <w:tcPr>
            <w:tcW w:w="2040" w:type="dxa"/>
            <w:vAlign w:val="bottom"/>
            <w:tcBorders>
              <w:top w:val="single" w:sz="8" w:color="auto"/>
            </w:tcBorders>
            <w:gridSpan w:val="9"/>
          </w:tcPr>
          <w:p>
            <w:pPr>
              <w:spacing w:after="0" w:line="79" w:lineRule="exact"/>
              <w:rPr>
                <w:sz w:val="20"/>
                <w:szCs w:val="20"/>
                <w:color w:val="auto"/>
              </w:rPr>
            </w:pPr>
            <w:r>
              <w:rPr>
                <w:rFonts w:ascii="Times New Roman" w:cs="Times New Roman" w:eastAsia="Times New Roman" w:hAnsi="Times New Roman"/>
                <w:sz w:val="9"/>
                <w:szCs w:val="9"/>
                <w:b w:val="1"/>
                <w:bCs w:val="1"/>
                <w:color w:val="auto"/>
              </w:rPr>
              <w:t>(in thousands except share and per share amounts)</w:t>
            </w:r>
          </w:p>
        </w:tc>
        <w:tc>
          <w:tcPr>
            <w:tcW w:w="860" w:type="dxa"/>
            <w:vAlign w:val="bottom"/>
          </w:tcPr>
          <w:p>
            <w:pPr>
              <w:spacing w:after="0" w:line="79"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22"/>
        </w:trPr>
        <w:tc>
          <w:tcPr>
            <w:tcW w:w="8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line="20" w:lineRule="exact"/>
              <w:rPr>
                <w:sz w:val="1"/>
                <w:szCs w:val="1"/>
                <w:color w:val="auto"/>
              </w:rPr>
            </w:pPr>
          </w:p>
        </w:tc>
      </w:tr>
      <w:tr>
        <w:trPr>
          <w:trHeight w:val="119"/>
        </w:trPr>
        <w:tc>
          <w:tcPr>
            <w:tcW w:w="860" w:type="dxa"/>
            <w:vAlign w:val="bottom"/>
          </w:tcPr>
          <w:p>
            <w:pPr>
              <w:spacing w:after="0"/>
              <w:rPr>
                <w:sz w:val="10"/>
                <w:szCs w:val="10"/>
                <w:color w:val="auto"/>
              </w:rPr>
            </w:pPr>
          </w:p>
        </w:tc>
        <w:tc>
          <w:tcPr>
            <w:tcW w:w="346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Cash and cash equivalents</w:t>
            </w:r>
          </w:p>
        </w:tc>
        <w:tc>
          <w:tcPr>
            <w:tcW w:w="1520" w:type="dxa"/>
            <w:vAlign w:val="bottom"/>
            <w:tcBorders>
              <w:right w:val="single" w:sz="8" w:color="CCEEFF"/>
            </w:tcBorders>
            <w:gridSpan w:val="7"/>
            <w:shd w:val="clear" w:color="auto" w:fill="CCEEFF"/>
          </w:tcPr>
          <w:p>
            <w:pPr>
              <w:ind w:left="20"/>
              <w:spacing w:after="0" w:line="120" w:lineRule="exact"/>
              <w:rPr>
                <w:sz w:val="20"/>
                <w:szCs w:val="20"/>
                <w:color w:val="auto"/>
              </w:rPr>
            </w:pPr>
            <w:r>
              <w:rPr>
                <w:rFonts w:ascii="Times New Roman" w:cs="Times New Roman" w:eastAsia="Times New Roman" w:hAnsi="Times New Roman"/>
                <w:sz w:val="12"/>
                <w:szCs w:val="12"/>
                <w:color w:val="auto"/>
              </w:rPr>
              <w:t>​​​$ 112,071​​ ​ ​$ 241,372​​ ​</w:t>
            </w:r>
          </w:p>
        </w:tc>
        <w:tc>
          <w:tcPr>
            <w:tcW w:w="580" w:type="dxa"/>
            <w:vAlign w:val="bottom"/>
            <w:gridSpan w:val="3"/>
            <w:shd w:val="clear" w:color="auto" w:fill="CCEEFF"/>
          </w:tcPr>
          <w:p>
            <w:pPr>
              <w:jc w:val="right"/>
              <w:ind w:right="75"/>
              <w:spacing w:after="0" w:line="120" w:lineRule="exact"/>
              <w:rPr>
                <w:sz w:val="20"/>
                <w:szCs w:val="20"/>
                <w:color w:val="auto"/>
              </w:rPr>
            </w:pPr>
            <w:r>
              <w:rPr>
                <w:rFonts w:ascii="Times New Roman" w:cs="Times New Roman" w:eastAsia="Times New Roman" w:hAnsi="Times New Roman"/>
                <w:sz w:val="12"/>
                <w:szCs w:val="12"/>
                <w:color w:val="auto"/>
                <w:w w:val="99"/>
              </w:rPr>
              <w:t>​$ 515,419</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34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Marketable securities</w:t>
            </w:r>
          </w:p>
        </w:tc>
        <w:tc>
          <w:tcPr>
            <w:tcW w:w="1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2"/>
                <w:szCs w:val="12"/>
                <w:color w:val="auto"/>
              </w:rPr>
              <w:t>​​​ ​</w:t>
            </w:r>
          </w:p>
        </w:tc>
        <w:tc>
          <w:tcPr>
            <w:tcW w:w="7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2"/>
                <w:szCs w:val="12"/>
                <w:color w:val="auto"/>
              </w:rPr>
              <w:t>21,656 ​​ ​ ​ ​</w:t>
            </w:r>
          </w:p>
        </w:tc>
        <w:tc>
          <w:tcPr>
            <w:tcW w:w="64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21,656 ​​ ​</w:t>
            </w: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 ​</w:t>
            </w:r>
          </w:p>
        </w:tc>
        <w:tc>
          <w:tcPr>
            <w:tcW w:w="460" w:type="dxa"/>
            <w:vAlign w:val="bottom"/>
            <w:gridSpan w:val="2"/>
          </w:tcPr>
          <w:p>
            <w:pPr>
              <w:jc w:val="right"/>
              <w:ind w:right="75"/>
              <w:spacing w:after="0" w:line="129" w:lineRule="exact"/>
              <w:rPr>
                <w:sz w:val="20"/>
                <w:szCs w:val="20"/>
                <w:color w:val="auto"/>
              </w:rPr>
            </w:pPr>
            <w:r>
              <w:rPr>
                <w:rFonts w:ascii="Times New Roman" w:cs="Times New Roman" w:eastAsia="Times New Roman" w:hAnsi="Times New Roman"/>
                <w:sz w:val="12"/>
                <w:szCs w:val="12"/>
                <w:color w:val="auto"/>
              </w:rPr>
              <w:t>21,656</w:t>
            </w:r>
          </w:p>
        </w:tc>
        <w:tc>
          <w:tcPr>
            <w:tcW w:w="8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7"/>
        </w:trPr>
        <w:tc>
          <w:tcPr>
            <w:tcW w:w="860" w:type="dxa"/>
            <w:vAlign w:val="bottom"/>
          </w:tcPr>
          <w:p>
            <w:pPr>
              <w:spacing w:after="0"/>
              <w:rPr>
                <w:sz w:val="11"/>
                <w:szCs w:val="11"/>
                <w:color w:val="auto"/>
              </w:rPr>
            </w:pPr>
          </w:p>
        </w:tc>
        <w:tc>
          <w:tcPr>
            <w:tcW w:w="3460" w:type="dxa"/>
            <w:vAlign w:val="bottom"/>
            <w:tcBorders>
              <w:top w:val="single" w:sz="8" w:color="CCEEFF"/>
              <w:bottom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Total cash, cash equivalents and marketable securities</w:t>
            </w:r>
          </w:p>
        </w:tc>
        <w:tc>
          <w:tcPr>
            <w:tcW w:w="60" w:type="dxa"/>
            <w:vAlign w:val="bottom"/>
            <w:tcBorders>
              <w:top w:val="single" w:sz="8" w:color="CCEEFF"/>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500" w:type="dxa"/>
            <w:vAlign w:val="bottom"/>
            <w:tcBorders>
              <w:top w:val="single" w:sz="8" w:color="auto"/>
              <w:bottom w:val="single" w:sz="8" w:color="auto"/>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vertAlign w:val="subscript"/>
              </w:rPr>
              <w:t>​</w:t>
            </w:r>
            <w:r>
              <w:rPr>
                <w:rFonts w:ascii="Times New Roman" w:cs="Times New Roman" w:eastAsia="Times New Roman" w:hAnsi="Times New Roman"/>
                <w:sz w:val="8"/>
                <w:szCs w:val="8"/>
                <w:color w:val="auto"/>
              </w:rPr>
              <w:t>$ 133,727</w:t>
            </w:r>
          </w:p>
        </w:tc>
        <w:tc>
          <w:tcPr>
            <w:tcW w:w="200" w:type="dxa"/>
            <w:vAlign w:val="bottom"/>
            <w:tcBorders>
              <w:top w:val="single" w:sz="8" w:color="CCEEFF"/>
              <w:bottom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 ​</w:t>
            </w:r>
          </w:p>
        </w:tc>
        <w:tc>
          <w:tcPr>
            <w:tcW w:w="500" w:type="dxa"/>
            <w:vAlign w:val="bottom"/>
            <w:tcBorders>
              <w:top w:val="single" w:sz="8" w:color="auto"/>
              <w:bottom w:val="single" w:sz="8" w:color="auto"/>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vertAlign w:val="subscript"/>
              </w:rPr>
              <w:t>​</w:t>
            </w:r>
            <w:r>
              <w:rPr>
                <w:rFonts w:ascii="Times New Roman" w:cs="Times New Roman" w:eastAsia="Times New Roman" w:hAnsi="Times New Roman"/>
                <w:sz w:val="8"/>
                <w:szCs w:val="8"/>
                <w:color w:val="auto"/>
              </w:rPr>
              <w:t>$ 263,028</w:t>
            </w:r>
          </w:p>
        </w:tc>
        <w:tc>
          <w:tcPr>
            <w:tcW w:w="260" w:type="dxa"/>
            <w:vAlign w:val="bottom"/>
            <w:tcBorders>
              <w:top w:val="single" w:sz="8" w:color="CCEEFF"/>
              <w:bottom w:val="single" w:sz="8" w:color="CCEEFF"/>
              <w:right w:val="single" w:sz="8" w:color="CCEEFF"/>
            </w:tcBorders>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 ​</w:t>
            </w:r>
          </w:p>
        </w:tc>
        <w:tc>
          <w:tcPr>
            <w:tcW w:w="500" w:type="dxa"/>
            <w:vAlign w:val="bottom"/>
            <w:tcBorders>
              <w:top w:val="single" w:sz="8" w:color="auto"/>
              <w:bottom w:val="single" w:sz="8" w:color="auto"/>
            </w:tcBorders>
            <w:gridSpan w:val="2"/>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vertAlign w:val="subscript"/>
              </w:rPr>
              <w:t>​</w:t>
            </w:r>
            <w:r>
              <w:rPr>
                <w:rFonts w:ascii="Times New Roman" w:cs="Times New Roman" w:eastAsia="Times New Roman" w:hAnsi="Times New Roman"/>
                <w:sz w:val="8"/>
                <w:szCs w:val="8"/>
                <w:color w:val="auto"/>
              </w:rPr>
              <w:t>$ 537,075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12"/>
        </w:trPr>
        <w:tc>
          <w:tcPr>
            <w:tcW w:w="860" w:type="dxa"/>
            <w:vAlign w:val="bottom"/>
          </w:tcPr>
          <w:p>
            <w:pPr>
              <w:spacing w:after="0"/>
              <w:rPr>
                <w:sz w:val="9"/>
                <w:szCs w:val="9"/>
                <w:color w:val="auto"/>
              </w:rPr>
            </w:pPr>
          </w:p>
        </w:tc>
        <w:tc>
          <w:tcPr>
            <w:tcW w:w="346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Redeemable convertible preferred stock, $0.0001 par value per</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860" w:type="dxa"/>
            <w:vAlign w:val="bottom"/>
          </w:tcPr>
          <w:p>
            <w:pPr>
              <w:spacing w:after="0"/>
              <w:rPr>
                <w:sz w:val="12"/>
                <w:szCs w:val="12"/>
                <w:color w:val="auto"/>
              </w:rPr>
            </w:pPr>
          </w:p>
        </w:tc>
        <w:tc>
          <w:tcPr>
            <w:tcW w:w="34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 202,643,727 shares authorized, 127,224,979 issued and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0" w:type="dxa"/>
            <w:vAlign w:val="bottom"/>
          </w:tcPr>
          <w:p>
            <w:pPr>
              <w:spacing w:after="0"/>
              <w:rPr>
                <w:sz w:val="12"/>
                <w:szCs w:val="12"/>
                <w:color w:val="auto"/>
              </w:rPr>
            </w:pPr>
          </w:p>
        </w:tc>
        <w:tc>
          <w:tcPr>
            <w:tcW w:w="34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outstanding, actual; and no shares authorized, issued and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60" w:type="dxa"/>
            <w:vAlign w:val="bottom"/>
          </w:tcPr>
          <w:p>
            <w:pPr>
              <w:spacing w:after="0"/>
              <w:rPr>
                <w:sz w:val="13"/>
                <w:szCs w:val="13"/>
                <w:color w:val="auto"/>
              </w:rPr>
            </w:pPr>
          </w:p>
        </w:tc>
        <w:tc>
          <w:tcPr>
            <w:tcW w:w="34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outstanding, pro forma and pro forma as adjusted</w:t>
            </w: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 ​495,575 ​​ ​ ​ ​</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 ​​ ​</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gridSpan w:val="2"/>
          </w:tcPr>
          <w:p>
            <w:pPr>
              <w:jc w:val="right"/>
              <w:ind w:right="75"/>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60" w:type="dxa"/>
            <w:vAlign w:val="bottom"/>
            <w:vMerge w:val="restart"/>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Stockholders’ equity (deficit):</w:t>
            </w: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 ​</w:t>
            </w: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vMerge w:val="restart"/>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 ​</w:t>
            </w: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
                <w:szCs w:val="1"/>
                <w:color w:val="auto"/>
                <w:w w:val="4294942296"/>
              </w:rPr>
              <w:t>​</w:t>
            </w:r>
          </w:p>
        </w:tc>
        <w:tc>
          <w:tcPr>
            <w:tcW w:w="860" w:type="dxa"/>
            <w:vAlign w:val="bottom"/>
            <w:vMerge w:val="restart"/>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line="20" w:lineRule="exact"/>
              <w:rPr>
                <w:sz w:val="1"/>
                <w:szCs w:val="1"/>
                <w:color w:val="auto"/>
              </w:rPr>
            </w:pPr>
          </w:p>
        </w:tc>
      </w:tr>
      <w:tr>
        <w:trPr>
          <w:trHeight w:val="109"/>
        </w:trPr>
        <w:tc>
          <w:tcPr>
            <w:tcW w:w="860" w:type="dxa"/>
            <w:vAlign w:val="bottom"/>
          </w:tcPr>
          <w:p>
            <w:pPr>
              <w:spacing w:after="0"/>
              <w:rPr>
                <w:sz w:val="9"/>
                <w:szCs w:val="9"/>
                <w:color w:val="auto"/>
              </w:rPr>
            </w:pPr>
          </w:p>
        </w:tc>
        <w:tc>
          <w:tcPr>
            <w:tcW w:w="3460" w:type="dxa"/>
            <w:vAlign w:val="bottom"/>
            <w:vMerge w:val="continue"/>
            <w:shd w:val="clear" w:color="auto" w:fill="CCEEFF"/>
          </w:tcPr>
          <w:p>
            <w:pPr>
              <w:spacing w:after="0"/>
              <w:rPr>
                <w:sz w:val="9"/>
                <w:szCs w:val="9"/>
                <w:color w:val="auto"/>
              </w:rPr>
            </w:pPr>
          </w:p>
        </w:tc>
        <w:tc>
          <w:tcPr>
            <w:tcW w:w="180" w:type="dxa"/>
            <w:vAlign w:val="bottom"/>
            <w:gridSpan w:val="2"/>
            <w:shd w:val="clear" w:color="auto" w:fill="CCEEFF"/>
          </w:tcPr>
          <w:p>
            <w:pPr>
              <w:ind w:left="20"/>
              <w:spacing w:after="0" w:line="109" w:lineRule="exact"/>
              <w:rPr>
                <w:sz w:val="20"/>
                <w:szCs w:val="20"/>
                <w:color w:val="auto"/>
              </w:rPr>
            </w:pPr>
            <w:r>
              <w:rPr>
                <w:rFonts w:ascii="Times New Roman" w:cs="Times New Roman" w:eastAsia="Times New Roman" w:hAnsi="Times New Roman"/>
                <w:sz w:val="12"/>
                <w:szCs w:val="12"/>
                <w:color w:val="auto"/>
              </w:rPr>
              <w:t>​​​ ​</w:t>
            </w:r>
          </w:p>
        </w:tc>
        <w:tc>
          <w:tcPr>
            <w:tcW w:w="380" w:type="dxa"/>
            <w:vAlign w:val="bottom"/>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 ​</w:t>
            </w:r>
          </w:p>
        </w:tc>
        <w:tc>
          <w:tcPr>
            <w:tcW w:w="380" w:type="dxa"/>
            <w:vAlign w:val="bottom"/>
            <w:shd w:val="clear" w:color="auto" w:fill="CCEEFF"/>
          </w:tcPr>
          <w:p>
            <w:pPr>
              <w:spacing w:after="0"/>
              <w:rPr>
                <w:sz w:val="9"/>
                <w:szCs w:val="9"/>
                <w:color w:val="auto"/>
              </w:rPr>
            </w:pPr>
          </w:p>
        </w:tc>
        <w:tc>
          <w:tcPr>
            <w:tcW w:w="260" w:type="dxa"/>
            <w:vAlign w:val="bottom"/>
            <w:tcBorders>
              <w:right w:val="single" w:sz="8" w:color="CCEEFF"/>
            </w:tcBorders>
            <w:vMerge w:val="continue"/>
            <w:shd w:val="clear" w:color="auto" w:fill="CCEEFF"/>
          </w:tcPr>
          <w:p>
            <w:pPr>
              <w:spacing w:after="0"/>
              <w:rPr>
                <w:sz w:val="9"/>
                <w:szCs w:val="9"/>
                <w:color w:val="auto"/>
              </w:rPr>
            </w:pPr>
          </w:p>
        </w:tc>
        <w:tc>
          <w:tcPr>
            <w:tcW w:w="12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 ​</w:t>
            </w:r>
          </w:p>
        </w:tc>
        <w:tc>
          <w:tcPr>
            <w:tcW w:w="380" w:type="dxa"/>
            <w:vAlign w:val="bottom"/>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860" w:type="dxa"/>
            <w:vAlign w:val="bottom"/>
          </w:tcPr>
          <w:p>
            <w:pPr>
              <w:spacing w:after="0"/>
              <w:rPr>
                <w:sz w:val="11"/>
                <w:szCs w:val="11"/>
                <w:color w:val="auto"/>
              </w:rPr>
            </w:pPr>
          </w:p>
        </w:tc>
        <w:tc>
          <w:tcPr>
            <w:tcW w:w="34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Preferred stock, $0.0001 par value; no shares authorized, issued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860" w:type="dxa"/>
            <w:vAlign w:val="bottom"/>
          </w:tcPr>
          <w:p>
            <w:pPr>
              <w:spacing w:after="0"/>
              <w:rPr>
                <w:sz w:val="12"/>
                <w:szCs w:val="12"/>
                <w:color w:val="auto"/>
              </w:rPr>
            </w:pPr>
          </w:p>
        </w:tc>
        <w:tc>
          <w:tcPr>
            <w:tcW w:w="34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and outstanding, actual; 50,000,000 shares authorized, no</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0" w:type="dxa"/>
            <w:vAlign w:val="bottom"/>
          </w:tcPr>
          <w:p>
            <w:pPr>
              <w:spacing w:after="0"/>
              <w:rPr>
                <w:sz w:val="12"/>
                <w:szCs w:val="12"/>
                <w:color w:val="auto"/>
              </w:rPr>
            </w:pPr>
          </w:p>
        </w:tc>
        <w:tc>
          <w:tcPr>
            <w:tcW w:w="34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shares issued and outstanding, pro forma and pro forma as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60" w:type="dxa"/>
            <w:vAlign w:val="bottom"/>
          </w:tcPr>
          <w:p>
            <w:pPr>
              <w:spacing w:after="0"/>
              <w:rPr>
                <w:sz w:val="13"/>
                <w:szCs w:val="13"/>
                <w:color w:val="auto"/>
              </w:rPr>
            </w:pPr>
          </w:p>
        </w:tc>
        <w:tc>
          <w:tcPr>
            <w:tcW w:w="34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adjusted</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 ​ ​ ​</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 ​​ ​</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gridSpan w:val="2"/>
          </w:tcPr>
          <w:p>
            <w:pPr>
              <w:jc w:val="right"/>
              <w:ind w:right="75"/>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4"/>
        </w:trPr>
        <w:tc>
          <w:tcPr>
            <w:tcW w:w="860" w:type="dxa"/>
            <w:vAlign w:val="bottom"/>
          </w:tcPr>
          <w:p>
            <w:pPr>
              <w:spacing w:after="0"/>
              <w:rPr>
                <w:sz w:val="11"/>
                <w:szCs w:val="11"/>
                <w:color w:val="auto"/>
              </w:rPr>
            </w:pPr>
          </w:p>
        </w:tc>
        <w:tc>
          <w:tcPr>
            <w:tcW w:w="3460" w:type="dxa"/>
            <w:vAlign w:val="bottom"/>
            <w:shd w:val="clear" w:color="auto" w:fill="CCEEFF"/>
          </w:tcPr>
          <w:p>
            <w:pPr>
              <w:ind w:left="120"/>
              <w:spacing w:after="0" w:line="134" w:lineRule="exact"/>
              <w:rPr>
                <w:sz w:val="20"/>
                <w:szCs w:val="20"/>
                <w:color w:val="auto"/>
              </w:rPr>
            </w:pPr>
            <w:r>
              <w:rPr>
                <w:rFonts w:ascii="Times New Roman" w:cs="Times New Roman" w:eastAsia="Times New Roman" w:hAnsi="Times New Roman"/>
                <w:sz w:val="12"/>
                <w:szCs w:val="12"/>
                <w:color w:val="auto"/>
              </w:rPr>
              <w:t>Common stock, $0.0001 par value per share; Class A common</w:t>
            </w:r>
          </w:p>
        </w:tc>
        <w:tc>
          <w:tcPr>
            <w:tcW w:w="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860" w:type="dxa"/>
            <w:vAlign w:val="bottom"/>
          </w:tcPr>
          <w:p>
            <w:pPr>
              <w:spacing w:after="0"/>
              <w:rPr>
                <w:sz w:val="12"/>
                <w:szCs w:val="12"/>
                <w:color w:val="auto"/>
              </w:rPr>
            </w:pPr>
          </w:p>
        </w:tc>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stock; 225,000,000 shares authorized, 2,679,165 shares issued</w:t>
            </w: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0" w:type="dxa"/>
            <w:vAlign w:val="bottom"/>
          </w:tcPr>
          <w:p>
            <w:pPr>
              <w:spacing w:after="0"/>
              <w:rPr>
                <w:sz w:val="12"/>
                <w:szCs w:val="12"/>
                <w:color w:val="auto"/>
              </w:rPr>
            </w:pPr>
          </w:p>
        </w:tc>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and outstanding, actual; no shares authorized, issued and</w:t>
            </w: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0" w:type="dxa"/>
            <w:vAlign w:val="bottom"/>
          </w:tcPr>
          <w:p>
            <w:pPr>
              <w:spacing w:after="0"/>
              <w:rPr>
                <w:sz w:val="12"/>
                <w:szCs w:val="12"/>
                <w:color w:val="auto"/>
              </w:rPr>
            </w:pPr>
          </w:p>
        </w:tc>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outstanding, pro forma and pro forma as adjusted; Class B</w:t>
            </w: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0" w:type="dxa"/>
            <w:vAlign w:val="bottom"/>
          </w:tcPr>
          <w:p>
            <w:pPr>
              <w:spacing w:after="0"/>
              <w:rPr>
                <w:sz w:val="12"/>
                <w:szCs w:val="12"/>
                <w:color w:val="auto"/>
              </w:rPr>
            </w:pPr>
          </w:p>
        </w:tc>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common stock; 168,489,897 shares authorized, no shares</w:t>
            </w: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0" w:type="dxa"/>
            <w:vAlign w:val="bottom"/>
          </w:tcPr>
          <w:p>
            <w:pPr>
              <w:spacing w:after="0"/>
              <w:rPr>
                <w:sz w:val="12"/>
                <w:szCs w:val="12"/>
                <w:color w:val="auto"/>
              </w:rPr>
            </w:pPr>
          </w:p>
        </w:tc>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issued and outstanding, actual; no shares authorized, issued</w:t>
            </w: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60" w:type="dxa"/>
            <w:vAlign w:val="bottom"/>
          </w:tcPr>
          <w:p>
            <w:pPr>
              <w:spacing w:after="0"/>
              <w:rPr>
                <w:sz w:val="13"/>
                <w:szCs w:val="13"/>
                <w:color w:val="auto"/>
              </w:rPr>
            </w:pPr>
          </w:p>
        </w:tc>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and outstanding, pro forma and pro forma as adjusted</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 ​ ​ ​</w:t>
            </w:r>
          </w:p>
        </w:tc>
        <w:tc>
          <w:tcPr>
            <w:tcW w:w="6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 ​​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4"/>
        </w:trPr>
        <w:tc>
          <w:tcPr>
            <w:tcW w:w="860" w:type="dxa"/>
            <w:vAlign w:val="bottom"/>
          </w:tcPr>
          <w:p>
            <w:pPr>
              <w:spacing w:after="0"/>
              <w:rPr>
                <w:sz w:val="11"/>
                <w:szCs w:val="11"/>
                <w:color w:val="auto"/>
              </w:rPr>
            </w:pPr>
          </w:p>
        </w:tc>
        <w:tc>
          <w:tcPr>
            <w:tcW w:w="34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Common stock, $0.0001 par value per share; no shares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860" w:type="dxa"/>
            <w:vAlign w:val="bottom"/>
          </w:tcPr>
          <w:p>
            <w:pPr>
              <w:spacing w:after="0"/>
              <w:rPr>
                <w:sz w:val="12"/>
                <w:szCs w:val="12"/>
                <w:color w:val="auto"/>
              </w:rPr>
            </w:pPr>
          </w:p>
        </w:tc>
        <w:tc>
          <w:tcPr>
            <w:tcW w:w="34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authorized, issued and outstanding, actual; 492,815,092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0" w:type="dxa"/>
            <w:vAlign w:val="bottom"/>
          </w:tcPr>
          <w:p>
            <w:pPr>
              <w:spacing w:after="0"/>
              <w:rPr>
                <w:sz w:val="12"/>
                <w:szCs w:val="12"/>
                <w:color w:val="auto"/>
              </w:rPr>
            </w:pPr>
          </w:p>
        </w:tc>
        <w:tc>
          <w:tcPr>
            <w:tcW w:w="34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shares authorized, 31,534,821 shares issued and outstanding,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0" w:type="dxa"/>
            <w:vAlign w:val="bottom"/>
          </w:tcPr>
          <w:p>
            <w:pPr>
              <w:spacing w:after="0"/>
              <w:rPr>
                <w:sz w:val="12"/>
                <w:szCs w:val="12"/>
                <w:color w:val="auto"/>
              </w:rPr>
            </w:pPr>
          </w:p>
        </w:tc>
        <w:tc>
          <w:tcPr>
            <w:tcW w:w="34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pro forma; 492,815,092 shares authorized, 49,184,821 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60" w:type="dxa"/>
            <w:vAlign w:val="bottom"/>
          </w:tcPr>
          <w:p>
            <w:pPr>
              <w:spacing w:after="0"/>
              <w:rPr>
                <w:sz w:val="13"/>
                <w:szCs w:val="13"/>
                <w:color w:val="auto"/>
              </w:rPr>
            </w:pPr>
          </w:p>
        </w:tc>
        <w:tc>
          <w:tcPr>
            <w:tcW w:w="34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issued and outstanding, pro forma as adjusted</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 ​ ​ ​</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 ​</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gridSpan w:val="2"/>
          </w:tcPr>
          <w:p>
            <w:pPr>
              <w:jc w:val="right"/>
              <w:ind w:right="75"/>
              <w:spacing w:after="0"/>
              <w:rPr>
                <w:sz w:val="20"/>
                <w:szCs w:val="20"/>
                <w:color w:val="auto"/>
              </w:rPr>
            </w:pPr>
            <w:r>
              <w:rPr>
                <w:rFonts w:ascii="Times New Roman" w:cs="Times New Roman" w:eastAsia="Times New Roman" w:hAnsi="Times New Roman"/>
                <w:sz w:val="12"/>
                <w:szCs w:val="12"/>
                <w:color w:val="auto"/>
              </w:rPr>
              <w:t>5</w:t>
            </w:r>
          </w:p>
        </w:tc>
        <w:tc>
          <w:tcPr>
            <w:tcW w:w="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4"/>
        </w:trPr>
        <w:tc>
          <w:tcPr>
            <w:tcW w:w="860" w:type="dxa"/>
            <w:vAlign w:val="bottom"/>
          </w:tcPr>
          <w:p>
            <w:pPr>
              <w:spacing w:after="0"/>
              <w:rPr>
                <w:sz w:val="11"/>
                <w:szCs w:val="11"/>
                <w:color w:val="auto"/>
              </w:rPr>
            </w:pPr>
          </w:p>
        </w:tc>
        <w:tc>
          <w:tcPr>
            <w:tcW w:w="3460" w:type="dxa"/>
            <w:vAlign w:val="bottom"/>
            <w:shd w:val="clear" w:color="auto" w:fill="CCEEFF"/>
          </w:tcPr>
          <w:p>
            <w:pPr>
              <w:ind w:left="120"/>
              <w:spacing w:after="0" w:line="134" w:lineRule="exact"/>
              <w:rPr>
                <w:sz w:val="20"/>
                <w:szCs w:val="20"/>
                <w:color w:val="auto"/>
              </w:rPr>
            </w:pPr>
            <w:r>
              <w:rPr>
                <w:rFonts w:ascii="Times New Roman" w:cs="Times New Roman" w:eastAsia="Times New Roman" w:hAnsi="Times New Roman"/>
                <w:sz w:val="12"/>
                <w:szCs w:val="12"/>
                <w:color w:val="auto"/>
              </w:rPr>
              <w:t>Non-voting common stock, $0.0001 par value per share; no</w:t>
            </w:r>
          </w:p>
        </w:tc>
        <w:tc>
          <w:tcPr>
            <w:tcW w:w="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860" w:type="dxa"/>
            <w:vAlign w:val="bottom"/>
          </w:tcPr>
          <w:p>
            <w:pPr>
              <w:spacing w:after="0"/>
              <w:rPr>
                <w:sz w:val="12"/>
                <w:szCs w:val="12"/>
                <w:color w:val="auto"/>
              </w:rPr>
            </w:pPr>
          </w:p>
        </w:tc>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shares authorized, issued and outstanding, actual; 7,184,908</w:t>
            </w: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0" w:type="dxa"/>
            <w:vAlign w:val="bottom"/>
          </w:tcPr>
          <w:p>
            <w:pPr>
              <w:spacing w:after="0"/>
              <w:rPr>
                <w:sz w:val="12"/>
                <w:szCs w:val="12"/>
                <w:color w:val="auto"/>
              </w:rPr>
            </w:pPr>
          </w:p>
        </w:tc>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shares authorized, issued and outstanding, pro forma and</w:t>
            </w: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60" w:type="dxa"/>
            <w:vAlign w:val="bottom"/>
          </w:tcPr>
          <w:p>
            <w:pPr>
              <w:spacing w:after="0"/>
              <w:rPr>
                <w:sz w:val="12"/>
                <w:szCs w:val="12"/>
                <w:color w:val="auto"/>
              </w:rPr>
            </w:pPr>
          </w:p>
        </w:tc>
        <w:tc>
          <w:tcPr>
            <w:tcW w:w="3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 forma as adjusted</w:t>
            </w:r>
          </w:p>
        </w:tc>
        <w:tc>
          <w:tcPr>
            <w:tcW w:w="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 ​ ​</w:t>
            </w:r>
          </w:p>
        </w:tc>
        <w:tc>
          <w:tcPr>
            <w:tcW w:w="64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 ​</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tcBorders>
              <w:bottom w:val="single" w:sz="8" w:color="CCEEFF"/>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2"/>
                <w:szCs w:val="12"/>
                <w:color w:val="auto"/>
              </w:rPr>
              <w:t>1</w:t>
            </w:r>
          </w:p>
        </w:tc>
        <w:tc>
          <w:tcPr>
            <w:tcW w:w="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01"/>
        </w:trPr>
        <w:tc>
          <w:tcPr>
            <w:tcW w:w="860" w:type="dxa"/>
            <w:vAlign w:val="bottom"/>
          </w:tcPr>
          <w:p>
            <w:pPr>
              <w:spacing w:after="0"/>
              <w:rPr>
                <w:sz w:val="8"/>
                <w:szCs w:val="8"/>
                <w:color w:val="auto"/>
              </w:rPr>
            </w:pPr>
          </w:p>
        </w:tc>
        <w:tc>
          <w:tcPr>
            <w:tcW w:w="3460" w:type="dxa"/>
            <w:vAlign w:val="bottom"/>
          </w:tcPr>
          <w:p>
            <w:pPr>
              <w:ind w:left="120"/>
              <w:spacing w:after="0" w:line="101" w:lineRule="exact"/>
              <w:rPr>
                <w:sz w:val="20"/>
                <w:szCs w:val="20"/>
                <w:color w:val="auto"/>
              </w:rPr>
            </w:pPr>
            <w:r>
              <w:rPr>
                <w:rFonts w:ascii="Times New Roman" w:cs="Times New Roman" w:eastAsia="Times New Roman" w:hAnsi="Times New Roman"/>
                <w:sz w:val="11"/>
                <w:szCs w:val="11"/>
                <w:color w:val="auto"/>
              </w:rPr>
              <w:t>Additional paid-in capital</w:t>
            </w:r>
          </w:p>
        </w:tc>
        <w:tc>
          <w:tcPr>
            <w:tcW w:w="180" w:type="dxa"/>
            <w:vAlign w:val="bottom"/>
            <w:gridSpan w:val="2"/>
          </w:tcPr>
          <w:p>
            <w:pPr>
              <w:ind w:left="20"/>
              <w:spacing w:after="0" w:line="101" w:lineRule="exact"/>
              <w:rPr>
                <w:sz w:val="20"/>
                <w:szCs w:val="20"/>
                <w:color w:val="auto"/>
              </w:rPr>
            </w:pPr>
            <w:r>
              <w:rPr>
                <w:rFonts w:ascii="Times New Roman" w:cs="Times New Roman" w:eastAsia="Times New Roman" w:hAnsi="Times New Roman"/>
                <w:sz w:val="11"/>
                <w:szCs w:val="11"/>
                <w:color w:val="auto"/>
              </w:rPr>
              <w:t>​​​ ​</w:t>
            </w:r>
          </w:p>
        </w:tc>
        <w:tc>
          <w:tcPr>
            <w:tcW w:w="1340" w:type="dxa"/>
            <w:vAlign w:val="bottom"/>
            <w:gridSpan w:val="5"/>
          </w:tcPr>
          <w:p>
            <w:pPr>
              <w:jc w:val="right"/>
              <w:ind w:right="40"/>
              <w:spacing w:after="0" w:line="101" w:lineRule="exact"/>
              <w:rPr>
                <w:sz w:val="20"/>
                <w:szCs w:val="20"/>
                <w:color w:val="auto"/>
              </w:rPr>
            </w:pPr>
            <w:r>
              <w:rPr>
                <w:rFonts w:ascii="Times New Roman" w:cs="Times New Roman" w:eastAsia="Times New Roman" w:hAnsi="Times New Roman"/>
                <w:sz w:val="11"/>
                <w:szCs w:val="11"/>
                <w:color w:val="auto"/>
              </w:rPr>
              <w:t>28,241​​ ​ ​ ​665,122​​ ​</w:t>
            </w:r>
          </w:p>
        </w:tc>
        <w:tc>
          <w:tcPr>
            <w:tcW w:w="580" w:type="dxa"/>
            <w:vAlign w:val="bottom"/>
            <w:gridSpan w:val="3"/>
          </w:tcPr>
          <w:p>
            <w:pPr>
              <w:jc w:val="right"/>
              <w:ind w:right="75"/>
              <w:spacing w:after="0" w:line="101" w:lineRule="exact"/>
              <w:rPr>
                <w:sz w:val="20"/>
                <w:szCs w:val="20"/>
                <w:color w:val="auto"/>
              </w:rPr>
            </w:pPr>
            <w:r>
              <w:rPr>
                <w:rFonts w:ascii="Times New Roman" w:cs="Times New Roman" w:eastAsia="Times New Roman" w:hAnsi="Times New Roman"/>
                <w:sz w:val="11"/>
                <w:szCs w:val="11"/>
                <w:color w:val="auto"/>
              </w:rPr>
              <w:t>​ ​939,167</w:t>
            </w:r>
          </w:p>
        </w:tc>
        <w:tc>
          <w:tcPr>
            <w:tcW w:w="860" w:type="dxa"/>
            <w:vAlign w:val="bottom"/>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7"/>
        </w:trPr>
        <w:tc>
          <w:tcPr>
            <w:tcW w:w="860" w:type="dxa"/>
            <w:vAlign w:val="bottom"/>
          </w:tcPr>
          <w:p>
            <w:pPr>
              <w:spacing w:after="0"/>
              <w:rPr>
                <w:sz w:val="11"/>
                <w:szCs w:val="11"/>
                <w:color w:val="auto"/>
              </w:rPr>
            </w:pPr>
          </w:p>
        </w:tc>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(loss) income</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 ​ ​ ​</w:t>
            </w:r>
          </w:p>
        </w:tc>
        <w:tc>
          <w:tcPr>
            <w:tcW w:w="6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2"/>
                <w:szCs w:val="12"/>
                <w:color w:val="auto"/>
              </w:rPr>
              <w:t>(1)</w:t>
            </w:r>
          </w:p>
        </w:tc>
        <w:tc>
          <w:tcPr>
            <w:tcW w:w="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346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Accumulated deficit</w:t>
            </w:r>
          </w:p>
        </w:tc>
        <w:tc>
          <w:tcPr>
            <w:tcW w:w="1520" w:type="dxa"/>
            <w:vAlign w:val="bottom"/>
            <w:gridSpan w:val="7"/>
          </w:tcPr>
          <w:p>
            <w:pPr>
              <w:ind w:left="20"/>
              <w:spacing w:after="0" w:line="129" w:lineRule="exact"/>
              <w:rPr>
                <w:sz w:val="20"/>
                <w:szCs w:val="20"/>
                <w:color w:val="auto"/>
              </w:rPr>
            </w:pPr>
            <w:r>
              <w:rPr>
                <w:rFonts w:ascii="Times New Roman" w:cs="Times New Roman" w:eastAsia="Times New Roman" w:hAnsi="Times New Roman"/>
                <w:sz w:val="12"/>
                <w:szCs w:val="12"/>
                <w:color w:val="auto"/>
              </w:rPr>
              <w:t>​​​ ​(414,167)​​ ​ ​ ​(414,167)​​ ​</w:t>
            </w:r>
          </w:p>
        </w:tc>
        <w:tc>
          <w:tcPr>
            <w:tcW w:w="580" w:type="dxa"/>
            <w:vAlign w:val="bottom"/>
            <w:gridSpan w:val="3"/>
          </w:tcPr>
          <w:p>
            <w:pPr>
              <w:jc w:val="right"/>
              <w:ind w:right="35"/>
              <w:spacing w:after="0" w:line="129" w:lineRule="exact"/>
              <w:rPr>
                <w:sz w:val="20"/>
                <w:szCs w:val="20"/>
                <w:color w:val="auto"/>
              </w:rPr>
            </w:pPr>
            <w:r>
              <w:rPr>
                <w:rFonts w:ascii="Times New Roman" w:cs="Times New Roman" w:eastAsia="Times New Roman" w:hAnsi="Times New Roman"/>
                <w:sz w:val="12"/>
                <w:szCs w:val="12"/>
                <w:color w:val="auto"/>
              </w:rPr>
              <w:t>​ ​(414,167)</w:t>
            </w:r>
          </w:p>
        </w:tc>
        <w:tc>
          <w:tcPr>
            <w:tcW w:w="8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17"/>
        </w:trPr>
        <w:tc>
          <w:tcPr>
            <w:tcW w:w="860" w:type="dxa"/>
            <w:vAlign w:val="bottom"/>
          </w:tcPr>
          <w:p>
            <w:pPr>
              <w:spacing w:after="0"/>
              <w:rPr>
                <w:sz w:val="10"/>
                <w:szCs w:val="10"/>
                <w:color w:val="auto"/>
              </w:rPr>
            </w:pPr>
          </w:p>
        </w:tc>
        <w:tc>
          <w:tcPr>
            <w:tcW w:w="3460" w:type="dxa"/>
            <w:vAlign w:val="bottom"/>
            <w:tcBorders>
              <w:top w:val="single" w:sz="8" w:color="CCEEFF"/>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Total stockholders’ equity (deficit)</w:t>
            </w:r>
          </w:p>
        </w:tc>
        <w:tc>
          <w:tcPr>
            <w:tcW w:w="60" w:type="dxa"/>
            <w:vAlign w:val="bottom"/>
            <w:tcBorders>
              <w:top w:val="single" w:sz="8" w:color="CCEEFF"/>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500" w:type="dxa"/>
            <w:vAlign w:val="bottom"/>
            <w:tcBorders>
              <w:top w:val="single" w:sz="8" w:color="auto"/>
              <w:bottom w:val="single" w:sz="8" w:color="auto"/>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 ​(385,926</w:t>
            </w:r>
          </w:p>
        </w:tc>
        <w:tc>
          <w:tcPr>
            <w:tcW w:w="200" w:type="dxa"/>
            <w:vAlign w:val="bottom"/>
            <w:tcBorders>
              <w:top w:val="single" w:sz="8" w:color="CCEEFF"/>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top w:val="single" w:sz="8" w:color="auto"/>
              <w:bottom w:val="single" w:sz="8" w:color="auto"/>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 ​250,958</w:t>
            </w:r>
          </w:p>
        </w:tc>
        <w:tc>
          <w:tcPr>
            <w:tcW w:w="260" w:type="dxa"/>
            <w:vAlign w:val="bottom"/>
            <w:tcBorders>
              <w:top w:val="single" w:sz="8" w:color="CCEEFF"/>
              <w:bottom w:val="single" w:sz="8" w:color="CCEEFF"/>
              <w:right w:val="single" w:sz="8" w:color="CCEEFF"/>
            </w:tcBorders>
            <w:shd w:val="clear" w:color="auto" w:fill="CCEEFF"/>
          </w:tcPr>
          <w:p>
            <w:pPr>
              <w:jc w:val="right"/>
              <w:ind w:right="40"/>
              <w:spacing w:after="0" w:line="118" w:lineRule="exact"/>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top w:val="single" w:sz="8" w:color="auto"/>
              <w:bottom w:val="single" w:sz="8" w:color="auto"/>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 ​525,005</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60" w:type="dxa"/>
            <w:vAlign w:val="bottom"/>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17"/>
        </w:trPr>
        <w:tc>
          <w:tcPr>
            <w:tcW w:w="860" w:type="dxa"/>
            <w:vAlign w:val="bottom"/>
          </w:tcPr>
          <w:p>
            <w:pPr>
              <w:spacing w:after="0"/>
              <w:rPr>
                <w:sz w:val="10"/>
                <w:szCs w:val="10"/>
                <w:color w:val="auto"/>
              </w:rPr>
            </w:pPr>
          </w:p>
        </w:tc>
        <w:tc>
          <w:tcPr>
            <w:tcW w:w="346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Total capitalization</w:t>
            </w:r>
          </w:p>
        </w:tc>
        <w:tc>
          <w:tcPr>
            <w:tcW w:w="6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500" w:type="dxa"/>
            <w:vAlign w:val="bottom"/>
            <w:tcBorders>
              <w:bottom w:val="single" w:sz="8" w:color="auto"/>
            </w:tcBorders>
            <w:gridSpan w:val="2"/>
          </w:tcPr>
          <w:p>
            <w:pPr>
              <w:spacing w:after="0" w:line="109" w:lineRule="exact"/>
              <w:rPr>
                <w:sz w:val="20"/>
                <w:szCs w:val="20"/>
                <w:color w:val="auto"/>
              </w:rPr>
            </w:pPr>
            <w:r>
              <w:rPr>
                <w:rFonts w:ascii="Times New Roman" w:cs="Times New Roman" w:eastAsia="Times New Roman" w:hAnsi="Times New Roman"/>
                <w:sz w:val="12"/>
                <w:szCs w:val="12"/>
                <w:color w:val="auto"/>
                <w:vertAlign w:val="subscript"/>
              </w:rPr>
              <w:t>​</w:t>
            </w:r>
            <w:r>
              <w:rPr>
                <w:rFonts w:ascii="Times New Roman" w:cs="Times New Roman" w:eastAsia="Times New Roman" w:hAnsi="Times New Roman"/>
                <w:sz w:val="8"/>
                <w:szCs w:val="8"/>
                <w:color w:val="auto"/>
              </w:rPr>
              <w:t>$ 109,649</w:t>
            </w:r>
          </w:p>
        </w:tc>
        <w:tc>
          <w:tcPr>
            <w:tcW w:w="20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bottom w:val="single" w:sz="8" w:color="auto"/>
            </w:tcBorders>
            <w:gridSpan w:val="2"/>
          </w:tcPr>
          <w:p>
            <w:pPr>
              <w:spacing w:after="0" w:line="109" w:lineRule="exact"/>
              <w:rPr>
                <w:sz w:val="20"/>
                <w:szCs w:val="20"/>
                <w:color w:val="auto"/>
              </w:rPr>
            </w:pPr>
            <w:r>
              <w:rPr>
                <w:rFonts w:ascii="Times New Roman" w:cs="Times New Roman" w:eastAsia="Times New Roman" w:hAnsi="Times New Roman"/>
                <w:sz w:val="12"/>
                <w:szCs w:val="12"/>
                <w:color w:val="auto"/>
                <w:vertAlign w:val="subscript"/>
              </w:rPr>
              <w:t>​</w:t>
            </w:r>
            <w:r>
              <w:rPr>
                <w:rFonts w:ascii="Times New Roman" w:cs="Times New Roman" w:eastAsia="Times New Roman" w:hAnsi="Times New Roman"/>
                <w:sz w:val="8"/>
                <w:szCs w:val="8"/>
                <w:color w:val="auto"/>
              </w:rPr>
              <w:t>$ 250,958</w:t>
            </w:r>
          </w:p>
        </w:tc>
        <w:tc>
          <w:tcPr>
            <w:tcW w:w="260" w:type="dxa"/>
            <w:vAlign w:val="bottom"/>
          </w:tcPr>
          <w:p>
            <w:pPr>
              <w:jc w:val="right"/>
              <w:ind w:right="40"/>
              <w:spacing w:after="0" w:line="109" w:lineRule="exact"/>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bottom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2"/>
                <w:szCs w:val="12"/>
                <w:color w:val="auto"/>
                <w:vertAlign w:val="subscript"/>
              </w:rPr>
              <w:t>​</w:t>
            </w:r>
            <w:r>
              <w:rPr>
                <w:rFonts w:ascii="Times New Roman" w:cs="Times New Roman" w:eastAsia="Times New Roman" w:hAnsi="Times New Roman"/>
                <w:sz w:val="8"/>
                <w:szCs w:val="8"/>
                <w:color w:val="auto"/>
              </w:rPr>
              <w:t>$ 525,005</w:t>
            </w:r>
          </w:p>
        </w:tc>
        <w:tc>
          <w:tcPr>
            <w:tcW w:w="80" w:type="dxa"/>
            <w:vAlign w:val="bottom"/>
          </w:tcPr>
          <w:p>
            <w:pPr>
              <w:spacing w:after="0"/>
              <w:rPr>
                <w:sz w:val="10"/>
                <w:szCs w:val="10"/>
                <w:color w:val="auto"/>
              </w:rPr>
            </w:pPr>
          </w:p>
        </w:tc>
        <w:tc>
          <w:tcPr>
            <w:tcW w:w="86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60" w:type="dxa"/>
            <w:vAlign w:val="bottom"/>
            <w:vMerge w:val="restart"/>
          </w:tcPr>
          <w:p>
            <w:pPr>
              <w:ind w:left="2700"/>
              <w:spacing w:after="0"/>
              <w:rPr>
                <w:sz w:val="20"/>
                <w:szCs w:val="20"/>
                <w:color w:val="auto"/>
              </w:rPr>
            </w:pPr>
            <w:r>
              <w:rPr>
                <w:rFonts w:ascii="Times New Roman" w:cs="Times New Roman" w:eastAsia="Times New Roman" w:hAnsi="Times New Roman"/>
                <w:sz w:val="12"/>
                <w:szCs w:val="12"/>
                <w:color w:val="auto"/>
              </w:rPr>
              <w:t>79</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86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60" w:type="dxa"/>
            <w:vAlign w:val="bottom"/>
            <w:tcBorders>
              <w:bottom w:val="single" w:sz="8" w:color="9A9A9A"/>
            </w:tcBorders>
          </w:tcPr>
          <w:p>
            <w:pPr>
              <w:spacing w:after="0"/>
              <w:rPr>
                <w:sz w:val="23"/>
                <w:szCs w:val="23"/>
                <w:color w:val="auto"/>
              </w:rPr>
            </w:pPr>
          </w:p>
        </w:tc>
        <w:tc>
          <w:tcPr>
            <w:tcW w:w="346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4570095</wp:posOffset>
            </wp:positionH>
            <wp:positionV relativeFrom="paragraph">
              <wp:posOffset>-656590</wp:posOffset>
            </wp:positionV>
            <wp:extent cx="5842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42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-656590</wp:posOffset>
            </wp:positionV>
            <wp:extent cx="315785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57855" cy="5715"/>
                    </a:xfrm>
                    <a:prstGeom prst="rect">
                      <a:avLst/>
                    </a:prstGeom>
                    <a:noFill/>
                  </pic:spPr>
                </pic:pic>
              </a:graphicData>
            </a:graphic>
          </wp:anchor>
        </w:drawing>
        <w:drawing>
          <wp:anchor simplePos="0" relativeHeight="251657728" behindDoc="1" locked="0" layoutInCell="0" allowOverlap="1">
            <wp:simplePos x="0" y="0"/>
            <wp:positionH relativeFrom="column">
              <wp:posOffset>4570095</wp:posOffset>
            </wp:positionH>
            <wp:positionV relativeFrom="paragraph">
              <wp:posOffset>-2831465</wp:posOffset>
            </wp:positionV>
            <wp:extent cx="5842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42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-2831465</wp:posOffset>
            </wp:positionV>
            <wp:extent cx="315785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57855" cy="5715"/>
                    </a:xfrm>
                    <a:prstGeom prst="rect">
                      <a:avLst/>
                    </a:prstGeom>
                    <a:noFill/>
                  </pic:spPr>
                </pic:pic>
              </a:graphicData>
            </a:graphic>
          </wp:anchor>
        </w:drawing>
        <w:drawing>
          <wp:anchor simplePos="0" relativeHeight="251657728" behindDoc="1" locked="0" layoutInCell="0" allowOverlap="1">
            <wp:simplePos x="0" y="0"/>
            <wp:positionH relativeFrom="column">
              <wp:posOffset>4570095</wp:posOffset>
            </wp:positionH>
            <wp:positionV relativeFrom="paragraph">
              <wp:posOffset>-3302635</wp:posOffset>
            </wp:positionV>
            <wp:extent cx="5842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42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-3302635</wp:posOffset>
            </wp:positionV>
            <wp:extent cx="315785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57855" cy="5715"/>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-3529330</wp:posOffset>
            </wp:positionV>
            <wp:extent cx="9334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3662680</wp:posOffset>
            </wp:positionH>
            <wp:positionV relativeFrom="paragraph">
              <wp:posOffset>-3529330</wp:posOffset>
            </wp:positionV>
            <wp:extent cx="9334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-23495</wp:posOffset>
            </wp:positionV>
            <wp:extent cx="3111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538480</wp:posOffset>
            </wp:positionH>
            <wp:positionV relativeFrom="paragraph">
              <wp:posOffset>-23495</wp:posOffset>
            </wp:positionV>
            <wp:extent cx="3111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82" w:name="page83"/>
    <w:bookmarkEnd w:id="82"/>
    <w:p>
      <w:pPr>
        <w:ind w:left="8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374650</wp:posOffset>
            </wp:positionV>
            <wp:extent cx="37211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1960" w:right="1739" w:hanging="240"/>
        <w:spacing w:after="0" w:line="233" w:lineRule="auto"/>
        <w:tabs>
          <w:tab w:leader="none" w:pos="1960" w:val="left"/>
        </w:tabs>
        <w:numPr>
          <w:ilvl w:val="0"/>
          <w:numId w:val="4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Each $1.00 increase (decrease) in the assumed initial public offering price of  $17.00 per share would increase (decrease) each of our pro forma as adjusted cash and cash equivalents, additional paid-in capital, total stockholders’ equity (deficit) and total capitalization by approximately $16.4 million, assuming that the number of shares offered, as set forth on the cover of this prospectus, remains the same and after deducting underwriting discounts and commissions and estimated offering expenses payable by us. Each increase (decrease) of 1,000,000 shares in the number of shares offered by us would increase (decrease) each of our pro forma as adjusted cash and cash equivalents, additional paid-in capital, total stockholders’ equity (deficit) and total capitalization by approximately $15.8 million, assuming the assumed initial public offering price per share remains the same and after deducting underwriting discounts and commissions and estimated offering expenses payable by us.</w:t>
      </w:r>
    </w:p>
    <w:p>
      <w:pPr>
        <w:spacing w:after="0" w:line="31" w:lineRule="exact"/>
        <w:rPr>
          <w:rFonts w:ascii="Times New Roman" w:cs="Times New Roman" w:eastAsia="Times New Roman" w:hAnsi="Times New Roman"/>
          <w:sz w:val="10"/>
          <w:szCs w:val="10"/>
          <w:color w:val="auto"/>
        </w:rPr>
      </w:pPr>
    </w:p>
    <w:p>
      <w:pPr>
        <w:ind w:left="1960" w:right="1739" w:hanging="240"/>
        <w:spacing w:after="0" w:line="250" w:lineRule="auto"/>
        <w:tabs>
          <w:tab w:leader="none" w:pos="1960" w:val="left"/>
        </w:tabs>
        <w:numPr>
          <w:ilvl w:val="0"/>
          <w:numId w:val="4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This pro forma as adjusted information is illustrative only and will depend on the actual initial public offering price and other terms of this offering determined at pricing.</w:t>
      </w:r>
    </w:p>
    <w:p>
      <w:pPr>
        <w:spacing w:after="0" w:line="83"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The number of shares of our common stock and non-voting common stock to be outstanding immediately after this offering, pro forma and pro forma as adjusted in the table above, is based on an aggregate of 38,719,729 shares of common stock and nonvoting common stock (which include 275,295 shares of unvested restricted stock awards subject to repurchase as of such date) outstanding as of March 31, 2024 after giving effect to (i) the issuance of 41,264,892 shares of Series C redeemable convertible preferred stock, convertible into 8,826,699 shares of common stock, in May 2024, and (ii) the Preferred Stock Conversion and the Common Stock Reclassification, as if each had occurred as of March 31, 2024, and excludes:</w:t>
      </w:r>
    </w:p>
    <w:p>
      <w:pPr>
        <w:spacing w:after="0" w:line="199" w:lineRule="exact"/>
        <w:rPr>
          <w:sz w:val="20"/>
          <w:szCs w:val="20"/>
          <w:color w:val="auto"/>
        </w:rPr>
      </w:pPr>
    </w:p>
    <w:p>
      <w:pPr>
        <w:ind w:left="2080" w:right="1739" w:hanging="116"/>
        <w:spacing w:after="0" w:line="291" w:lineRule="auto"/>
        <w:tabs>
          <w:tab w:leader="none" w:pos="20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5,565,543 shares of our common stock issuable upon the exercise of outstanding stock options as of March 31, 2024, with a weighted-average exercise price of $8.44 per share;</w:t>
      </w:r>
    </w:p>
    <w:p>
      <w:pPr>
        <w:spacing w:after="0" w:line="31"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1,276,629 shares of our common stock issuable upon the exercise of outstanding stock options granted subsequent to March 31, 2024 under our 2021 Plan, with a weighted-average exercise price of $13.16 per share;</w:t>
      </w:r>
    </w:p>
    <w:p>
      <w:pPr>
        <w:spacing w:after="0" w:line="43"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1,880,680 shares of our common stock issuable upon the exercise of outstanding stock options granted subsequent to March 31, 2024 under our 2024 POP, with a weighted-average exercise price of $10.19 per share, subject to certain share price valuation vesting targets;</w:t>
      </w:r>
    </w:p>
    <w:p>
      <w:pPr>
        <w:spacing w:after="0" w:line="43" w:lineRule="exact"/>
        <w:rPr>
          <w:rFonts w:ascii="Times New Roman" w:cs="Times New Roman" w:eastAsia="Times New Roman" w:hAnsi="Times New Roman"/>
          <w:sz w:val="12"/>
          <w:szCs w:val="12"/>
          <w:color w:val="auto"/>
        </w:rPr>
      </w:pPr>
    </w:p>
    <w:p>
      <w:pPr>
        <w:jc w:val="both"/>
        <w:ind w:left="2080" w:right="1739" w:hanging="116"/>
        <w:spacing w:after="0" w:line="259" w:lineRule="auto"/>
        <w:tabs>
          <w:tab w:leader="none" w:pos="20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14,629,339 shares of our common stock reserved for future issuance under our 2024 Plan, which will become effective once the registration statement of which this prospectus forms a part is declared effective, including 7,800,000 new shares plus the number of shares (not to exceed 6,829,339 shares) that (i) remain available for grant of future awards under the 2021 Plan and will cease to be available for issuance under the 2021 Plan at the time our 2024 Plan becomes effective in connection with this offering, and (ii) are underlying outstanding stock awards granted under our 2021 Plan, that expire or are repurchased, forfeited, cancelled or withheld, as well as any future automatic annual increases in the number of shares of common stock reserved for issuance under our 2024 Plan and, as more fully described in the section titled “Executive Compensation—Equity Benefit Plans;”</w:t>
      </w:r>
    </w:p>
    <w:p>
      <w:pPr>
        <w:spacing w:after="0" w:line="51" w:lineRule="exact"/>
        <w:rPr>
          <w:rFonts w:ascii="Times New Roman" w:cs="Times New Roman" w:eastAsia="Times New Roman" w:hAnsi="Times New Roman"/>
          <w:sz w:val="12"/>
          <w:szCs w:val="12"/>
          <w:color w:val="auto"/>
        </w:rPr>
      </w:pPr>
    </w:p>
    <w:p>
      <w:pPr>
        <w:jc w:val="both"/>
        <w:ind w:left="2080" w:right="1739" w:hanging="116"/>
        <w:spacing w:after="0" w:line="263" w:lineRule="auto"/>
        <w:tabs>
          <w:tab w:leader="none" w:pos="20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650,000 shares of our common stock reserved for issuance under our ESPP, which will become effective once the registration statement of which this prospectus forms a part is declared effective, as well as any future automatic annual increases in the number of shares of common stock reserved for future issuance under our ESPP, as more fully described in the section titled “Executive Compensation—Equity​ Benefit Plans;” and</w:t>
      </w:r>
    </w:p>
    <w:p>
      <w:pPr>
        <w:spacing w:after="0" w:line="49"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163,131 shares of our common stock issuable upon the exercise of stock options granted to certain of our directors and officers under our 2024 Plan, which will become effective in connection with this offering, at an exercise price per share equal to the initial public offering price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3" w:name="page84"/>
    <w:bookmarkEnd w:id="83"/>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DILUTION</w:t>
      </w:r>
    </w:p>
    <w:p>
      <w:pPr>
        <w:spacing w:after="0" w:line="111"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If you invest in our common stock in this offering, your interest will be diluted immediately to the extent of the difference between the initial public offering price per share of common stock and the pro forma as adjusted net tangible book value per share of our common stock and non-voting common stock immediately after this offering.</w:t>
      </w:r>
    </w:p>
    <w:p>
      <w:pPr>
        <w:spacing w:after="0" w:line="214"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As of March 31, 2024, our historical net tangible book value (deficit) was $(386.2) million, or $(144.13) per share based on 2,679,165 shares of our common stock (including 275,295 shares subject to repurchase as of such date) outstanding as of such date. Our historical net tangible book value (deficit) per share represents the amount of our total tangible assets less our total liabilities and our redeemable convertible preferred stock, divided by the total number of shares of Class A and Class B common stock outstanding as of March 31, 2024 (including 275,295 shares subject to repurchase as of such date).</w:t>
      </w:r>
    </w:p>
    <w:p>
      <w:pPr>
        <w:spacing w:after="0" w:line="74"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Our pro forma net tangible book value as of March 31, 2024 was $250.7 million, or $6.48 per share of common stock and non-voting common stock. Pro forma net tangible book value per share represents the amount of our total tangible assets less our total liabilities after giving effect to (i) the issuance of 41,264,892 shares of Series C redeemable convertible preferred stock, convertible into 8,826,699 shares of common stock, in May 2024 for approximately $ 129.3 million in aggregate net proceeds therefrom, (ii) the elimination of the derivative liability related to the tranche closing of Series C redeemable convertible preferred stock in May 2024, (iii) the Preferred Stock Conversion and the Common Stock Reclassification of 168,489,871 shares of redeemable convertible preferred stock into 36,040,564 shares of our common stock (as if each had occurred as of March 31, 2024) and (iv) the filing and effectiveness of our amended and restated certificate of incorporation, each of which will occur immediately prior to the closing of the offering. Pro forma net tangible book value per share represents pro forma net tangible book value divided by the total number of shares of our common stock and nonvoting common stock outstanding as of March 31, 2024 (including 275,295 shares of common stock subject to repurchase as of such date), after giving effect to the pro forma adjustments described above.</w:t>
      </w:r>
    </w:p>
    <w:p>
      <w:pPr>
        <w:spacing w:after="0" w:line="222"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After giving further effect to our issuance and sale of 17,650,000 shares of common stock in this offering at the assumed initial public offering price of $17.00 per share, and after deducting underwriting discounts and commissions and estimated offering expenses payable by us, our pro forma as adjusted net tangible book value as of March 31, 2024 would have been $525.0 million, or $9.31 per share. This amount represents an immediate increase in pro forma as adjusted net tangible book value of $2.83 per share to our existing stockholders and an immediate dilution in pro forma as adjusted net tangible book value of $7.69 per share to new investors purchasing common stock in this offering. We determine dilution by subtracting the pro forma as adjusted net tangible book value per share after this offering from the initial public offering price per share paid by new investors. The following table illustrates this dilution on a per share basis:</w:t>
      </w:r>
    </w:p>
    <w:p>
      <w:pPr>
        <w:spacing w:after="0" w:line="108"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​Assumed initial public offering price per share</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​​$17.00​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Historical net tangible book value (deficit) per share as of March 31, 2024</w:t>
            </w: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​​​$(144.13)​​ ​</w:t>
            </w:r>
          </w:p>
        </w:tc>
        <w:tc>
          <w:tcPr>
            <w:tcW w:w="22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3"/>
        </w:trPr>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Increase per share attributable to the pro forma adjustments described above</w:t>
            </w:r>
          </w:p>
        </w:tc>
        <w:tc>
          <w:tcPr>
            <w:tcW w:w="660" w:type="dxa"/>
            <w:vAlign w:val="bottom"/>
            <w:gridSpan w:val="5"/>
            <w:shd w:val="clear" w:color="auto" w:fill="CCEEFF"/>
          </w:tcPr>
          <w:p>
            <w:pPr>
              <w:ind w:left="20"/>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150.61</w:t>
            </w:r>
            <w:r>
              <w:rPr>
                <w:rFonts w:ascii="Times New Roman" w:cs="Times New Roman" w:eastAsia="Times New Roman" w:hAnsi="Times New Roman"/>
                <w:sz w:val="21"/>
                <w:szCs w:val="21"/>
                <w:color w:val="auto"/>
                <w:vertAlign w:val="subscript"/>
              </w:rPr>
              <w:t>​​ ​</w:t>
            </w:r>
          </w:p>
        </w:tc>
        <w:tc>
          <w:tcPr>
            <w:tcW w:w="220" w:type="dxa"/>
            <w:vAlign w:val="bottom"/>
            <w:shd w:val="clear" w:color="auto" w:fill="CCEEFF"/>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4680" w:type="dxa"/>
            <w:vAlign w:val="bottom"/>
            <w:gridSpan w:val="2"/>
            <w:shd w:val="clear" w:color="auto" w:fill="CCEEFF"/>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Pro forma net tangible book value per share as of March 31, 2024</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4"/>
                <w:szCs w:val="14"/>
                <w:color w:val="auto"/>
              </w:rPr>
            </w:pP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6.48​​ ​</w:t>
            </w:r>
          </w:p>
        </w:tc>
        <w:tc>
          <w:tcPr>
            <w:tcW w:w="220" w:type="dxa"/>
            <w:vAlign w:val="bottom"/>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2"/>
        </w:trPr>
        <w:tc>
          <w:tcPr>
            <w:tcW w:w="80" w:type="dxa"/>
            <w:vAlign w:val="bottom"/>
            <w:shd w:val="clear" w:color="auto" w:fill="CCEEFF"/>
          </w:tcPr>
          <w:p>
            <w:pPr>
              <w:spacing w:after="0"/>
              <w:rPr>
                <w:sz w:val="13"/>
                <w:szCs w:val="13"/>
                <w:color w:val="auto"/>
              </w:rPr>
            </w:pPr>
          </w:p>
        </w:tc>
        <w:tc>
          <w:tcPr>
            <w:tcW w:w="4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Increase in pro forma as adjusted net tangible book value per share attributable to new</w:t>
            </w: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investors purchasing shares of common stock in this offering</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12"/>
                <w:szCs w:val="12"/>
                <w:u w:val="single" w:color="auto"/>
                <w:color w:val="auto"/>
              </w:rPr>
              <w:t>83</w:t>
            </w:r>
            <w:r>
              <w:rPr>
                <w:rFonts w:ascii="Times New Roman" w:cs="Times New Roman" w:eastAsia="Times New Roman" w:hAnsi="Times New Roman"/>
                <w:sz w:val="12"/>
                <w:szCs w:val="12"/>
                <w:color w:val="auto"/>
              </w:rPr>
              <w:t>​​ ​</w:t>
            </w:r>
          </w:p>
        </w:tc>
        <w:tc>
          <w:tcPr>
            <w:tcW w:w="220" w:type="dxa"/>
            <w:vAlign w:val="bottom"/>
            <w:shd w:val="clear" w:color="auto" w:fill="CCEEFF"/>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4680" w:type="dxa"/>
            <w:vAlign w:val="bottom"/>
            <w:gridSpan w:val="2"/>
            <w:shd w:val="clear" w:color="auto" w:fill="CCEEFF"/>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680" w:type="dxa"/>
            <w:vAlign w:val="bottom"/>
            <w:gridSpan w:val="2"/>
          </w:tcPr>
          <w:p>
            <w:pPr>
              <w:spacing w:after="0" w:line="127" w:lineRule="exact"/>
              <w:rPr>
                <w:sz w:val="20"/>
                <w:szCs w:val="20"/>
                <w:color w:val="auto"/>
              </w:rPr>
            </w:pPr>
            <w:r>
              <w:rPr>
                <w:rFonts w:ascii="Times New Roman" w:cs="Times New Roman" w:eastAsia="Times New Roman" w:hAnsi="Times New Roman"/>
                <w:sz w:val="12"/>
                <w:szCs w:val="12"/>
                <w:color w:val="auto"/>
              </w:rPr>
              <w:t>Pro forma as adjusted net tangible book value per share immediately after this offering</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3"/>
          </w:tcPr>
          <w:p>
            <w:pPr>
              <w:spacing w:after="0" w:line="127" w:lineRule="exact"/>
              <w:rPr>
                <w:sz w:val="20"/>
                <w:szCs w:val="20"/>
                <w:color w:val="auto"/>
              </w:rPr>
            </w:pPr>
            <w:r>
              <w:rPr>
                <w:rFonts w:ascii="Times New Roman" w:cs="Times New Roman" w:eastAsia="Times New Roman" w:hAnsi="Times New Roman"/>
                <w:sz w:val="12"/>
                <w:szCs w:val="12"/>
                <w:color w:val="auto"/>
              </w:rPr>
              <w:t>​ 9.31</w:t>
            </w:r>
          </w:p>
        </w:tc>
        <w:tc>
          <w:tcPr>
            <w:tcW w:w="0" w:type="dxa"/>
            <w:vAlign w:val="bottom"/>
          </w:tcPr>
          <w:p>
            <w:pPr>
              <w:spacing w:after="0"/>
              <w:rPr>
                <w:sz w:val="1"/>
                <w:szCs w:val="1"/>
                <w:color w:val="auto"/>
              </w:rPr>
            </w:pPr>
          </w:p>
        </w:tc>
      </w:tr>
      <w:tr>
        <w:trPr>
          <w:trHeight w:val="46"/>
        </w:trPr>
        <w:tc>
          <w:tcPr>
            <w:tcW w:w="80" w:type="dxa"/>
            <w:vAlign w:val="bottom"/>
          </w:tcPr>
          <w:p>
            <w:pPr>
              <w:spacing w:after="0" w:line="46" w:lineRule="exact"/>
              <w:rPr>
                <w:sz w:val="20"/>
                <w:szCs w:val="20"/>
                <w:color w:val="auto"/>
              </w:rPr>
            </w:pPr>
            <w:r>
              <w:rPr>
                <w:rFonts w:ascii="Times New Roman" w:cs="Times New Roman" w:eastAsia="Times New Roman" w:hAnsi="Times New Roman"/>
                <w:sz w:val="5"/>
                <w:szCs w:val="5"/>
                <w:color w:val="auto"/>
              </w:rPr>
              <w:t>​</w:t>
            </w:r>
          </w:p>
        </w:tc>
        <w:tc>
          <w:tcPr>
            <w:tcW w:w="460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line="46"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136"/>
        </w:trPr>
        <w:tc>
          <w:tcPr>
            <w:tcW w:w="4680" w:type="dxa"/>
            <w:vAlign w:val="bottom"/>
            <w:tcBorders>
              <w:top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Dilution per share to new investors purchasing shares in this offering</w:t>
            </w:r>
          </w:p>
        </w:tc>
        <w:tc>
          <w:tcPr>
            <w:tcW w:w="120" w:type="dxa"/>
            <w:vAlign w:val="bottom"/>
            <w:tcBorders>
              <w:top w:val="single" w:sz="8" w:color="CCEEFF"/>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left w:val="single" w:sz="8" w:color="CCEEFF"/>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w w:val="95"/>
              </w:rPr>
              <w:t>7.69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7"/>
        </w:trPr>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w:t>
            </w:r>
          </w:p>
        </w:tc>
        <w:tc>
          <w:tcPr>
            <w:tcW w:w="4600" w:type="dxa"/>
            <w:vAlign w:val="bottom"/>
            <w:shd w:val="clear" w:color="auto" w:fill="CCEEFF"/>
          </w:tcPr>
          <w:p>
            <w:pPr>
              <w:spacing w:after="0"/>
              <w:rPr>
                <w:sz w:val="3"/>
                <w:szCs w:val="3"/>
                <w:color w:val="auto"/>
              </w:rPr>
            </w:pPr>
          </w:p>
        </w:tc>
        <w:tc>
          <w:tcPr>
            <w:tcW w:w="120" w:type="dxa"/>
            <w:vAlign w:val="bottom"/>
            <w:tcBorders>
              <w:right w:val="single" w:sz="8" w:color="CCEEFF"/>
            </w:tcBorders>
            <w:vMerge w:val="continue"/>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
                <w:szCs w:val="1"/>
                <w:color w:val="auto"/>
              </w:rPr>
              <w:t>​​</w:t>
            </w: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shd w:val="clear" w:color="auto" w:fill="CCEEFF"/>
          </w:tcPr>
          <w:p>
            <w:pPr>
              <w:spacing w:after="0"/>
              <w:rPr>
                <w:sz w:val="3"/>
                <w:szCs w:val="3"/>
                <w:color w:val="auto"/>
              </w:rPr>
            </w:pPr>
          </w:p>
        </w:tc>
        <w:tc>
          <w:tcPr>
            <w:tcW w:w="46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-144780</wp:posOffset>
            </wp:positionV>
            <wp:extent cx="331470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14700" cy="5715"/>
                    </a:xfrm>
                    <a:prstGeom prst="rect">
                      <a:avLst/>
                    </a:prstGeom>
                    <a:noFill/>
                  </pic:spPr>
                </pic:pic>
              </a:graphicData>
            </a:graphic>
          </wp:anchor>
        </w:drawing>
        <w:drawing>
          <wp:anchor simplePos="0" relativeHeight="251657728" behindDoc="1" locked="0" layoutInCell="0" allowOverlap="1">
            <wp:simplePos x="0" y="0"/>
            <wp:positionH relativeFrom="column">
              <wp:posOffset>4069715</wp:posOffset>
            </wp:positionH>
            <wp:positionV relativeFrom="paragraph">
              <wp:posOffset>-266700</wp:posOffset>
            </wp:positionV>
            <wp:extent cx="2921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9210" cy="5715"/>
                    </a:xfrm>
                    <a:prstGeom prst="rect">
                      <a:avLst/>
                    </a:prstGeom>
                    <a:noFill/>
                  </pic:spPr>
                </pic:pic>
              </a:graphicData>
            </a:graphic>
          </wp:anchor>
        </w:drawing>
        <w:drawing>
          <wp:anchor simplePos="0" relativeHeight="251657728" behindDoc="1" locked="0" layoutInCell="0" allowOverlap="1">
            <wp:simplePos x="0" y="0"/>
            <wp:positionH relativeFrom="column">
              <wp:posOffset>4069715</wp:posOffset>
            </wp:positionH>
            <wp:positionV relativeFrom="paragraph">
              <wp:posOffset>-592455</wp:posOffset>
            </wp:positionV>
            <wp:extent cx="2921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210" cy="5715"/>
                    </a:xfrm>
                    <a:prstGeom prst="rect">
                      <a:avLst/>
                    </a:prstGeom>
                    <a:noFill/>
                  </pic:spPr>
                </pic:pic>
              </a:graphicData>
            </a:graphic>
          </wp:anchor>
        </w:drawing>
      </w:r>
    </w:p>
    <w:p>
      <w:pPr>
        <w:spacing w:after="0" w:line="123"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The dilution information discussed above is illustrative only and may change based on the actual initial public offering price and other terms of this offering. Each $1.00 increase or decrease in the assumed initial public offering price of $ 17.00 per share, would increase or decrease, as applicable, our pro forma as adjusted net tangible book value per share after this offering by $0.29 per share and increase or decrease, as applicable, the dilution to new investors purchasing shares of common stock in this offering by $0.71 per share, in each case assuming the number of shares of common stock offered by us, as set forth on the cover page of this prospectus, remains the same, and after deducting underwriting discounts and commissions and estimated offering expenses payable by us. Similarly, each increase or decrease of 1.0 million shares in the number of shares of common stock offered by us would increase or decrease our pro forma as adjusted net tangible book</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4" w:name="page85"/>
    <w:bookmarkEnd w:id="8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value by approximately $0.11 or $0.12 per share, respectively, and decrease or increase, as applicable, the dilution to investors purchasing shares in this offering by approximately $0.11 or $0.12 per share, respectively, in each case assuming the assumed initial public offering price of $17.00 per share remains the same, and after deducting underwriting discounts and commissions and estimated offering expenses payable by us.</w:t>
      </w:r>
    </w:p>
    <w:p>
      <w:pPr>
        <w:spacing w:after="0" w:line="217"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If the underwriters exercise their over-allotment option in full, the pro forma net tangible book value per share, as adjusted to give effect to this offering, would be $9.61 per share, and the dilution in pro forma net tangible book value per share to new investors in this offering would be $7.39 per share.</w:t>
      </w:r>
    </w:p>
    <w:p>
      <w:pPr>
        <w:spacing w:after="0" w:line="70"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The following table summarizes, as of March 31, 2024, on the pro forma as adjusted basis as described above, the total number of shares of common stock and non- voting common stock purchased from us on an as converted to common stock and nonvoting common stock basis, the total consideration paid or to be paid and the weighted-average price per share paid or to be paid by existing stockholders and by new investors in this offering at an assumed initial public offering price of $17.00 per share, before deducting underwriting discounts and commissions and estimated offering expenses payable by us. As the table shows, new investors purchasing common stock in this offering will pay an average price per share substantially higher than our existing stockholders paid.</w:t>
      </w:r>
    </w:p>
    <w:p>
      <w:pPr>
        <w:spacing w:after="0" w:line="232"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17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vMerge w:val="restart"/>
          </w:tcPr>
          <w:p>
            <w:pPr>
              <w:ind w:left="66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0" w:type="dxa"/>
            <w:vAlign w:val="bottom"/>
            <w:gridSpan w:val="5"/>
          </w:tcPr>
          <w:p>
            <w:pPr>
              <w:ind w:left="140"/>
              <w:spacing w:after="0"/>
              <w:rPr>
                <w:sz w:val="20"/>
                <w:szCs w:val="20"/>
                <w:color w:val="auto"/>
              </w:rPr>
            </w:pPr>
            <w:r>
              <w:rPr>
                <w:rFonts w:ascii="Times New Roman" w:cs="Times New Roman" w:eastAsia="Times New Roman" w:hAnsi="Times New Roman"/>
                <w:sz w:val="10"/>
                <w:szCs w:val="10"/>
                <w:b w:val="1"/>
                <w:bCs w:val="1"/>
                <w:color w:val="auto"/>
              </w:rPr>
              <w:t>Shares Purchased</w:t>
            </w:r>
          </w:p>
        </w:tc>
        <w:tc>
          <w:tcPr>
            <w:tcW w:w="10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140" w:type="dxa"/>
            <w:vAlign w:val="bottom"/>
            <w:gridSpan w:val="5"/>
          </w:tcPr>
          <w:p>
            <w:pPr>
              <w:ind w:left="160"/>
              <w:spacing w:after="0"/>
              <w:rPr>
                <w:sz w:val="20"/>
                <w:szCs w:val="20"/>
                <w:color w:val="auto"/>
              </w:rPr>
            </w:pPr>
            <w:r>
              <w:rPr>
                <w:rFonts w:ascii="Times New Roman" w:cs="Times New Roman" w:eastAsia="Times New Roman" w:hAnsi="Times New Roman"/>
                <w:sz w:val="10"/>
                <w:szCs w:val="10"/>
                <w:b w:val="1"/>
                <w:bCs w:val="1"/>
                <w:color w:val="auto"/>
              </w:rPr>
              <w:t>Total Consideration</w:t>
            </w:r>
          </w:p>
        </w:tc>
        <w:tc>
          <w:tcPr>
            <w:tcW w:w="10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jc w:val="center"/>
              <w:spacing w:after="0" w:line="74" w:lineRule="exact"/>
              <w:rPr>
                <w:sz w:val="20"/>
                <w:szCs w:val="20"/>
                <w:color w:val="auto"/>
              </w:rPr>
            </w:pPr>
            <w:r>
              <w:rPr>
                <w:rFonts w:ascii="Times New Roman" w:cs="Times New Roman" w:eastAsia="Times New Roman" w:hAnsi="Times New Roman"/>
                <w:sz w:val="7"/>
                <w:szCs w:val="7"/>
                <w:b w:val="1"/>
                <w:bCs w:val="1"/>
                <w:color w:val="auto"/>
              </w:rPr>
              <w:t>Average Price</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7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tcPr>
          <w:p>
            <w:pPr>
              <w:ind w:left="66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gridSpan w:val="2"/>
          </w:tcPr>
          <w:p>
            <w:pPr>
              <w:ind w:left="40"/>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 xml:space="preserve">   Number</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60" w:type="dxa"/>
            <w:vAlign w:val="bottom"/>
            <w:gridSpan w:val="4"/>
          </w:tcPr>
          <w:p>
            <w:pPr>
              <w:jc w:val="right"/>
              <w:ind w:right="12"/>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 xml:space="preserve"> Percent </w:t>
            </w:r>
            <w:r>
              <w:rPr>
                <w:rFonts w:ascii="Times New Roman" w:cs="Times New Roman" w:eastAsia="Times New Roman" w:hAnsi="Times New Roman"/>
                <w:sz w:val="17"/>
                <w:szCs w:val="17"/>
                <w:b w:val="1"/>
                <w:bCs w:val="1"/>
                <w:color w:val="auto"/>
                <w:vertAlign w:val="subscript"/>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80" w:type="dxa"/>
            <w:vAlign w:val="bottom"/>
            <w:gridSpan w:val="4"/>
          </w:tcPr>
          <w:p>
            <w:pPr>
              <w:jc w:val="right"/>
              <w:ind w:right="12"/>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 xml:space="preserve"> Percent </w:t>
            </w:r>
            <w:r>
              <w:rPr>
                <w:rFonts w:ascii="Times New Roman" w:cs="Times New Roman" w:eastAsia="Times New Roman" w:hAnsi="Times New Roman"/>
                <w:sz w:val="17"/>
                <w:szCs w:val="17"/>
                <w:b w:val="1"/>
                <w:bCs w:val="1"/>
                <w:color w:val="auto"/>
                <w:vertAlign w:val="subscript"/>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Per Share</w:t>
            </w:r>
          </w:p>
        </w:tc>
        <w:tc>
          <w:tcPr>
            <w:tcW w:w="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0"/>
        </w:trPr>
        <w:tc>
          <w:tcPr>
            <w:tcW w:w="17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Existing stockholders</w:t>
            </w:r>
          </w:p>
        </w:tc>
        <w:tc>
          <w:tcPr>
            <w:tcW w:w="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​​38,719,729​​</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68.7%​​</w:t>
            </w:r>
          </w:p>
        </w:tc>
        <w:tc>
          <w:tcPr>
            <w:tcW w:w="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​​$631,809,096​​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67.8%​​ ​</w:t>
            </w:r>
          </w:p>
        </w:tc>
        <w:tc>
          <w:tcPr>
            <w:tcW w:w="5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2"/>
                <w:szCs w:val="12"/>
                <w:color w:val="auto"/>
              </w:rPr>
              <w:t>​$16.32</w:t>
            </w:r>
          </w:p>
        </w:tc>
        <w:tc>
          <w:tcPr>
            <w:tcW w:w="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7"/>
        </w:trPr>
        <w:tc>
          <w:tcPr>
            <w:tcW w:w="1760" w:type="dxa"/>
            <w:vAlign w:val="bottom"/>
          </w:tcPr>
          <w:p>
            <w:pPr>
              <w:spacing w:after="0"/>
              <w:rPr>
                <w:sz w:val="20"/>
                <w:szCs w:val="20"/>
                <w:color w:val="auto"/>
              </w:rPr>
            </w:pPr>
            <w:r>
              <w:rPr>
                <w:rFonts w:ascii="Times New Roman" w:cs="Times New Roman" w:eastAsia="Times New Roman" w:hAnsi="Times New Roman"/>
                <w:sz w:val="12"/>
                <w:szCs w:val="12"/>
                <w:color w:val="auto"/>
              </w:rPr>
              <w:t>New investors</w:t>
            </w:r>
          </w:p>
        </w:tc>
        <w:tc>
          <w:tcPr>
            <w:tcW w:w="700" w:type="dxa"/>
            <w:vAlign w:val="bottom"/>
            <w:vMerge w:val="restart"/>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w w:val="96"/>
              </w:rPr>
              <w:t>​17,650,000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6"/>
              </w:rPr>
              <w:t>31.3%</w:t>
            </w:r>
          </w:p>
        </w:tc>
        <w:tc>
          <w:tcPr>
            <w:tcW w:w="6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$300,050,000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2"/>
                <w:szCs w:val="12"/>
                <w:color w:val="auto"/>
              </w:rPr>
              <w:t>$17.00</w:t>
            </w:r>
          </w:p>
        </w:tc>
        <w:tc>
          <w:tcPr>
            <w:tcW w:w="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46"/>
        </w:trPr>
        <w:tc>
          <w:tcPr>
            <w:tcW w:w="17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620" w:type="dxa"/>
            <w:vAlign w:val="bottom"/>
            <w:gridSpan w:val="2"/>
          </w:tcPr>
          <w:p>
            <w:pPr>
              <w:ind w:left="40"/>
              <w:spacing w:after="0" w:line="46"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jc w:val="right"/>
              <w:spacing w:after="0" w:line="46" w:lineRule="exact"/>
              <w:rPr>
                <w:sz w:val="20"/>
                <w:szCs w:val="20"/>
                <w:color w:val="auto"/>
              </w:rPr>
            </w:pPr>
            <w:r>
              <w:rPr>
                <w:rFonts w:ascii="Times New Roman" w:cs="Times New Roman" w:eastAsia="Times New Roman" w:hAnsi="Times New Roman"/>
                <w:sz w:val="5"/>
                <w:szCs w:val="5"/>
                <w:color w:val="auto"/>
              </w:rPr>
              <w:t>​​</w:t>
            </w:r>
          </w:p>
        </w:tc>
        <w:tc>
          <w:tcPr>
            <w:tcW w:w="740" w:type="dxa"/>
            <w:vAlign w:val="bottom"/>
            <w:gridSpan w:val="2"/>
          </w:tcPr>
          <w:p>
            <w:pPr>
              <w:ind w:left="20"/>
              <w:spacing w:after="0" w:line="46" w:lineRule="exact"/>
              <w:rPr>
                <w:sz w:val="20"/>
                <w:szCs w:val="20"/>
                <w:color w:val="auto"/>
              </w:rPr>
            </w:pPr>
            <w:r>
              <w:rPr>
                <w:rFonts w:ascii="Times New Roman" w:cs="Times New Roman" w:eastAsia="Times New Roman" w:hAnsi="Times New Roman"/>
                <w:sz w:val="5"/>
                <w:szCs w:val="5"/>
                <w:color w:val="auto"/>
              </w:rPr>
              <w:t>​​</w:t>
            </w:r>
          </w:p>
        </w:tc>
        <w:tc>
          <w:tcPr>
            <w:tcW w:w="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jc w:val="right"/>
              <w:ind w:right="12"/>
              <w:spacing w:after="0" w:line="46" w:lineRule="exact"/>
              <w:rPr>
                <w:sz w:val="20"/>
                <w:szCs w:val="20"/>
                <w:color w:val="auto"/>
              </w:rPr>
            </w:pPr>
            <w:r>
              <w:rPr>
                <w:rFonts w:ascii="Times New Roman" w:cs="Times New Roman" w:eastAsia="Times New Roman" w:hAnsi="Times New Roman"/>
                <w:sz w:val="5"/>
                <w:szCs w:val="5"/>
                <w:color w:val="auto"/>
              </w:rPr>
              <w:t>​​</w:t>
            </w:r>
          </w:p>
        </w:tc>
        <w:tc>
          <w:tcPr>
            <w:tcW w:w="40" w:type="dxa"/>
            <w:vAlign w:val="bottom"/>
            <w:vMerge w:val="continue"/>
          </w:tcPr>
          <w:p>
            <w:pPr>
              <w:spacing w:after="0"/>
              <w:rPr>
                <w:sz w:val="3"/>
                <w:szCs w:val="3"/>
                <w:color w:val="auto"/>
              </w:rPr>
            </w:pPr>
          </w:p>
        </w:tc>
        <w:tc>
          <w:tcPr>
            <w:tcW w:w="580" w:type="dxa"/>
            <w:vAlign w:val="bottom"/>
          </w:tcPr>
          <w:p>
            <w:pPr>
              <w:jc w:val="right"/>
              <w:ind w:right="391"/>
              <w:spacing w:after="0" w:line="46" w:lineRule="exact"/>
              <w:rPr>
                <w:sz w:val="20"/>
                <w:szCs w:val="20"/>
                <w:color w:val="auto"/>
              </w:rPr>
            </w:pPr>
            <w:r>
              <w:rPr>
                <w:rFonts w:ascii="Times New Roman" w:cs="Times New Roman" w:eastAsia="Times New Roman" w:hAnsi="Times New Roman"/>
                <w:sz w:val="5"/>
                <w:szCs w:val="5"/>
                <w:color w:val="auto"/>
              </w:rPr>
              <w:t>​</w:t>
            </w: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760" w:type="dxa"/>
            <w:vAlign w:val="bottom"/>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auto"/>
              </w:rPr>
              <w:t>Totals</w:t>
            </w:r>
          </w:p>
        </w:tc>
        <w:tc>
          <w:tcPr>
            <w:tcW w:w="70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w w:val="96"/>
              </w:rPr>
              <w:t>​56,369,729</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380" w:type="dxa"/>
            <w:vAlign w:val="bottom"/>
            <w:gridSpan w:val="3"/>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w w:val="91"/>
              </w:rPr>
              <w:t>​100.0%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27" w:lineRule="exact"/>
              <w:rPr>
                <w:sz w:val="20"/>
                <w:szCs w:val="20"/>
                <w:color w:val="auto"/>
              </w:rPr>
            </w:pPr>
            <w:r>
              <w:rPr>
                <w:rFonts w:ascii="Times New Roman" w:cs="Times New Roman" w:eastAsia="Times New Roman" w:hAnsi="Times New Roman"/>
                <w:sz w:val="12"/>
                <w:szCs w:val="12"/>
                <w:color w:val="auto"/>
              </w:rPr>
              <w:t>$931,859,096</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400" w:type="dxa"/>
            <w:vAlign w:val="bottom"/>
            <w:gridSpan w:val="3"/>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w w:val="97"/>
              </w:rPr>
              <w:t>​100.0%</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2"/>
                <w:szCs w:val="12"/>
                <w:color w:val="auto"/>
              </w:rPr>
              <w:t>​$16.53</w:t>
            </w:r>
          </w:p>
        </w:tc>
        <w:tc>
          <w:tcPr>
            <w:tcW w:w="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46"/>
        </w:trPr>
        <w:tc>
          <w:tcPr>
            <w:tcW w:w="1760" w:type="dxa"/>
            <w:vAlign w:val="bottom"/>
            <w:shd w:val="clear" w:color="auto" w:fill="CCEEFF"/>
          </w:tcPr>
          <w:p>
            <w:pPr>
              <w:spacing w:after="0"/>
              <w:rPr>
                <w:sz w:val="3"/>
                <w:szCs w:val="3"/>
                <w:color w:val="auto"/>
              </w:rPr>
            </w:pPr>
          </w:p>
        </w:tc>
        <w:tc>
          <w:tcPr>
            <w:tcW w:w="700" w:type="dxa"/>
            <w:vAlign w:val="bottom"/>
            <w:vMerge w:val="continue"/>
            <w:shd w:val="clear" w:color="auto" w:fill="CCEEFF"/>
          </w:tcPr>
          <w:p>
            <w:pPr>
              <w:spacing w:after="0"/>
              <w:rPr>
                <w:sz w:val="3"/>
                <w:szCs w:val="3"/>
                <w:color w:val="auto"/>
              </w:rPr>
            </w:pP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rPr>
              <w:t>​​</w:t>
            </w:r>
          </w:p>
        </w:tc>
        <w:tc>
          <w:tcPr>
            <w:tcW w:w="100" w:type="dxa"/>
            <w:vAlign w:val="bottom"/>
            <w:vMerge w:val="continue"/>
            <w:shd w:val="clear" w:color="auto" w:fill="CCEEFF"/>
          </w:tcPr>
          <w:p>
            <w:pPr>
              <w:spacing w:after="0"/>
              <w:rPr>
                <w:sz w:val="3"/>
                <w:szCs w:val="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 ​</w:t>
            </w:r>
          </w:p>
        </w:tc>
        <w:tc>
          <w:tcPr>
            <w:tcW w:w="2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rPr>
              <w:t>​​</w:t>
            </w:r>
          </w:p>
        </w:tc>
        <w:tc>
          <w:tcPr>
            <w:tcW w:w="80" w:type="dxa"/>
            <w:vAlign w:val="bottom"/>
            <w:vMerge w:val="continue"/>
            <w:shd w:val="clear" w:color="auto" w:fill="CCEEFF"/>
          </w:tcPr>
          <w:p>
            <w:pPr>
              <w:spacing w:after="0"/>
              <w:rPr>
                <w:sz w:val="3"/>
                <w:szCs w:val="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 ​</w:t>
            </w: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
                <w:szCs w:val="2"/>
                <w:color w:val="auto"/>
              </w:rPr>
              <w:t>​​</w:t>
            </w:r>
          </w:p>
        </w:tc>
        <w:tc>
          <w:tcPr>
            <w:tcW w:w="40" w:type="dxa"/>
            <w:vAlign w:val="bottom"/>
            <w:vMerge w:val="continue"/>
            <w:shd w:val="clear" w:color="auto" w:fill="CCEEFF"/>
          </w:tcPr>
          <w:p>
            <w:pPr>
              <w:spacing w:after="0"/>
              <w:rPr>
                <w:sz w:val="3"/>
                <w:szCs w:val="3"/>
                <w:color w:val="auto"/>
              </w:rPr>
            </w:pPr>
          </w:p>
        </w:tc>
        <w:tc>
          <w:tcPr>
            <w:tcW w:w="580" w:type="dxa"/>
            <w:vAlign w:val="bottom"/>
            <w:vMerge w:val="continue"/>
            <w:shd w:val="clear" w:color="auto" w:fill="CCEEFF"/>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17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40" w:type="dxa"/>
            <w:vAlign w:val="bottom"/>
            <w:tcBorders>
              <w:right w:val="single" w:sz="8" w:color="CCEEFF"/>
            </w:tcBorders>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60" w:type="dxa"/>
            <w:vAlign w:val="bottom"/>
            <w:tcBorders>
              <w:right w:val="single" w:sz="8" w:color="CCEEFF"/>
            </w:tcBorders>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-144780</wp:posOffset>
            </wp:positionV>
            <wp:extent cx="75628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56285" cy="571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-144780</wp:posOffset>
            </wp:positionV>
            <wp:extent cx="11049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049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-144780</wp:posOffset>
            </wp:positionV>
            <wp:extent cx="206438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64385" cy="571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-377190</wp:posOffset>
            </wp:positionV>
            <wp:extent cx="9334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3342640</wp:posOffset>
            </wp:positionH>
            <wp:positionV relativeFrom="paragraph">
              <wp:posOffset>-377190</wp:posOffset>
            </wp:positionV>
            <wp:extent cx="9334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-377190</wp:posOffset>
            </wp:positionV>
            <wp:extent cx="205295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52955" cy="571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-377190</wp:posOffset>
            </wp:positionV>
            <wp:extent cx="9334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345" cy="5715"/>
                    </a:xfrm>
                    <a:prstGeom prst="rect">
                      <a:avLst/>
                    </a:prstGeom>
                    <a:noFill/>
                  </pic:spPr>
                </pic:pic>
              </a:graphicData>
            </a:graphic>
          </wp:anchor>
        </w:drawing>
      </w:r>
    </w:p>
    <w:p>
      <w:pPr>
        <w:spacing w:after="0" w:line="123"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The table above assumes no exercise of the underwriters’ over-allotment option in this offering. If the underwriters’ over-allotment option is exercised in full, the number of shares of our common stock held by existing stockholders would be reduced to 65.6% of the total number of shares of our common stock and non-voting common stock outstanding after this offering, and the number of shares of common stock held by new investors purchasing common stock in this offering would be increased to 34.4% of the total number of shares of our common stock and non-voting common stock outstanding after this offering.</w:t>
      </w:r>
    </w:p>
    <w:p>
      <w:pPr>
        <w:spacing w:after="0" w:line="74"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The foregoing discussion and tables above (other than the historical net tangible book value (deficit) calculation) are based on an aggregate of number of shares of our common stock and non-voting common stock to be outstanding immediately after this offering is based on an aggregate of 38,719,729 shares of common stock and non-voting common stock (which include 275,295 shares of unvested restricted stock awards subject to a repurchase option by us) outstanding as of March 31, 2024, after giving effect to (i) the issuance of 41,264,892 shares of Series C redeemable convertible preferred stock, convertible into 8,826,699 shares of common stock, in May 2024, and (ii) the Preferred Stock Conversion and the Common Stock Reclassification, as if each had occurred as of March 31, 2024, and excludes:</w:t>
      </w:r>
    </w:p>
    <w:p>
      <w:pPr>
        <w:spacing w:after="0" w:line="50" w:lineRule="exact"/>
        <w:rPr>
          <w:sz w:val="20"/>
          <w:szCs w:val="20"/>
          <w:color w:val="auto"/>
        </w:rPr>
      </w:pPr>
    </w:p>
    <w:p>
      <w:pPr>
        <w:ind w:left="2080" w:right="1739" w:hanging="116"/>
        <w:spacing w:after="0" w:line="291" w:lineRule="auto"/>
        <w:tabs>
          <w:tab w:leader="none" w:pos="20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5,565,543 shares of our common stock issuable upon the exercise of outstanding stock options as of March 31, 2024, with a weighted-average exercise price of $8.44 per share;</w:t>
      </w:r>
    </w:p>
    <w:p>
      <w:pPr>
        <w:spacing w:after="0" w:line="31"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1,276,629 shares of our common stock issuable upon the exercise of outstanding stock options granted subsequent to March 31, 2024 under our 2021 Plan, with a weighted-average exercise price of $13.16 per share;</w:t>
      </w:r>
    </w:p>
    <w:p>
      <w:pPr>
        <w:spacing w:after="0" w:line="43"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1,880,680 shares of our common stock issuable upon the exercise of outstanding stock options granted subsequent to March 31, 2024 under our 2024 POP, with a weighted-average exercise price of $10.19 per share, subject to certain share price valuation vesting targets;</w:t>
      </w:r>
    </w:p>
    <w:p>
      <w:pPr>
        <w:spacing w:after="0" w:line="43" w:lineRule="exact"/>
        <w:rPr>
          <w:rFonts w:ascii="Times New Roman" w:cs="Times New Roman" w:eastAsia="Times New Roman" w:hAnsi="Times New Roman"/>
          <w:sz w:val="12"/>
          <w:szCs w:val="12"/>
          <w:color w:val="auto"/>
        </w:rPr>
      </w:pPr>
    </w:p>
    <w:p>
      <w:pPr>
        <w:jc w:val="both"/>
        <w:ind w:left="2080" w:right="1739" w:hanging="116"/>
        <w:spacing w:after="0" w:line="260" w:lineRule="auto"/>
        <w:tabs>
          <w:tab w:leader="none" w:pos="20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14,629,339 shares of our common stock reserved for future issuance under our 2024 Plan, which will become effective once the registration statement of which this prospectus forms a part is declared effective, including 7,800,000 new shares plus the number of shares (not to exceed 6,829,339 shares) that (i) remain available for grant of future awards under the 2021 Plan and will cease to be available for issuance under the 2021 Plan at the time our 2024 Plan becomes effective in connection with this offering, and (ii) are underlying outstanding stock awards granted under our 2021 Plan, that expire or are repurchased, forfeited, cancelled or withheld, as well as any future automatic annual increases in</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85" w:name="page86"/>
    <w:bookmarkEnd w:id="85"/>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ind w:left="2080" w:right="1739"/>
        <w:spacing w:after="0" w:line="291" w:lineRule="auto"/>
        <w:rPr>
          <w:sz w:val="20"/>
          <w:szCs w:val="20"/>
          <w:color w:val="auto"/>
        </w:rPr>
      </w:pPr>
      <w:r>
        <w:rPr>
          <w:rFonts w:ascii="Times New Roman" w:cs="Times New Roman" w:eastAsia="Times New Roman" w:hAnsi="Times New Roman"/>
          <w:sz w:val="12"/>
          <w:szCs w:val="12"/>
          <w:color w:val="auto"/>
        </w:rPr>
        <w:t>the number of shares of common stock reserved for issuance under our 2024 Plan and, as more fully described in the section titled “Executive Compensation—Equity Benefit Plans;”</w:t>
      </w:r>
    </w:p>
    <w:p>
      <w:pPr>
        <w:spacing w:after="0" w:line="32" w:lineRule="exact"/>
        <w:rPr>
          <w:sz w:val="20"/>
          <w:szCs w:val="20"/>
          <w:color w:val="auto"/>
        </w:rPr>
      </w:pPr>
    </w:p>
    <w:p>
      <w:pPr>
        <w:jc w:val="both"/>
        <w:ind w:left="2080" w:right="1739" w:hanging="116"/>
        <w:spacing w:after="0" w:line="263" w:lineRule="auto"/>
        <w:tabs>
          <w:tab w:leader="none" w:pos="20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650,000 shares of our common stock reserved for issuance under our ESPP, which will become effective once the registration statement of which this prospectus forms a part is declared effective, as well as any future automatic annual increases in the number of shares of common stock reserved for future issuance under our ESPP, as more fully described in the section titled “Executive Compensation—Equity​ Benefit Plans;” and</w:t>
      </w:r>
    </w:p>
    <w:p>
      <w:pPr>
        <w:spacing w:after="0" w:line="49"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163,131 shares of our common stock issuable upon the exercise of stock options granted to certain of our directors and officers under our 2024 Plan, which will become effective in connection with this offering, at an exercise price per share equal to the initial public offering price in this offering.</w:t>
      </w:r>
    </w:p>
    <w:p>
      <w:pPr>
        <w:spacing w:after="0" w:line="71"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To the extent that any outstanding options are exercised or new options are issued under our stock-based compensation plans, or we issue additional shares of common stock in the future, there will be further dilution to new investors participating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86" w:name="page87"/>
    <w:bookmarkEnd w:id="86"/>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MANAGEMENT’S DISCUSSION AND ANALYSIS OF FINANCIAL CONDITION AND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86"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i w:val="1"/>
          <w:iCs w:val="1"/>
          <w:color w:val="auto"/>
        </w:rPr>
        <w:t>You should read the following discussion and analysis of our financial condition and results of operations in conjunction with our consolidated financial statements and the related notes, our unaudited interim condensed consolidated financial statements and the related notes, and other financial information included elsewhere in this prospectus. This discussion and analysis and other parts of this prospectus contain forward-looking statements based upon our current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the section titled “Risk Factors” and elsewhere in this prospectus. You should carefully read the section titled “Risk Factors” to gain an understanding of the important factors that could cause actual results to differ materially from our forward-looking statements. Please also see the section titled “Special Note Regarding Forward-Looking Statements.”</w:t>
      </w:r>
    </w:p>
    <w:p>
      <w:pPr>
        <w:spacing w:after="0" w:line="27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02"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Our mission is to significantly improve the lives of patients by replacing broad immunosuppression with targeted therapies. Our name, Alumis, captures our mission to enlighten immunology, and is inspired by the words “allumer”—French for illuminate—and “immunis”—Latin for the immune system.</w:t>
      </w:r>
    </w:p>
    <w:p>
      <w:pPr>
        <w:spacing w:after="0" w:line="67"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We are a clinical stage biopharmaceutical company with an initial focus on developing our two Tyrosine Kinase 2 (TYK2) inhibitors: ESK-001, a second-generation inhibitor that we are developing to maximize target inhibition and optimize tolerability, and A- 005, a central nervous system (CNS) penetrant molecule. ESK-001 has demonstrated significant therapeutic effect in our Phase 2 program in patients with PsO, which we define as moderate-to-severe plaque psoriasis (PsO), and is currently being evaluated in an additional Phase 2 clinical trial in patients with systemic lupus erythematosus (SLE), for which we expect to report results in 2026. With the favorable results in our Phase 2 clinical trial in PsO, we intend to initiate multiple Phase 3 clinical trials of ESK-001 in the second half of 2024 in this indication. TYK2 genetic mutations are associated with a strong protective effect in multiple sclerosis, motivating us to develop our second product candidate, A-005, as a CNS-penetrant, allosteric TYK2 inhibitor for neuroinflammatory and neurodegenerative diseases. In April 2024, we initiated our Phase 1 program of A-005 in healthy volunteers and expect to report initial results by the end of 2024.</w:t>
      </w:r>
    </w:p>
    <w:p>
      <w:pPr>
        <w:spacing w:after="0" w:line="221"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Alumis was incubated by Foresite Labs and incorporated on January 29, 2021 as a Delaware corporation under the name FL2021-001, Inc. FL2021-001, Inc.’s name was changed to Esker Therapeutics, Inc. in March 2021 and to Alumis Inc. in January 2022.</w:t>
      </w:r>
    </w:p>
    <w:p>
      <w:pPr>
        <w:spacing w:after="0" w:line="67"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Since our inception, we have devoted substantially all of our efforts to organizing our company, hiring personnel, business planning, acquiring and developing our product candidates, performing research and development, conducting preclinical studies and clinical trials, establishing and protecting our intellectual property portfolio, raising capital and providing general and administrative support for these activities. We do not have any products approved for sale and have not generated any revenue from product sales. We expect to continue to incur significant and increasing expenses and increasing substantial losses for the foreseeable future as we continue our development of and seek regulatory approvals for our product candidates and commercialize any approved products, seek to expand our product pipeline and invest in our organization. Our ability to achieve and sustain profitability will depend on our ability to successfully develop, obtain regulatory approval for and commercialize our product candidates. There can be no assurance that we will ever earn revenue or achieve profitability, or if achieved, that the revenue or profitability will be sustained on a continuing basis.</w:t>
      </w:r>
    </w:p>
    <w:p>
      <w:pPr>
        <w:spacing w:after="0" w:line="227"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To date, we have primarily funded our operations with proceeds from sales of shares of our redeemable convertible preferred stock and the issuance of convertible promissory notes in private placements. As of March 31, 2024, we had $133.7 million in cash, cash equivalents and marketable securities.</w:t>
      </w:r>
    </w:p>
    <w:p>
      <w:pPr>
        <w:spacing w:after="0" w:line="62"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color w:val="auto"/>
        </w:rPr>
        <w:t>We have incurred significant operating losses and negative cash flows since our inception. Our net loss for the years ended December 31, 2022 and 2023 was $111.9 million and $155.0 million, respectively. Our net loss for the three months ended March 31, 2023 and 2024 was $36.0 million and $49.8 million, respectively. As of</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7" w:name="page88"/>
    <w:bookmarkEnd w:id="8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March 31, 2024, we had an accumulated deficit of $414.2 million. Substantially all of our net losses have resulted from costs incurred in connection with our research and development efforts, including acquisitions of in-process research and development assets, and, to a lesser extent, from general and administrative costs associated with our operations. Our net losses and operating losses may fluctuate from quarter to quarter and year to year depending primarily on the timing of acquisition of any new product candidates, the timing of our preclinical studies and clinical trials, our other research and development expenses, and the timing and amount of any milestone or royalty payments due under our existing or future license agreements. In addition, following the closing of this offering, we expect to incur additional costs associated with operating as a public company, including significant legal, audit, accounting, regulatory and tax-related services associated with maintaining compliance with exchange listing and SEC requirements, director and officer liability insurance costs, investor and public relations costs, and other expenses that we did not incur as a private company.</w:t>
      </w:r>
    </w:p>
    <w:p>
      <w:pPr>
        <w:spacing w:after="0" w:line="217"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We anticipate that our expense will increase significantly in connection with our ongoing activities, particularly if and as we:</w:t>
      </w:r>
    </w:p>
    <w:p>
      <w:pPr>
        <w:spacing w:after="0" w:line="32" w:lineRule="exact"/>
        <w:rPr>
          <w:sz w:val="20"/>
          <w:szCs w:val="20"/>
          <w:color w:val="auto"/>
        </w:rPr>
      </w:pPr>
    </w:p>
    <w:p>
      <w:pPr>
        <w:ind w:left="2080" w:hanging="116"/>
        <w:spacing w:after="0"/>
        <w:tabs>
          <w:tab w:leader="none" w:pos="20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 to progress the development of our product candidates in multiple clinical trials in parallel;</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explore additional indications for our existing product candidates;</w:t>
      </w:r>
    </w:p>
    <w:p>
      <w:pPr>
        <w:spacing w:after="0" w:line="72"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hire additional clinical and scientific personnel;</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maintain, expand and protect our intellectual property rights;</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royalty, milestone, or other payments under our existing acquisition agreements and any future license or collaboration agreements;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seek to identify, acquire or in-license new technologies or product candidates;</w:t>
      </w:r>
    </w:p>
    <w:p>
      <w:pPr>
        <w:spacing w:after="0" w:line="72"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seek regulatory and marketing approvals for any of our product candidates that successfully complete clinical trials, if any;</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procure manufacturing and supply chain capacity for our product candidates, including commercial manufacturing readiness and scale-up;</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experience any delays, challenges or other issues associated with the clinical development and regulatory approvals of our product candidates;</w:t>
      </w:r>
    </w:p>
    <w:p>
      <w:pPr>
        <w:spacing w:after="0" w:line="31"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 operational, legal, financial and management information systems and personnel to support our product development, clinical execution and planned future commercialization efforts, as well as to support our transition to a public company;</w:t>
      </w:r>
    </w:p>
    <w:p>
      <w:pPr>
        <w:spacing w:after="0" w:line="34"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 a sales, marketing and distribution infrastructure to commercialize any product candidates for which we obtain marketing approval; and</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operate as a public company.</w:t>
      </w:r>
    </w:p>
    <w:p>
      <w:pPr>
        <w:spacing w:after="0" w:line="109" w:lineRule="exact"/>
        <w:rPr>
          <w:sz w:val="20"/>
          <w:szCs w:val="20"/>
          <w:color w:val="auto"/>
        </w:rPr>
      </w:pPr>
    </w:p>
    <w:p>
      <w:pPr>
        <w:jc w:val="both"/>
        <w:ind w:left="1720" w:right="1739"/>
        <w:spacing w:after="0" w:line="245" w:lineRule="auto"/>
        <w:rPr>
          <w:sz w:val="20"/>
          <w:szCs w:val="20"/>
          <w:color w:val="auto"/>
        </w:rPr>
      </w:pPr>
      <w:r>
        <w:rPr>
          <w:rFonts w:ascii="Times New Roman" w:cs="Times New Roman" w:eastAsia="Times New Roman" w:hAnsi="Times New Roman"/>
          <w:sz w:val="12"/>
          <w:szCs w:val="12"/>
          <w:color w:val="auto"/>
        </w:rPr>
        <w:t>We do not have any products approved for sale and have not generated any revenue from product sales since our inception. We do not expect to generate revenue from any product candidates that we develop until we obtain regulatory approval for one or more of such product candidates and commercialize our products or enter into collaboration agreements with third parties. Because of the numerous risks and uncertainties associated with biopharmaceutical product development, we may never achieve or sustain profitability and, unless and until we are able to develop and commercialize our product candidates, we will need to continue to raise additional capital. Until such time as we can generate significant revenue from product sales, if ever, we expect to finance our operations through public or private equity or debt financings, or potentially other capital sources, such as collaboration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collaboration or licensing arrangements with third parties or other strategic transactions, we may</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88" w:name="page89"/>
    <w:bookmarkEnd w:id="8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have to relinquish rights to our intellectual property, future revenue streams, research programs, or product candidates or grant licenses on terms that may not be favorable to us.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pacing w:after="0" w:line="77"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We do not currently own or operate any manufacturing facility. We rely on contract manufacturing organizations (CMOs) to produce our product candidates in accordance with the FDA’s current cGMP regulations for use in our clinical studies. We have entered into development and manufacturing agreements with various CMOs relating to process development, manufacturing of drug substance and drug product, and quality testing of our product candidates. We expect to rely on our CMOs in the future for the manufacturing of our product candidates in order to expedite readiness for future clinical trials. Most of these CMOs have demonstrated capability in preparation of materials for commercialization. Additionally, we may decide to build our own manufacturing facility in the future to provide us greater flexibility and control over our clinical or commercial manufacturing needs.</w:t>
      </w:r>
    </w:p>
    <w:p>
      <w:pPr>
        <w:spacing w:after="0" w:line="228"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Given our stage of development, we do not yet have a marketing or sales organization or commercial infrastructure; however, we intend to build the necessary sales, marketing and commercialization capabilities and infrastructure over time as our product candidates advance through clinical development. We expect to spend a significant amount in commercial development and marketing costs prior to obtaining regulatory and marketing approval of one or more of our product candidates.</w:t>
      </w:r>
    </w:p>
    <w:p>
      <w:pPr>
        <w:spacing w:after="0" w:line="1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Macroeconomic Trends</w:t>
      </w:r>
    </w:p>
    <w:p>
      <w:pPr>
        <w:spacing w:after="0" w:line="102"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Unfavorable conditions in the economy in the United States and abroad may negatively affect the growth of our business and our results of operations. For example, macroeconomic events, including, rising inflation, tensions in U.S.-China relations, the U.S. Federal Reserve raising interest rates, recent and potential future disruptions in access to bank deposits and lending commitments due to bank failures and the effects of the ongoing geopolitical conflicts in Ukraine and Israel and the surrounding areas, have led to economic uncertainty and volatility globally. The effect of macroeconomic conditions may not be fully reflected in our results of operations until future periods. Moreover, negative macroeconomic conditions could adversely impact our ability to obtain financing in the future on terms acceptable to us, or at all. In addition, the geopolitical instability and related sanctions could continue to have significant ramifications on global financial markets, including volatility in the U.S. and global financial markets. To date, the macroeconomic trends discussed above have not had a material adverse impact on our business, financial condition or results of operations. If, however, economic uncertainty increases or the global economy worsens, our business, financial condition and results of operations may be harmed.</w:t>
      </w:r>
    </w:p>
    <w:p>
      <w:pPr>
        <w:spacing w:after="0" w:line="27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Components of Results of Operations</w:t>
      </w:r>
    </w:p>
    <w:p>
      <w:pPr>
        <w:spacing w:after="0" w:line="8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b w:val="1"/>
          <w:bCs w:val="1"/>
          <w:color w:val="auto"/>
        </w:rPr>
        <w:t>Operating Expenses</w:t>
      </w:r>
    </w:p>
    <w:p>
      <w:pPr>
        <w:spacing w:after="0" w:line="111"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Our operating expenses consist of (i) research and development expenses and (ii) general and administrative expenses.</w:t>
      </w:r>
    </w:p>
    <w:p>
      <w:pPr>
        <w:spacing w:after="0" w:line="10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i w:val="1"/>
          <w:iCs w:val="1"/>
          <w:color w:val="auto"/>
        </w:rPr>
        <w:t>Research and Development Expenses</w:t>
      </w:r>
    </w:p>
    <w:p>
      <w:pPr>
        <w:spacing w:after="0" w:line="111"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Research and development expenses consist of external and internal costs primarily related to acquiring and developing our research pipeline and technologies and clinical development of our product candidates.</w:t>
      </w:r>
    </w:p>
    <w:p>
      <w:pPr>
        <w:spacing w:after="0" w:line="5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External costs include:</w:t>
      </w:r>
    </w:p>
    <w:p>
      <w:pPr>
        <w:spacing w:after="0" w:line="91" w:lineRule="exact"/>
        <w:rPr>
          <w:sz w:val="20"/>
          <w:szCs w:val="20"/>
          <w:color w:val="auto"/>
        </w:rPr>
      </w:pPr>
    </w:p>
    <w:p>
      <w:pPr>
        <w:jc w:val="both"/>
        <w:ind w:left="2080" w:right="1739" w:hanging="116"/>
        <w:spacing w:after="0" w:line="283" w:lineRule="auto"/>
        <w:tabs>
          <w:tab w:leader="none" w:pos="20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associated with acquiring technology and intellectual property licenses that have no alternative future uses and costs incurred under in-license or assignment agreements, including milestone payments;</w:t>
      </w:r>
    </w:p>
    <w:p>
      <w:pPr>
        <w:spacing w:after="0" w:line="187" w:lineRule="exact"/>
        <w:rPr>
          <w:rFonts w:ascii="Times New Roman" w:cs="Times New Roman" w:eastAsia="Times New Roman" w:hAnsi="Times New Roman"/>
          <w:sz w:val="12"/>
          <w:szCs w:val="12"/>
          <w:color w:val="auto"/>
        </w:rPr>
      </w:pPr>
    </w:p>
    <w:p>
      <w:pPr>
        <w:ind w:left="2080" w:right="1739" w:hanging="116"/>
        <w:spacing w:after="0" w:line="265" w:lineRule="auto"/>
        <w:tabs>
          <w:tab w:leader="none" w:pos="20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expenses incurred in connection with the discovery and preclinical development of our pipeline programs;</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9" w:name="page90"/>
    <w:bookmarkEnd w:id="8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2080" w:right="1739" w:hanging="116"/>
        <w:spacing w:after="0" w:line="270" w:lineRule="auto"/>
        <w:tabs>
          <w:tab w:leader="none" w:pos="208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incurred in connection with the clinical development of our product candidates, including under agreements with clinical research organizations (CROs), CMOs and other third parties that conduct clinical trials and manufacture clinical supplies, product candidates and components on our behalf; and</w:t>
      </w:r>
    </w:p>
    <w:p>
      <w:pPr>
        <w:spacing w:after="0" w:line="193"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for third-party professional research and development consulting services.</w:t>
      </w:r>
    </w:p>
    <w:p>
      <w:pPr>
        <w:spacing w:after="0" w:line="10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Internal costs include:</w:t>
      </w:r>
    </w:p>
    <w:p>
      <w:pPr>
        <w:spacing w:after="0" w:line="82" w:lineRule="exact"/>
        <w:rPr>
          <w:sz w:val="20"/>
          <w:szCs w:val="20"/>
          <w:color w:val="auto"/>
        </w:rPr>
      </w:pPr>
    </w:p>
    <w:p>
      <w:pPr>
        <w:ind w:left="2080" w:right="1739" w:hanging="116"/>
        <w:spacing w:after="0" w:line="291" w:lineRule="auto"/>
        <w:tabs>
          <w:tab w:leader="none" w:pos="208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research and development personnel-related costs, including salaries, annual bonuses, benefits, travel and meals expenses and stock-based compensation expense; and</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allocated facilities and other overhead costs, including software licenses, computer supplies and accessories and other miscellaneous expenses.</w:t>
      </w:r>
    </w:p>
    <w:p>
      <w:pPr>
        <w:spacing w:after="0" w:line="50" w:lineRule="exact"/>
        <w:rPr>
          <w:sz w:val="20"/>
          <w:szCs w:val="20"/>
          <w:color w:val="auto"/>
        </w:rPr>
      </w:pPr>
    </w:p>
    <w:p>
      <w:pPr>
        <w:jc w:val="both"/>
        <w:ind w:left="1720" w:right="1739"/>
        <w:spacing w:after="0" w:line="253" w:lineRule="auto"/>
        <w:rPr>
          <w:sz w:val="20"/>
          <w:szCs w:val="20"/>
          <w:color w:val="auto"/>
        </w:rPr>
      </w:pPr>
      <w:r>
        <w:rPr>
          <w:rFonts w:ascii="Times New Roman" w:cs="Times New Roman" w:eastAsia="Times New Roman" w:hAnsi="Times New Roman"/>
          <w:sz w:val="12"/>
          <w:szCs w:val="12"/>
          <w:color w:val="auto"/>
        </w:rPr>
        <w:t>We have acquired and may continue to acquire the rights to develop and commercialize new product candidates. Upfront and milestone payments are accrued for and expensed as in process research and development (IPRD) assets expense when the achievement of the milestone is probable up to the point of regulatory approval and, absent obtaining such approval, have no alternative future use. Milestone payments made after a product’s regulatory approval will be capitalized and amortized over the remaining useful life of the related product.</w:t>
      </w:r>
    </w:p>
    <w:p>
      <w:pPr>
        <w:spacing w:after="0" w:line="216"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We expense research and development costs as incurred. Costs of certain activities are recognized based on an evaluation of the progress to completion of specific tasks. However, payments made prior to the receipt of goods or services that will be used or rendered for future research and development activities are deferred and capitalized as research and development prepaid expenses on our consolidated balance sheets. The capitalized amounts are recognized as expense as the goods are delivered or services are performed. Since our inception and through March 31, 2024, our external research and development expenses were primarily related to the discovery and advancement of programs under our TYK2 platform, including our two most advanced product candidates, ESK-001 and A-005. We use internal resources primarily for managing our research, process development, manufacturing and clinical development activities. In particular, with respect to internal costs, we deploy our personnel across all of our research and development activities as our employees work across multiple programs, and therefore the costs cannot be allocated to a particular product candidate or research program. In 2023, we began tracking external costs by program.</w:t>
      </w:r>
    </w:p>
    <w:p>
      <w:pPr>
        <w:spacing w:after="0" w:line="79"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We expect our research and development expenses to increase substantially for the foreseeable future as we advance our product candidates into and through clinical trials, pursue regulatory approval of our product candidates, build our operational and commercial capabilities for marketing our products, if approved, and expand our pipeline of product candidates. The process of conducting the necessary clinical research to obtain regulatory approval is time -consuming, expensive and uncertain. The actual probability of success for our product candidates may be affected by a variety of factors, including the safety and efficacy of our product candidates, clinical data, investment in our clinical programs, competition, manufacturability and commercial viability. It is possible that we may never receive regulatory approval for any of our product candidates. As a result of the uncertainties discussed above, we are unable to determine the duration and completion of costs of our research and development projects or if, when and to what extent we will generate revenue from the commercialization and sale of our product candidates, if approved by the FDA and other comparable foreign regulatory authorities.</w:t>
      </w:r>
    </w:p>
    <w:p>
      <w:pPr>
        <w:spacing w:after="0" w:line="2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Our future research and development costs may vary significantly based on factors such as:</w:t>
      </w:r>
    </w:p>
    <w:p>
      <w:pPr>
        <w:spacing w:after="0" w:line="82" w:lineRule="exact"/>
        <w:rPr>
          <w:sz w:val="20"/>
          <w:szCs w:val="20"/>
          <w:color w:val="auto"/>
        </w:rPr>
      </w:pPr>
    </w:p>
    <w:p>
      <w:pPr>
        <w:ind w:left="2080" w:hanging="116"/>
        <w:spacing w:after="0"/>
        <w:tabs>
          <w:tab w:leader="none" w:pos="20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and progress of our preclinical and clinical development activities;</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and scope of preclinical and clinical programs we decide to pursue;</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and timing of manufacturing of our product candidates</w:t>
      </w:r>
    </w:p>
    <w:p>
      <w:pPr>
        <w:spacing w:after="0" w:line="72"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and timing of any milestone payment due under our existing asset acquisition agreements and any future license or collaboration agreements;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patients that participate in our clinical trials, and per participant clinical trial costs;</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and duration of clinical trials required for approval of our product candidates;</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90" w:name="page91"/>
    <w:bookmarkEnd w:id="9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ind w:left="2080" w:hanging="116"/>
        <w:spacing w:after="0"/>
        <w:tabs>
          <w:tab w:leader="none" w:pos="208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sites included in our clinical trials, and the locations of those sites;</w:t>
      </w:r>
    </w:p>
    <w:p>
      <w:pPr>
        <w:spacing w:after="0" w:line="100"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or difficulties in adding trial sites and enrolling participants;</w:t>
      </w:r>
    </w:p>
    <w:p>
      <w:pPr>
        <w:spacing w:after="0" w:line="90"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patient drop-out or discontinuation rates;</w:t>
      </w:r>
    </w:p>
    <w:p>
      <w:pPr>
        <w:spacing w:after="0" w:line="100"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additional safety monitoring if requested by regulatory authorities;</w:t>
      </w:r>
    </w:p>
    <w:p>
      <w:pPr>
        <w:spacing w:after="0" w:line="100"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phase of development of our product candidates;</w:t>
      </w:r>
    </w:p>
    <w:p>
      <w:pPr>
        <w:spacing w:after="0" w:line="90"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receipt and terms of any approvals from applicable regulatory authorities including the FDA and comparable foreign regulatory authorities;</w:t>
      </w:r>
    </w:p>
    <w:p>
      <w:pPr>
        <w:spacing w:after="0" w:line="50"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maintaining a continued acceptable safety profile of our product candidates following approval, if any, of our product candidates;</w:t>
      </w:r>
    </w:p>
    <w:p>
      <w:pPr>
        <w:spacing w:after="0" w:line="40"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competitive outlook;</w:t>
      </w:r>
    </w:p>
    <w:p>
      <w:pPr>
        <w:spacing w:after="0" w:line="100"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to which we establish additional strategic collaborations or other arrangements; and</w:t>
      </w:r>
    </w:p>
    <w:p>
      <w:pPr>
        <w:spacing w:after="0" w:line="100"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any business interruptions to our operations or to those of the third parties with whom we work.</w:t>
      </w:r>
    </w:p>
    <w:p>
      <w:pPr>
        <w:spacing w:after="0" w:line="50" w:lineRule="exact"/>
        <w:rPr>
          <w:sz w:val="20"/>
          <w:szCs w:val="20"/>
          <w:color w:val="auto"/>
        </w:rPr>
      </w:pPr>
    </w:p>
    <w:p>
      <w:pPr>
        <w:jc w:val="both"/>
        <w:ind w:left="1720" w:right="1739"/>
        <w:spacing w:after="0" w:line="305" w:lineRule="auto"/>
        <w:rPr>
          <w:sz w:val="20"/>
          <w:szCs w:val="20"/>
          <w:color w:val="auto"/>
        </w:rPr>
      </w:pPr>
      <w:r>
        <w:rPr>
          <w:rFonts w:ascii="Times New Roman" w:cs="Times New Roman" w:eastAsia="Times New Roman" w:hAnsi="Times New Roman"/>
          <w:sz w:val="12"/>
          <w:szCs w:val="12"/>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i w:val="1"/>
          <w:iCs w:val="1"/>
          <w:color w:val="auto"/>
        </w:rPr>
        <w:t>General and Administrative Expenses</w:t>
      </w:r>
    </w:p>
    <w:p>
      <w:pPr>
        <w:spacing w:after="0" w:line="111" w:lineRule="exact"/>
        <w:rPr>
          <w:sz w:val="20"/>
          <w:szCs w:val="20"/>
          <w:color w:val="auto"/>
        </w:r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color w:val="auto"/>
        </w:rPr>
        <w:t>Our general and administrative expenses consist primarily of personnel-related costs, legal and consulting services, including those relating to intellectual property and corporate matters, marketing expenses and allocated facilities and other overhead costs, including software licenses, computer supplies, insurance and other miscellaneous expenses. Personnel-related costs include salaries, annual bonuses, benefits, travel and meal expenses and stock-based compensation expense for our general and administrative personnel.</w:t>
      </w:r>
    </w:p>
    <w:p>
      <w:pPr>
        <w:spacing w:after="0" w:line="82" w:lineRule="exact"/>
        <w:rPr>
          <w:sz w:val="20"/>
          <w:szCs w:val="20"/>
          <w:color w:val="auto"/>
        </w:rPr>
      </w:pPr>
    </w:p>
    <w:p>
      <w:pPr>
        <w:jc w:val="both"/>
        <w:ind w:left="1720" w:right="1739"/>
        <w:spacing w:after="0" w:line="269" w:lineRule="auto"/>
        <w:rPr>
          <w:sz w:val="20"/>
          <w:szCs w:val="20"/>
          <w:color w:val="auto"/>
        </w:rPr>
      </w:pPr>
      <w:r>
        <w:rPr>
          <w:rFonts w:ascii="Times New Roman" w:cs="Times New Roman" w:eastAsia="Times New Roman" w:hAnsi="Times New Roman"/>
          <w:sz w:val="12"/>
          <w:szCs w:val="12"/>
          <w:color w:val="auto"/>
        </w:rPr>
        <w:t>We expect that our general and administrative expenses will increase substantially in the future as a result of expanding our operations, including hiring personnel, preparing for potential commercialization of our product candidates and facility occupancy costs, as well as various incremental costs associated with operating as a public company. We expect that our costs will increase related to legal, audit, accounting fees, consulting fees, regulatory and tax-related services associated with maintaining compliance with exchange listing and SEC requirements, director and officer insurance costs, investor and public relations costs and other expenses that we did not incur as a private company. We also expect to increase the size of our administrative function to support the growth of our business.</w:t>
      </w:r>
    </w:p>
    <w:p>
      <w:pPr>
        <w:spacing w:after="0" w:line="1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b w:val="1"/>
          <w:bCs w:val="1"/>
          <w:color w:val="auto"/>
        </w:rPr>
        <w:t>Other Income (Expense)</w:t>
      </w:r>
    </w:p>
    <w:p>
      <w:pPr>
        <w:spacing w:after="0" w:line="111"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Other income (expense) consists primarily of interest income, including amortization of premiums and accretion of discounts on marketable securities and change in fair value of derivative liability.</w:t>
      </w:r>
    </w:p>
    <w:p>
      <w:pPr>
        <w:spacing w:after="0" w:line="50"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In May 2023 and in March 2024, in connection with our redeemable convertible preferred stock financings, we issued options to purchase additional shares of redeemable convertible preferred stock at a specified price, which were accounted for as derivative liabilities. Changes in fair value of these derivative liabilities are included in the other income (loss) in the interim condensed consolidated statement of operations and comprehensive loss for each reporting period until the derivative is exercised or expires.</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91" w:name="page92"/>
    <w:bookmarkEnd w:id="91"/>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8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b w:val="1"/>
          <w:bCs w:val="1"/>
          <w:color w:val="auto"/>
        </w:rPr>
        <w:t>Comparison of the Periods for the Years Ended December 31, 2022 and 2023</w:t>
      </w:r>
    </w:p>
    <w:p>
      <w:pPr>
        <w:spacing w:after="0" w:line="111" w:lineRule="exact"/>
        <w:rPr>
          <w:sz w:val="20"/>
          <w:szCs w:val="20"/>
          <w:color w:val="auto"/>
        </w:rPr>
      </w:pPr>
    </w:p>
    <w:p>
      <w:pPr>
        <w:ind w:left="1720" w:right="1739"/>
        <w:spacing w:after="0" w:line="306" w:lineRule="auto"/>
        <w:rPr>
          <w:sz w:val="20"/>
          <w:szCs w:val="20"/>
          <w:color w:val="auto"/>
        </w:rPr>
      </w:pPr>
      <w:r>
        <w:rPr>
          <w:rFonts w:ascii="Times New Roman" w:cs="Times New Roman" w:eastAsia="Times New Roman" w:hAnsi="Times New Roman"/>
          <w:sz w:val="12"/>
          <w:szCs w:val="12"/>
          <w:color w:val="auto"/>
        </w:rPr>
        <w:t>The following table summarizes our results of operations for the years ended December 31, 2022 and 2023 (dollars in thousands):</w:t>
      </w:r>
    </w:p>
    <w:p>
      <w:pPr>
        <w:sectPr>
          <w:pgSz w:w="11900" w:h="16838" w:orient="portrait"/>
          <w:cols w:equalWidth="0" w:num="1">
            <w:col w:w="9019"/>
          </w:cols>
          <w:pgMar w:left="1440" w:top="105" w:right="1440" w:bottom="1440" w:gutter="0" w:footer="0" w:header="0"/>
        </w:sectPr>
      </w:pPr>
    </w:p>
    <w:p>
      <w:pPr>
        <w:spacing w:after="0" w:line="9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5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6985</wp:posOffset>
            </wp:positionV>
            <wp:extent cx="3535680" cy="1162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Operating expenses:</w:t>
      </w:r>
    </w:p>
    <w:p>
      <w:pPr>
        <w:spacing w:after="0" w:line="27" w:lineRule="exact"/>
        <w:rPr>
          <w:sz w:val="20"/>
          <w:szCs w:val="20"/>
          <w:color w:val="auto"/>
        </w:rPr>
      </w:pPr>
    </w:p>
    <w:p>
      <w:pPr>
        <w:ind w:left="1840" w:hanging="121"/>
        <w:spacing w:after="0" w:line="272" w:lineRule="auto"/>
        <w:rPr>
          <w:sz w:val="20"/>
          <w:szCs w:val="20"/>
          <w:color w:val="auto"/>
        </w:rPr>
      </w:pPr>
      <w:r>
        <w:rPr>
          <w:rFonts w:ascii="Times New Roman" w:cs="Times New Roman" w:eastAsia="Times New Roman" w:hAnsi="Times New Roman"/>
          <w:sz w:val="12"/>
          <w:szCs w:val="12"/>
          <w:color w:val="auto"/>
        </w:rPr>
        <w:t>Research and development expenses, including related party expenses of $1,570 and $1,519 for the years ended December 31, 2022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-4445</wp:posOffset>
            </wp:positionV>
            <wp:extent cx="3535680" cy="1219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535680" cy="121920"/>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2"/>
          <w:szCs w:val="12"/>
          <w:color w:val="auto"/>
        </w:rPr>
        <w:t>General and administrative expenses</w:t>
      </w:r>
    </w:p>
    <w:p>
      <w:pPr>
        <w:spacing w:after="0" w:line="5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19685</wp:posOffset>
            </wp:positionV>
            <wp:extent cx="3535680" cy="1162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3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Loss from operations</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1104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535680" cy="110490"/>
                    </a:xfrm>
                    <a:prstGeom prst="rect">
                      <a:avLst/>
                    </a:prstGeom>
                    <a:noFill/>
                  </pic:spPr>
                </pic:pic>
              </a:graphicData>
            </a:graphic>
          </wp:anchor>
        </w:drawing>
      </w:r>
    </w:p>
    <w:p>
      <w:pPr>
        <w:spacing w:after="0" w:line="1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Interest income</w:t>
      </w:r>
    </w:p>
    <w:p>
      <w:pPr>
        <w:spacing w:after="0" w:line="3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Change in fair value of derivative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1219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535680" cy="121920"/>
                    </a:xfrm>
                    <a:prstGeom prst="rect">
                      <a:avLst/>
                    </a:prstGeom>
                    <a:noFill/>
                  </pic:spPr>
                </pic:pic>
              </a:graphicData>
            </a:graphic>
          </wp:anchor>
        </w:drawing>
      </w:r>
    </w:p>
    <w:p>
      <w:pPr>
        <w:spacing w:after="0" w:line="1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Other income (expense), net</w:t>
      </w:r>
    </w:p>
    <w:p>
      <w:pPr>
        <w:spacing w:after="0" w:line="5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color w:val="auto"/>
        </w:rPr>
        <w:t>Total 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19685</wp:posOffset>
            </wp:positionV>
            <wp:extent cx="3535680" cy="133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535680" cy="133985"/>
                    </a:xfrm>
                    <a:prstGeom prst="rect">
                      <a:avLst/>
                    </a:prstGeom>
                    <a:noFill/>
                  </pic:spPr>
                </pic:pic>
              </a:graphicData>
            </a:graphic>
          </wp:anchor>
        </w:drawing>
      </w:r>
    </w:p>
    <w:p>
      <w:pPr>
        <w:spacing w:after="0" w:line="4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88900</wp:posOffset>
            </wp:positionV>
            <wp:extent cx="37211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10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12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54"/>
        </w:trPr>
        <w:tc>
          <w:tcPr>
            <w:tcW w:w="10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3"/>
                <w:szCs w:val="13"/>
                <w:color w:val="auto"/>
              </w:rPr>
            </w:pPr>
          </w:p>
        </w:tc>
        <w:tc>
          <w:tcPr>
            <w:tcW w:w="380" w:type="dxa"/>
            <w:vAlign w:val="bottom"/>
          </w:tcPr>
          <w:p>
            <w:pPr>
              <w:jc w:val="right"/>
              <w:ind w:right="103"/>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3"/>
                <w:szCs w:val="13"/>
                <w:color w:val="auto"/>
              </w:rPr>
            </w:pP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3"/>
                <w:szCs w:val="13"/>
                <w:color w:val="auto"/>
              </w:rPr>
            </w:pPr>
          </w:p>
        </w:tc>
        <w:tc>
          <w:tcPr>
            <w:tcW w:w="260" w:type="dxa"/>
            <w:vAlign w:val="bottom"/>
            <w:gridSpan w:val="3"/>
          </w:tcPr>
          <w:p>
            <w:pPr>
              <w:jc w:val="right"/>
              <w:ind w:right="80"/>
              <w:spacing w:after="0" w:line="154" w:lineRule="exact"/>
              <w:rPr>
                <w:sz w:val="20"/>
                <w:szCs w:val="20"/>
                <w:color w:val="auto"/>
              </w:rPr>
            </w:pPr>
            <w:r>
              <w:rPr>
                <w:rFonts w:ascii="Times New Roman" w:cs="Times New Roman" w:eastAsia="Times New Roman" w:hAnsi="Times New Roman"/>
                <w:sz w:val="9"/>
                <w:szCs w:val="9"/>
                <w:b w:val="1"/>
                <w:bCs w:val="1"/>
                <w:color w:val="auto"/>
              </w:rPr>
              <w:t xml:space="preserve">% </w:t>
            </w:r>
            <w:r>
              <w:rPr>
                <w:rFonts w:ascii="Times New Roman" w:cs="Times New Roman" w:eastAsia="Times New Roman" w:hAnsi="Times New Roman"/>
                <w:sz w:val="17"/>
                <w:szCs w:val="17"/>
                <w:b w:val="1"/>
                <w:bCs w:val="1"/>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5"/>
                <w:szCs w:val="15"/>
                <w:color w:val="auto"/>
              </w:rPr>
            </w:pPr>
          </w:p>
        </w:tc>
        <w:tc>
          <w:tcPr>
            <w:tcW w:w="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449"/>
        </w:trPr>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​​$ 101,304​​</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​​$ 137,676​​</w:t>
            </w:r>
          </w:p>
        </w:tc>
        <w:tc>
          <w:tcPr>
            <w:tcW w:w="6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​​$ 36,372​​</w:t>
            </w:r>
          </w:p>
        </w:tc>
        <w:tc>
          <w:tcPr>
            <w:tcW w:w="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0" w:type="dxa"/>
            <w:vAlign w:val="bottom"/>
          </w:tcPr>
          <w:p>
            <w:pPr>
              <w:spacing w:after="0"/>
              <w:rPr>
                <w:sz w:val="1"/>
                <w:szCs w:val="1"/>
                <w:color w:val="auto"/>
              </w:rPr>
            </w:pPr>
          </w:p>
        </w:tc>
      </w:tr>
      <w:tr>
        <w:trPr>
          <w:trHeight w:val="184"/>
        </w:trPr>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80" w:type="dxa"/>
            <w:vAlign w:val="bottom"/>
            <w:gridSpan w:val="3"/>
          </w:tcPr>
          <w:p>
            <w:pPr>
              <w:jc w:val="right"/>
              <w:spacing w:after="0" w:line="184" w:lineRule="exact"/>
              <w:rPr>
                <w:sz w:val="20"/>
                <w:szCs w:val="20"/>
                <w:color w:val="auto"/>
              </w:rPr>
            </w:pPr>
            <w:r>
              <w:rPr>
                <w:rFonts w:ascii="Times New Roman" w:cs="Times New Roman" w:eastAsia="Times New Roman" w:hAnsi="Times New Roman"/>
                <w:sz w:val="11"/>
                <w:szCs w:val="11"/>
                <w:color w:val="auto"/>
              </w:rPr>
              <w:t>12,546</w:t>
            </w:r>
            <w:r>
              <w:rPr>
                <w:rFonts w:ascii="Times New Roman" w:cs="Times New Roman" w:eastAsia="Times New Roman" w:hAnsi="Times New Roman"/>
                <w:sz w:val="21"/>
                <w:szCs w:val="21"/>
                <w:color w:val="auto"/>
                <w:vertAlign w:val="subscript"/>
              </w:rPr>
              <w:t>​​</w:t>
            </w:r>
          </w:p>
        </w:tc>
        <w:tc>
          <w:tcPr>
            <w:tcW w:w="1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8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1"/>
                <w:szCs w:val="11"/>
                <w:color w:val="auto"/>
              </w:rPr>
              <w:t>20,498</w:t>
            </w:r>
            <w:r>
              <w:rPr>
                <w:rFonts w:ascii="Times New Roman" w:cs="Times New Roman" w:eastAsia="Times New Roman" w:hAnsi="Times New Roman"/>
                <w:sz w:val="21"/>
                <w:szCs w:val="21"/>
                <w:color w:val="auto"/>
                <w:vertAlign w:val="subscript"/>
              </w:rPr>
              <w:t>​​</w:t>
            </w:r>
          </w:p>
        </w:tc>
        <w:tc>
          <w:tcPr>
            <w:tcW w:w="2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gridSpan w:val="3"/>
          </w:tcPr>
          <w:p>
            <w:pPr>
              <w:jc w:val="right"/>
              <w:spacing w:after="0" w:line="184" w:lineRule="exact"/>
              <w:rPr>
                <w:sz w:val="20"/>
                <w:szCs w:val="20"/>
                <w:color w:val="auto"/>
              </w:rPr>
            </w:pPr>
            <w:r>
              <w:rPr>
                <w:rFonts w:ascii="Times New Roman" w:cs="Times New Roman" w:eastAsia="Times New Roman" w:hAnsi="Times New Roman"/>
                <w:sz w:val="11"/>
                <w:szCs w:val="11"/>
                <w:color w:val="auto"/>
              </w:rPr>
              <w:t>7,952</w:t>
            </w:r>
            <w:r>
              <w:rPr>
                <w:rFonts w:ascii="Times New Roman" w:cs="Times New Roman" w:eastAsia="Times New Roman" w:hAnsi="Times New Roman"/>
                <w:sz w:val="21"/>
                <w:szCs w:val="21"/>
                <w:color w:val="auto"/>
                <w:vertAlign w:val="subscript"/>
              </w:rPr>
              <w:t>​​</w:t>
            </w:r>
          </w:p>
        </w:tc>
        <w:tc>
          <w:tcPr>
            <w:tcW w:w="80" w:type="dxa"/>
            <w:vAlign w:val="bottom"/>
            <w:gridSpan w:val="2"/>
          </w:tcPr>
          <w:p>
            <w:pPr>
              <w:spacing w:after="0" w:line="184"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260" w:type="dxa"/>
            <w:vAlign w:val="bottom"/>
            <w:gridSpan w:val="3"/>
          </w:tcPr>
          <w:p>
            <w:pPr>
              <w:jc w:val="right"/>
              <w:spacing w:after="0" w:line="184" w:lineRule="exact"/>
              <w:rPr>
                <w:sz w:val="20"/>
                <w:szCs w:val="20"/>
                <w:color w:val="auto"/>
              </w:rPr>
            </w:pPr>
            <w:r>
              <w:rPr>
                <w:rFonts w:ascii="Times New Roman" w:cs="Times New Roman" w:eastAsia="Times New Roman" w:hAnsi="Times New Roman"/>
                <w:sz w:val="11"/>
                <w:szCs w:val="11"/>
                <w:color w:val="auto"/>
              </w:rPr>
              <w:t>63</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5"/>
          </w:tcPr>
          <w:p>
            <w:pPr>
              <w:ind w:left="20"/>
              <w:spacing w:after="0" w:line="173"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 113,850</w:t>
            </w:r>
            <w:r>
              <w:rPr>
                <w:rFonts w:ascii="Times New Roman" w:cs="Times New Roman" w:eastAsia="Times New Roman" w:hAnsi="Times New Roman"/>
                <w:sz w:val="19"/>
                <w:szCs w:val="19"/>
                <w:color w:val="auto"/>
                <w:vertAlign w:val="subscript"/>
              </w:rPr>
              <w:t>​​</w:t>
            </w:r>
          </w:p>
        </w:tc>
        <w:tc>
          <w:tcPr>
            <w:tcW w:w="660" w:type="dxa"/>
            <w:vAlign w:val="bottom"/>
            <w:gridSpan w:val="4"/>
          </w:tcPr>
          <w:p>
            <w:pPr>
              <w:ind w:left="20"/>
              <w:spacing w:after="0" w:line="173"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​158,174</w:t>
            </w:r>
            <w:r>
              <w:rPr>
                <w:rFonts w:ascii="Times New Roman" w:cs="Times New Roman" w:eastAsia="Times New Roman" w:hAnsi="Times New Roman"/>
                <w:sz w:val="19"/>
                <w:szCs w:val="19"/>
                <w:color w:val="auto"/>
                <w:vertAlign w:val="subscript"/>
              </w:rPr>
              <w:t>​​</w:t>
            </w:r>
          </w:p>
        </w:tc>
        <w:tc>
          <w:tcPr>
            <w:tcW w:w="620" w:type="dxa"/>
            <w:vAlign w:val="bottom"/>
            <w:gridSpan w:val="5"/>
          </w:tcPr>
          <w:p>
            <w:pPr>
              <w:ind w:left="20"/>
              <w:spacing w:after="0" w:line="173"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 44,324</w:t>
            </w:r>
            <w:r>
              <w:rPr>
                <w:rFonts w:ascii="Times New Roman" w:cs="Times New Roman" w:eastAsia="Times New Roman" w:hAnsi="Times New Roman"/>
                <w:sz w:val="19"/>
                <w:szCs w:val="19"/>
                <w:color w:val="auto"/>
                <w:vertAlign w:val="subscript"/>
              </w:rPr>
              <w:t>​​</w:t>
            </w:r>
          </w:p>
        </w:tc>
        <w:tc>
          <w:tcPr>
            <w:tcW w:w="80" w:type="dxa"/>
            <w:vAlign w:val="bottom"/>
            <w:gridSpan w:val="2"/>
          </w:tcPr>
          <w:p>
            <w:pPr>
              <w:spacing w:after="0" w:line="173"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260" w:type="dxa"/>
            <w:vAlign w:val="bottom"/>
            <w:gridSpan w:val="3"/>
          </w:tcPr>
          <w:p>
            <w:pPr>
              <w:jc w:val="right"/>
              <w:spacing w:after="0" w:line="173" w:lineRule="exact"/>
              <w:rPr>
                <w:sz w:val="20"/>
                <w:szCs w:val="20"/>
                <w:color w:val="auto"/>
              </w:rPr>
            </w:pPr>
            <w:r>
              <w:rPr>
                <w:rFonts w:ascii="Times New Roman" w:cs="Times New Roman" w:eastAsia="Times New Roman" w:hAnsi="Times New Roman"/>
                <w:sz w:val="10"/>
                <w:szCs w:val="10"/>
                <w:color w:val="auto"/>
              </w:rPr>
              <w:t>39</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 ​(113,850​​)</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 ​(158,174​​)</w:t>
            </w:r>
          </w:p>
        </w:tc>
        <w:tc>
          <w:tcPr>
            <w:tcW w:w="62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 ​(44,324​​)</w:t>
            </w:r>
          </w:p>
        </w:tc>
        <w:tc>
          <w:tcPr>
            <w:tcW w:w="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171"/>
        </w:trPr>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4"/>
                <w:szCs w:val="14"/>
                <w:color w:val="auto"/>
              </w:rPr>
            </w:pPr>
          </w:p>
        </w:tc>
        <w:tc>
          <w:tcPr>
            <w:tcW w:w="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1,992​​</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3,368​​</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1,376​​</w:t>
            </w:r>
          </w:p>
        </w:tc>
        <w:tc>
          <w:tcPr>
            <w:tcW w:w="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0" w:type="dxa"/>
            <w:vAlign w:val="bottom"/>
          </w:tcPr>
          <w:p>
            <w:pPr>
              <w:spacing w:after="0"/>
              <w:rPr>
                <w:sz w:val="1"/>
                <w:szCs w:val="1"/>
                <w:color w:val="auto"/>
              </w:rPr>
            </w:pPr>
          </w:p>
        </w:tc>
      </w:tr>
      <w:tr>
        <w:trPr>
          <w:trHeight w:val="174"/>
        </w:trPr>
        <w:tc>
          <w:tcPr>
            <w:tcW w:w="2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 ​​ ​</w:t>
            </w:r>
          </w:p>
        </w:tc>
        <w:tc>
          <w:tcPr>
            <w:tcW w:w="22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3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23"/>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ind w:left="20"/>
              <w:spacing w:after="0" w:line="12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260" w:type="dxa"/>
            <w:vAlign w:val="bottom"/>
            <w:gridSpan w:val="2"/>
          </w:tcPr>
          <w:p>
            <w:pPr>
              <w:jc w:val="right"/>
              <w:ind w:right="19"/>
              <w:spacing w:after="0" w:line="123" w:lineRule="exact"/>
              <w:rPr>
                <w:sz w:val="20"/>
                <w:szCs w:val="20"/>
                <w:color w:val="auto"/>
              </w:rPr>
            </w:pPr>
            <w:r>
              <w:rPr>
                <w:rFonts w:ascii="Times New Roman" w:cs="Times New Roman" w:eastAsia="Times New Roman" w:hAnsi="Times New Roman"/>
                <w:sz w:val="12"/>
                <w:szCs w:val="12"/>
                <w:color w:val="auto"/>
                <w:w w:val="89"/>
              </w:rPr>
              <w:t>(72)</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ind w:left="20"/>
              <w:spacing w:after="0" w:line="123"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17"/>
              <w:spacing w:after="0" w:line="123" w:lineRule="exact"/>
              <w:rPr>
                <w:sz w:val="20"/>
                <w:szCs w:val="20"/>
                <w:color w:val="auto"/>
              </w:rPr>
            </w:pPr>
            <w:r>
              <w:rPr>
                <w:rFonts w:ascii="Times New Roman" w:cs="Times New Roman" w:eastAsia="Times New Roman" w:hAnsi="Times New Roman"/>
                <w:sz w:val="12"/>
                <w:szCs w:val="12"/>
                <w:color w:val="auto"/>
              </w:rPr>
              <w:t>(68)</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20"/>
              <w:spacing w:after="0" w:line="12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120" w:type="dxa"/>
            <w:vAlign w:val="bottom"/>
          </w:tcPr>
          <w:p>
            <w:pPr>
              <w:jc w:val="right"/>
              <w:spacing w:after="0" w:line="123" w:lineRule="exact"/>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line="12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10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jc w:val="right"/>
              <w:spacing w:after="0" w:line="46"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jc w:val="right"/>
              <w:spacing w:after="0" w:line="46"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jc w:val="right"/>
              <w:spacing w:after="0" w:line="46" w:lineRule="exact"/>
              <w:rPr>
                <w:sz w:val="20"/>
                <w:szCs w:val="20"/>
                <w:color w:val="auto"/>
              </w:rPr>
            </w:pPr>
            <w:r>
              <w:rPr>
                <w:rFonts w:ascii="Times New Roman" w:cs="Times New Roman" w:eastAsia="Times New Roman" w:hAnsi="Times New Roman"/>
                <w:sz w:val="5"/>
                <w:szCs w:val="5"/>
                <w:color w:val="auto"/>
              </w:rPr>
              <w:t>​​</w:t>
            </w:r>
          </w:p>
        </w:tc>
        <w:tc>
          <w:tcPr>
            <w:tcW w:w="80" w:type="dxa"/>
            <w:vAlign w:val="bottom"/>
            <w:gridSpan w:val="2"/>
          </w:tcPr>
          <w:p>
            <w:pPr>
              <w:spacing w:after="0" w:line="46" w:lineRule="exact"/>
              <w:rPr>
                <w:sz w:val="20"/>
                <w:szCs w:val="20"/>
                <w:color w:val="auto"/>
              </w:rPr>
            </w:pPr>
            <w:r>
              <w:rPr>
                <w:rFonts w:ascii="Times New Roman" w:cs="Times New Roman" w:eastAsia="Times New Roman" w:hAnsi="Times New Roman"/>
                <w:sz w:val="5"/>
                <w:szCs w:val="5"/>
                <w:color w:val="auto"/>
              </w:rPr>
              <w:t>​​</w:t>
            </w:r>
          </w:p>
        </w:tc>
        <w:tc>
          <w:tcPr>
            <w:tcW w:w="140" w:type="dxa"/>
            <w:vAlign w:val="bottom"/>
          </w:tcPr>
          <w:p>
            <w:pPr>
              <w:spacing w:after="0"/>
              <w:rPr>
                <w:sz w:val="3"/>
                <w:szCs w:val="3"/>
                <w:color w:val="auto"/>
              </w:rPr>
            </w:pPr>
          </w:p>
        </w:tc>
        <w:tc>
          <w:tcPr>
            <w:tcW w:w="120" w:type="dxa"/>
            <w:vAlign w:val="bottom"/>
            <w:gridSpan w:val="2"/>
          </w:tcPr>
          <w:p>
            <w:pPr>
              <w:jc w:val="right"/>
              <w:ind w:right="80"/>
              <w:spacing w:after="0" w:line="46"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80" w:type="dxa"/>
            <w:vAlign w:val="bottom"/>
            <w:gridSpan w:val="3"/>
          </w:tcPr>
          <w:p>
            <w:pPr>
              <w:jc w:val="right"/>
              <w:spacing w:after="0" w:line="173" w:lineRule="exact"/>
              <w:rPr>
                <w:sz w:val="20"/>
                <w:szCs w:val="20"/>
                <w:color w:val="auto"/>
              </w:rPr>
            </w:pPr>
            <w:r>
              <w:rPr>
                <w:rFonts w:ascii="Times New Roman" w:cs="Times New Roman" w:eastAsia="Times New Roman" w:hAnsi="Times New Roman"/>
                <w:sz w:val="10"/>
                <w:szCs w:val="10"/>
                <w:color w:val="auto"/>
              </w:rPr>
              <w:t>1,920</w:t>
            </w:r>
            <w:r>
              <w:rPr>
                <w:rFonts w:ascii="Times New Roman" w:cs="Times New Roman" w:eastAsia="Times New Roman" w:hAnsi="Times New Roman"/>
                <w:sz w:val="19"/>
                <w:szCs w:val="19"/>
                <w:color w:val="auto"/>
                <w:vertAlign w:val="subscript"/>
              </w:rPr>
              <w:t>​​</w:t>
            </w:r>
          </w:p>
        </w:tc>
        <w:tc>
          <w:tcPr>
            <w:tcW w:w="18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8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0"/>
                <w:szCs w:val="10"/>
                <w:color w:val="auto"/>
              </w:rPr>
              <w:t>3,181</w:t>
            </w:r>
            <w:r>
              <w:rPr>
                <w:rFonts w:ascii="Times New Roman" w:cs="Times New Roman" w:eastAsia="Times New Roman" w:hAnsi="Times New Roman"/>
                <w:sz w:val="19"/>
                <w:szCs w:val="19"/>
                <w:color w:val="auto"/>
                <w:vertAlign w:val="subscript"/>
              </w:rPr>
              <w:t>​​</w:t>
            </w:r>
          </w:p>
        </w:tc>
        <w:tc>
          <w:tcPr>
            <w:tcW w:w="20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20" w:type="dxa"/>
            <w:vAlign w:val="bottom"/>
            <w:gridSpan w:val="3"/>
          </w:tcPr>
          <w:p>
            <w:pPr>
              <w:jc w:val="right"/>
              <w:spacing w:after="0" w:line="173" w:lineRule="exact"/>
              <w:rPr>
                <w:sz w:val="20"/>
                <w:szCs w:val="20"/>
                <w:color w:val="auto"/>
              </w:rPr>
            </w:pPr>
            <w:r>
              <w:rPr>
                <w:rFonts w:ascii="Times New Roman" w:cs="Times New Roman" w:eastAsia="Times New Roman" w:hAnsi="Times New Roman"/>
                <w:sz w:val="10"/>
                <w:szCs w:val="10"/>
                <w:color w:val="auto"/>
              </w:rPr>
              <w:t>1,261</w:t>
            </w:r>
            <w:r>
              <w:rPr>
                <w:rFonts w:ascii="Times New Roman" w:cs="Times New Roman" w:eastAsia="Times New Roman" w:hAnsi="Times New Roman"/>
                <w:sz w:val="19"/>
                <w:szCs w:val="19"/>
                <w:color w:val="auto"/>
                <w:vertAlign w:val="subscript"/>
              </w:rPr>
              <w:t>​​</w:t>
            </w:r>
          </w:p>
        </w:tc>
        <w:tc>
          <w:tcPr>
            <w:tcW w:w="80" w:type="dxa"/>
            <w:vAlign w:val="bottom"/>
            <w:gridSpan w:val="2"/>
          </w:tcPr>
          <w:p>
            <w:pPr>
              <w:spacing w:after="0" w:line="173"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260" w:type="dxa"/>
            <w:vAlign w:val="bottom"/>
            <w:gridSpan w:val="3"/>
          </w:tcPr>
          <w:p>
            <w:pPr>
              <w:jc w:val="right"/>
              <w:ind w:right="80"/>
              <w:spacing w:after="0" w:line="173"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60" w:type="dxa"/>
            <w:vAlign w:val="bottom"/>
            <w:gridSpan w:val="4"/>
          </w:tcPr>
          <w:p>
            <w:pPr>
              <w:jc w:val="right"/>
              <w:ind w:right="19"/>
              <w:spacing w:after="0" w:line="127" w:lineRule="exact"/>
              <w:rPr>
                <w:sz w:val="20"/>
                <w:szCs w:val="20"/>
                <w:color w:val="auto"/>
              </w:rPr>
            </w:pPr>
            <w:r>
              <w:rPr>
                <w:rFonts w:ascii="Times New Roman" w:cs="Times New Roman" w:eastAsia="Times New Roman" w:hAnsi="Times New Roman"/>
                <w:sz w:val="12"/>
                <w:szCs w:val="12"/>
                <w:color w:val="auto"/>
                <w:w w:val="90"/>
              </w:rPr>
              <w:t>$(111,930)</w:t>
            </w:r>
          </w:p>
        </w:tc>
        <w:tc>
          <w:tcPr>
            <w:tcW w:w="660" w:type="dxa"/>
            <w:vAlign w:val="bottom"/>
            <w:gridSpan w:val="4"/>
          </w:tcPr>
          <w:p>
            <w:pPr>
              <w:jc w:val="right"/>
              <w:ind w:right="17"/>
              <w:spacing w:after="0" w:line="127" w:lineRule="exact"/>
              <w:rPr>
                <w:sz w:val="20"/>
                <w:szCs w:val="20"/>
                <w:color w:val="auto"/>
              </w:rPr>
            </w:pPr>
            <w:r>
              <w:rPr>
                <w:rFonts w:ascii="Times New Roman" w:cs="Times New Roman" w:eastAsia="Times New Roman" w:hAnsi="Times New Roman"/>
                <w:sz w:val="12"/>
                <w:szCs w:val="12"/>
                <w:color w:val="auto"/>
              </w:rPr>
              <w:t>$(154,993)</w:t>
            </w:r>
          </w:p>
        </w:tc>
        <w:tc>
          <w:tcPr>
            <w:tcW w:w="620" w:type="dxa"/>
            <w:vAlign w:val="bottom"/>
            <w:gridSpan w:val="5"/>
          </w:tcPr>
          <w:p>
            <w:pPr>
              <w:ind w:left="60"/>
              <w:spacing w:after="0" w:line="127" w:lineRule="exact"/>
              <w:rPr>
                <w:sz w:val="20"/>
                <w:szCs w:val="20"/>
                <w:color w:val="auto"/>
              </w:rPr>
            </w:pPr>
            <w:r>
              <w:rPr>
                <w:rFonts w:ascii="Times New Roman" w:cs="Times New Roman" w:eastAsia="Times New Roman" w:hAnsi="Times New Roman"/>
                <w:sz w:val="12"/>
                <w:szCs w:val="12"/>
                <w:color w:val="auto"/>
              </w:rPr>
              <w:t>$(43,063)</w:t>
            </w:r>
          </w:p>
        </w:tc>
        <w:tc>
          <w:tcPr>
            <w:tcW w:w="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46"/>
        </w:trPr>
        <w:tc>
          <w:tcPr>
            <w:tcW w:w="100" w:type="dxa"/>
            <w:vAlign w:val="bottom"/>
            <w:vMerge w:val="continue"/>
          </w:tcPr>
          <w:p>
            <w:pPr>
              <w:spacing w:after="0"/>
              <w:rPr>
                <w:sz w:val="3"/>
                <w:szCs w:val="3"/>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2"/>
                <w:szCs w:val="2"/>
                <w:color w:val="auto"/>
              </w:rPr>
              <w:t>​​</w:t>
            </w: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2"/>
                <w:szCs w:val="2"/>
                <w:color w:val="auto"/>
              </w:rPr>
              <w:t>​​</w:t>
            </w: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2"/>
                <w:szCs w:val="2"/>
                <w:color w:val="auto"/>
              </w:rPr>
              <w:t>​​</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80" w:type="dxa"/>
            <w:vAlign w:val="bottom"/>
            <w:gridSpan w:val="2"/>
            <w:vMerge w:val="continue"/>
          </w:tcPr>
          <w:p>
            <w:pPr>
              <w:spacing w:after="0"/>
              <w:rPr>
                <w:sz w:val="3"/>
                <w:szCs w:val="3"/>
                <w:color w:val="auto"/>
              </w:rPr>
            </w:pPr>
          </w:p>
        </w:tc>
        <w:tc>
          <w:tcPr>
            <w:tcW w:w="2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ectPr>
          <w:pgSz w:w="11900" w:h="16838" w:orient="portrait"/>
          <w:cols w:equalWidth="0" w:num="2">
            <w:col w:w="4820" w:space="200"/>
            <w:col w:w="3999"/>
          </w:cols>
          <w:pgMar w:left="1440" w:top="105" w:right="1440" w:bottom="1440" w:gutter="0" w:footer="0" w:header="0"/>
          <w:type w:val="continuous"/>
        </w:sectPr>
      </w:pPr>
    </w:p>
    <w:p>
      <w:pPr>
        <w:ind w:left="1960" w:hanging="240"/>
        <w:spacing w:after="0"/>
        <w:tabs>
          <w:tab w:leader="none" w:pos="1960" w:val="left"/>
        </w:tabs>
        <w:numPr>
          <w:ilvl w:val="0"/>
          <w:numId w:val="5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not meaningful</w:t>
      </w:r>
    </w:p>
    <w:p>
      <w:pPr>
        <w:spacing w:after="0" w:line="14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i w:val="1"/>
          <w:iCs w:val="1"/>
          <w:color w:val="auto"/>
        </w:rPr>
        <w:t>Research and Development Expenses</w:t>
      </w:r>
    </w:p>
    <w:p>
      <w:pPr>
        <w:spacing w:after="0" w:line="111"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The following table summarizes our external and internal research and development expenses for the years ended December 31, 2022 and 2023 (dollars in thousands):</w:t>
      </w:r>
    </w:p>
    <w:p>
      <w:pPr>
        <w:spacing w:after="0" w:line="83"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31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180" w:type="dxa"/>
            <w:vAlign w:val="bottom"/>
          </w:tcPr>
          <w:p>
            <w:pPr>
              <w:spacing w:after="0"/>
              <w:rPr>
                <w:sz w:val="10"/>
                <w:szCs w:val="10"/>
                <w:color w:val="auto"/>
              </w:rPr>
            </w:pPr>
          </w:p>
        </w:tc>
        <w:tc>
          <w:tcPr>
            <w:tcW w:w="520" w:type="dxa"/>
            <w:vAlign w:val="bottom"/>
            <w:gridSpan w:val="2"/>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w w:val="89"/>
              </w:rPr>
              <w:t>Year ended</w:t>
            </w:r>
          </w:p>
        </w:tc>
        <w:tc>
          <w:tcPr>
            <w:tcW w:w="80" w:type="dxa"/>
            <w:vAlign w:val="bottom"/>
          </w:tcPr>
          <w:p>
            <w:pPr>
              <w:spacing w:after="0"/>
              <w:rPr>
                <w:sz w:val="10"/>
                <w:szCs w:val="10"/>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8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73"/>
        </w:trPr>
        <w:tc>
          <w:tcPr>
            <w:tcW w:w="31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700" w:type="dxa"/>
            <w:vAlign w:val="bottom"/>
            <w:gridSpan w:val="3"/>
          </w:tcPr>
          <w:p>
            <w:pPr>
              <w:jc w:val="right"/>
              <w:ind w:right="160"/>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600" w:type="dxa"/>
            <w:vAlign w:val="bottom"/>
            <w:gridSpan w:val="3"/>
          </w:tcPr>
          <w:p>
            <w:pPr>
              <w:jc w:val="center"/>
              <w:ind w:right="42"/>
              <w:spacing w:after="0" w:line="74" w:lineRule="exact"/>
              <w:rPr>
                <w:sz w:val="20"/>
                <w:szCs w:val="20"/>
                <w:color w:val="auto"/>
              </w:rPr>
            </w:pPr>
            <w:r>
              <w:rPr>
                <w:rFonts w:ascii="Times New Roman" w:cs="Times New Roman" w:eastAsia="Times New Roman" w:hAnsi="Times New Roman"/>
                <w:sz w:val="7"/>
                <w:szCs w:val="7"/>
                <w:b w:val="1"/>
                <w:bCs w:val="1"/>
                <w:color w:val="auto"/>
              </w:rPr>
              <w:t>December 31,</w:t>
            </w:r>
          </w:p>
        </w:tc>
        <w:tc>
          <w:tcPr>
            <w:tcW w:w="80" w:type="dxa"/>
            <w:vAlign w:val="bottom"/>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3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 ​</w:t>
            </w:r>
          </w:p>
        </w:tc>
        <w:tc>
          <w:tcPr>
            <w:tcW w:w="100" w:type="dxa"/>
            <w:vAlign w:val="bottom"/>
          </w:tcPr>
          <w:p>
            <w:pPr>
              <w:spacing w:after="0"/>
              <w:rPr>
                <w:sz w:val="13"/>
                <w:szCs w:val="13"/>
                <w:color w:val="auto"/>
              </w:rPr>
            </w:pPr>
          </w:p>
        </w:tc>
        <w:tc>
          <w:tcPr>
            <w:tcW w:w="420" w:type="dxa"/>
            <w:vAlign w:val="bottom"/>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120" w:type="dxa"/>
            <w:vAlign w:val="bottom"/>
          </w:tcPr>
          <w:p>
            <w:pPr>
              <w:spacing w:after="0"/>
              <w:rPr>
                <w:sz w:val="13"/>
                <w:szCs w:val="13"/>
                <w:color w:val="auto"/>
              </w:rPr>
            </w:pPr>
          </w:p>
        </w:tc>
        <w:tc>
          <w:tcPr>
            <w:tcW w:w="400" w:type="dxa"/>
            <w:vAlign w:val="bottom"/>
          </w:tcPr>
          <w:p>
            <w:pPr>
              <w:jc w:val="center"/>
              <w:ind w:right="125"/>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40" w:type="dxa"/>
            <w:vAlign w:val="bottom"/>
            <w:gridSpan w:val="2"/>
          </w:tcPr>
          <w:p>
            <w:pPr>
              <w:jc w:val="center"/>
              <w:ind w:right="41"/>
              <w:spacing w:after="0" w:line="154" w:lineRule="exact"/>
              <w:rPr>
                <w:sz w:val="20"/>
                <w:szCs w:val="20"/>
                <w:color w:val="auto"/>
              </w:rPr>
            </w:pPr>
            <w:r>
              <w:rPr>
                <w:rFonts w:ascii="Times New Roman" w:cs="Times New Roman" w:eastAsia="Times New Roman" w:hAnsi="Times New Roman"/>
                <w:sz w:val="9"/>
                <w:szCs w:val="9"/>
                <w:b w:val="1"/>
                <w:bCs w:val="1"/>
                <w:color w:val="auto"/>
              </w:rPr>
              <w:t xml:space="preserve">%  </w:t>
            </w:r>
            <w:r>
              <w:rPr>
                <w:rFonts w:ascii="Times New Roman" w:cs="Times New Roman" w:eastAsia="Times New Roman" w:hAnsi="Times New Roman"/>
                <w:sz w:val="17"/>
                <w:szCs w:val="17"/>
                <w:b w:val="1"/>
                <w:bCs w:val="1"/>
                <w:color w:val="auto"/>
                <w:vertAlign w:val="subscript"/>
              </w:rPr>
              <w:t>​</w:t>
            </w:r>
          </w:p>
        </w:tc>
        <w:tc>
          <w:tcPr>
            <w:tcW w:w="0" w:type="dxa"/>
            <w:vAlign w:val="bottom"/>
          </w:tcPr>
          <w:p>
            <w:pPr>
              <w:spacing w:after="0"/>
              <w:rPr>
                <w:sz w:val="1"/>
                <w:szCs w:val="1"/>
                <w:color w:val="auto"/>
              </w:rPr>
            </w:pPr>
          </w:p>
        </w:tc>
      </w:tr>
      <w:tr>
        <w:trPr>
          <w:trHeight w:val="20"/>
        </w:trPr>
        <w:tc>
          <w:tcPr>
            <w:tcW w:w="3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External costs:</w:t>
            </w: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00" w:type="dxa"/>
            <w:vAlign w:val="bottom"/>
            <w:vMerge w:val="continue"/>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Borders>
              <w:right w:val="single" w:sz="8" w:color="CCEEFF"/>
            </w:tcBorders>
            <w:shd w:val="clear" w:color="auto" w:fill="CCEEFF"/>
          </w:tcPr>
          <w:p>
            <w:pPr>
              <w:spacing w:after="0"/>
              <w:rPr>
                <w:sz w:val="14"/>
                <w:szCs w:val="14"/>
                <w:color w:val="auto"/>
              </w:rPr>
            </w:pP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 ​​ ​​ ​</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180" w:type="dxa"/>
            <w:vAlign w:val="bottom"/>
            <w:shd w:val="clear" w:color="auto" w:fill="CCEEFF"/>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3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Milestones related to previously acquired IPR&amp;D assets</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 ​ ​$</w:t>
            </w: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37,000</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6"/>
          </w:tcPr>
          <w:p>
            <w:pPr>
              <w:jc w:val="right"/>
              <w:spacing w:after="0"/>
              <w:rPr>
                <w:sz w:val="20"/>
                <w:szCs w:val="20"/>
                <w:color w:val="auto"/>
              </w:rPr>
            </w:pPr>
            <w:r>
              <w:rPr>
                <w:rFonts w:ascii="Times New Roman" w:cs="Times New Roman" w:eastAsia="Times New Roman" w:hAnsi="Times New Roman"/>
                <w:sz w:val="12"/>
                <w:szCs w:val="12"/>
                <w:color w:val="auto"/>
              </w:rPr>
              <w:t>​​ ​​$(37,000​​)</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74"/>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CRO, CMO and clinical trials</w:t>
            </w:r>
          </w:p>
        </w:tc>
        <w:tc>
          <w:tcPr>
            <w:tcW w:w="78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 ​ ​ 28,570</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 68,967</w:t>
            </w:r>
          </w:p>
        </w:tc>
        <w:tc>
          <w:tcPr>
            <w:tcW w:w="7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 40,397​​</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141</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3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Professional consulting services</w:t>
            </w: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 ​ ​ ​ 10,208</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 13,155</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 ​​ ​</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2,947​​</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 29​%</w:t>
            </w:r>
          </w:p>
        </w:tc>
        <w:tc>
          <w:tcPr>
            <w:tcW w:w="0" w:type="dxa"/>
            <w:vAlign w:val="bottom"/>
          </w:tcPr>
          <w:p>
            <w:pPr>
              <w:spacing w:after="0"/>
              <w:rPr>
                <w:sz w:val="1"/>
                <w:szCs w:val="1"/>
                <w:color w:val="auto"/>
              </w:rPr>
            </w:pPr>
          </w:p>
        </w:tc>
      </w:tr>
      <w:tr>
        <w:trPr>
          <w:trHeight w:val="174"/>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research and development costs</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 ​ ​</w:t>
            </w:r>
          </w:p>
        </w:tc>
        <w:tc>
          <w:tcPr>
            <w:tcW w:w="42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3,999</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 11,463</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 ​​ ​</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7,464​​</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187</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Internal costs:</w:t>
            </w:r>
          </w:p>
        </w:tc>
        <w:tc>
          <w:tcPr>
            <w:tcW w:w="2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5"/>
                <w:szCs w:val="15"/>
                <w:color w:val="auto"/>
              </w:rPr>
            </w:pP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 ​​ ​​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Personnel-related costs</w:t>
            </w:r>
          </w:p>
        </w:tc>
        <w:tc>
          <w:tcPr>
            <w:tcW w:w="78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 ​ ​ 17,985</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 32,068</w:t>
            </w:r>
          </w:p>
        </w:tc>
        <w:tc>
          <w:tcPr>
            <w:tcW w:w="7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 14,083​​</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78</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3"/>
        </w:trPr>
        <w:tc>
          <w:tcPr>
            <w:tcW w:w="3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Facilities and overhead costs</w:t>
            </w:r>
          </w:p>
        </w:tc>
        <w:tc>
          <w:tcPr>
            <w:tcW w:w="2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3,542</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2"/>
          </w:tcPr>
          <w:p>
            <w:pP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12,023</w:t>
            </w:r>
          </w:p>
        </w:tc>
        <w:tc>
          <w:tcPr>
            <w:tcW w:w="280" w:type="dxa"/>
            <w:vAlign w:val="bottom"/>
            <w:gridSpan w:val="3"/>
          </w:tcPr>
          <w:p>
            <w:pPr>
              <w:jc w:val="right"/>
              <w:ind w:right="40"/>
              <w:spacing w:after="0" w:line="184" w:lineRule="exact"/>
              <w:rPr>
                <w:sz w:val="20"/>
                <w:szCs w:val="20"/>
                <w:color w:val="auto"/>
              </w:rPr>
            </w:pP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21"/>
                <w:szCs w:val="21"/>
                <w:color w:val="auto"/>
                <w:vertAlign w:val="superscript"/>
              </w:rPr>
              <w:t>​</w:t>
            </w:r>
          </w:p>
        </w:tc>
        <w:tc>
          <w:tcPr>
            <w:tcW w:w="420" w:type="dxa"/>
            <w:vAlign w:val="bottom"/>
            <w:gridSpan w:val="3"/>
          </w:tcPr>
          <w:p>
            <w:pPr>
              <w:jc w:val="right"/>
              <w:spacing w:after="0" w:line="184" w:lineRule="exact"/>
              <w:rPr>
                <w:sz w:val="20"/>
                <w:szCs w:val="20"/>
                <w:color w:val="auto"/>
              </w:rPr>
            </w:pPr>
            <w:r>
              <w:rPr>
                <w:rFonts w:ascii="Times New Roman" w:cs="Times New Roman" w:eastAsia="Times New Roman" w:hAnsi="Times New Roman"/>
                <w:sz w:val="11"/>
                <w:szCs w:val="11"/>
                <w:color w:val="auto"/>
              </w:rPr>
              <w:t>8,481</w:t>
            </w:r>
            <w:r>
              <w:rPr>
                <w:rFonts w:ascii="Times New Roman" w:cs="Times New Roman" w:eastAsia="Times New Roman" w:hAnsi="Times New Roman"/>
                <w:sz w:val="21"/>
                <w:szCs w:val="21"/>
                <w:color w:val="auto"/>
                <w:vertAlign w:val="subscript"/>
              </w:rPr>
              <w:t>​​</w:t>
            </w:r>
          </w:p>
        </w:tc>
        <w:tc>
          <w:tcPr>
            <w:tcW w:w="44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​239</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3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research and development expense</w:t>
            </w:r>
          </w:p>
        </w:tc>
        <w:tc>
          <w:tcPr>
            <w:tcW w:w="780" w:type="dxa"/>
            <w:vAlign w:val="bottom"/>
            <w:tcBorders>
              <w:right w:val="single" w:sz="8" w:color="CCEEFF"/>
            </w:tcBorders>
            <w:gridSpan w:val="3"/>
            <w:shd w:val="clear" w:color="auto" w:fill="CCEEFF"/>
          </w:tcPr>
          <w:p>
            <w:pPr>
              <w:ind w:left="100"/>
              <w:spacing w:after="0" w:line="163" w:lineRule="exact"/>
              <w:rPr>
                <w:sz w:val="20"/>
                <w:szCs w:val="20"/>
                <w:color w:val="auto"/>
              </w:rPr>
            </w:pPr>
            <w:r>
              <w:rPr>
                <w:rFonts w:ascii="Times New Roman" w:cs="Times New Roman" w:eastAsia="Times New Roman" w:hAnsi="Times New Roman"/>
                <w:sz w:val="18"/>
                <w:szCs w:val="18"/>
                <w:color w:val="auto"/>
                <w:vertAlign w:val="subscript"/>
              </w:rPr>
              <w:t>​ ​ ​</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101,304</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tcBorders>
              <w:right w:val="single" w:sz="8" w:color="CCEEFF"/>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137,676</w:t>
            </w:r>
          </w:p>
        </w:tc>
        <w:tc>
          <w:tcPr>
            <w:tcW w:w="700" w:type="dxa"/>
            <w:vAlign w:val="bottom"/>
            <w:gridSpan w:val="6"/>
            <w:shd w:val="clear" w:color="auto" w:fill="CCEEFF"/>
          </w:tcPr>
          <w:p>
            <w:pPr>
              <w:jc w:val="right"/>
              <w:spacing w:after="0" w:line="163" w:lineRule="exact"/>
              <w:rPr>
                <w:sz w:val="20"/>
                <w:szCs w:val="20"/>
                <w:color w:val="auto"/>
              </w:rPr>
            </w:pP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0"/>
                <w:szCs w:val="10"/>
                <w:color w:val="auto"/>
              </w:rPr>
              <w:t>$ 36,372</w:t>
            </w:r>
            <w:r>
              <w:rPr>
                <w:rFonts w:ascii="Times New Roman" w:cs="Times New Roman" w:eastAsia="Times New Roman" w:hAnsi="Times New Roman"/>
                <w:sz w:val="18"/>
                <w:szCs w:val="18"/>
                <w:color w:val="auto"/>
                <w:vertAlign w:val="subscript"/>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7"/>
        </w:trPr>
        <w:tc>
          <w:tcPr>
            <w:tcW w:w="310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20" w:type="dxa"/>
            <w:vAlign w:val="bottom"/>
            <w:tcBorders>
              <w:right w:val="single" w:sz="8" w:color="CCEEFF"/>
            </w:tcBorders>
            <w:shd w:val="clear" w:color="auto" w:fill="000000"/>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00" w:type="dxa"/>
            <w:vAlign w:val="bottom"/>
            <w:tcBorders>
              <w:right w:val="single" w:sz="8" w:color="CCEEFF"/>
            </w:tcBorders>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4384040</wp:posOffset>
            </wp:positionH>
            <wp:positionV relativeFrom="paragraph">
              <wp:posOffset>-144780</wp:posOffset>
            </wp:positionV>
            <wp:extent cx="24447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447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-144780</wp:posOffset>
            </wp:positionV>
            <wp:extent cx="300672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006725" cy="5715"/>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-1040130</wp:posOffset>
            </wp:positionV>
            <wp:extent cx="9334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-1040130</wp:posOffset>
            </wp:positionV>
            <wp:extent cx="9334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-1040130</wp:posOffset>
            </wp:positionV>
            <wp:extent cx="254127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41270" cy="5715"/>
                    </a:xfrm>
                    <a:prstGeom prst="rect">
                      <a:avLst/>
                    </a:prstGeom>
                    <a:noFill/>
                  </pic:spPr>
                </pic:pic>
              </a:graphicData>
            </a:graphic>
          </wp:anchor>
        </w:drawing>
      </w:r>
    </w:p>
    <w:p>
      <w:pPr>
        <w:spacing w:after="0" w:line="132"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Research and development expenses increased by $36.4 million, from $101.3 million for the year ended December 31, 2022 to $137.7 million for the year ended December 31, 2023.</w:t>
      </w:r>
    </w:p>
    <w:p>
      <w:pPr>
        <w:spacing w:after="0" w:line="59"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During the year ended December 31, 2022, milestones related to previously acquired IPR&amp;D assets included a $37.0 million clinical milestone payment in connection with a March 2021 asset acquisition. No clinical milestones were achieved or probable during the year ended December 31, 2023. CRO, CMO and clinical trials expenses increased by $40.4 million for the year ended December 31, 2023 compared to the year ended December 31, 2022, primarily due to increased CRO and CMO activities related to ESK-001 development. Professional research and development consulting service expense increased by $2.9 million and other research</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92" w:name="page93"/>
    <w:bookmarkEnd w:id="9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and development costs increased by $7.5 million to support clinical trials for ESK-001, preclinical advancement of A-005 and other research programs.</w:t>
      </w:r>
    </w:p>
    <w:p>
      <w:pPr>
        <w:spacing w:after="0" w:line="59" w:lineRule="exact"/>
        <w:rPr>
          <w:sz w:val="20"/>
          <w:szCs w:val="20"/>
          <w:color w:val="auto"/>
        </w:rPr>
      </w:pPr>
    </w:p>
    <w:p>
      <w:pPr>
        <w:jc w:val="both"/>
        <w:ind w:left="1720" w:right="1739"/>
        <w:spacing w:after="0" w:line="261" w:lineRule="auto"/>
        <w:rPr>
          <w:sz w:val="20"/>
          <w:szCs w:val="20"/>
          <w:color w:val="auto"/>
        </w:rPr>
      </w:pPr>
      <w:r>
        <w:rPr>
          <w:rFonts w:ascii="Times New Roman" w:cs="Times New Roman" w:eastAsia="Times New Roman" w:hAnsi="Times New Roman"/>
          <w:sz w:val="12"/>
          <w:szCs w:val="12"/>
          <w:color w:val="auto"/>
        </w:rPr>
        <w:t>Personnel-related costs increased by $14.1 million, from $18.0 million for the year ended December 31, 2022 to $32.1 million for the year ended December 31, 2023, as a result of increased research and development headcount from 63 to 90 employees as of December 31, 2022 and 2023, respectively. The increase in personnel-related costs includes an increase in stock-based compensation expense of $1.6 million as a result of additional options granted and an increase in the fair value of our common stock. Facilities and allocated overhead costs increased by $8.5 million primarily as a result of facilities and IT related expenses.</w:t>
      </w:r>
    </w:p>
    <w:p>
      <w:pPr>
        <w:spacing w:after="0" w:line="226"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During the year ended December 31, 2023, our external research and development expenses were primarily related to the clinical development of our ESK-001 program and, to a lesser extent, advancing our A-005 product candidate and research pipeline. The following table summarizes our external costs by program for the year ended December 31, 2023 (dollars in thousands):</w:t>
      </w:r>
    </w:p>
    <w:p>
      <w:pPr>
        <w:spacing w:after="0" w:line="85"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4"/>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40" w:type="dxa"/>
            <w:vAlign w:val="bottom"/>
          </w:tcPr>
          <w:p>
            <w:pPr>
              <w:spacing w:after="0"/>
              <w:rPr>
                <w:sz w:val="10"/>
                <w:szCs w:val="10"/>
                <w:color w:val="auto"/>
              </w:rPr>
            </w:pPr>
          </w:p>
        </w:tc>
      </w:tr>
      <w:tr>
        <w:trPr>
          <w:trHeight w:val="110"/>
        </w:trPr>
        <w:tc>
          <w:tcPr>
            <w:tcW w:w="4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4"/>
          </w:tcPr>
          <w:p>
            <w:pPr>
              <w:jc w:val="center"/>
              <w:ind w:right="20"/>
              <w:spacing w:after="0" w:line="110"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40" w:type="dxa"/>
            <w:vAlign w:val="bottom"/>
          </w:tcPr>
          <w:p>
            <w:pPr>
              <w:spacing w:after="0"/>
              <w:rPr>
                <w:sz w:val="9"/>
                <w:szCs w:val="9"/>
                <w:color w:val="auto"/>
              </w:rPr>
            </w:pPr>
          </w:p>
        </w:tc>
      </w:tr>
      <w:tr>
        <w:trPr>
          <w:trHeight w:val="145"/>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480" w:type="dxa"/>
            <w:vAlign w:val="bottom"/>
            <w:tcBorders>
              <w:bottom w:val="single" w:sz="8" w:color="auto"/>
            </w:tcBorders>
            <w:gridSpan w:val="2"/>
          </w:tcPr>
          <w:p>
            <w:pPr>
              <w:jc w:val="center"/>
              <w:ind w:left="31"/>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ESK-001</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​$70,414</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A-005</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5"/>
                <w:szCs w:val="15"/>
                <w:color w:val="auto"/>
              </w:rPr>
            </w:pPr>
          </w:p>
        </w:tc>
        <w:tc>
          <w:tcPr>
            <w:tcW w:w="48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color w:val="auto"/>
              </w:rPr>
              <w:t>​ ​ 7,161</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programs and research and development activities</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​16,010</w:t>
            </w:r>
          </w:p>
        </w:tc>
        <w:tc>
          <w:tcPr>
            <w:tcW w:w="80" w:type="dxa"/>
            <w:vAlign w:val="bottom"/>
            <w:tcBorders>
              <w:bottom w:val="single" w:sz="8" w:color="CCEEFF"/>
            </w:tcBorders>
            <w:gridSpan w:val="2"/>
            <w:shd w:val="clear" w:color="auto" w:fill="CCEEFF"/>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6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Total external research and development expenses</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4"/>
                <w:szCs w:val="14"/>
                <w:color w:val="auto"/>
              </w:rPr>
            </w:pPr>
          </w:p>
        </w:tc>
        <w:tc>
          <w:tcPr>
            <w:tcW w:w="480" w:type="dxa"/>
            <w:vAlign w:val="bottom"/>
            <w:gridSpan w:val="3"/>
          </w:tcPr>
          <w:p>
            <w:pPr>
              <w:jc w:val="center"/>
              <w:ind w:right="80"/>
              <w:spacing w:after="0" w:line="154"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93,585</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4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-481965</wp:posOffset>
            </wp:positionV>
            <wp:extent cx="316928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169285" cy="5715"/>
                    </a:xfrm>
                    <a:prstGeom prst="rect">
                      <a:avLst/>
                    </a:prstGeom>
                    <a:noFill/>
                  </pic:spPr>
                </pic:pic>
              </a:graphicData>
            </a:graphic>
          </wp:anchor>
        </w:drawing>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i w:val="1"/>
          <w:iCs w:val="1"/>
          <w:color w:val="auto"/>
        </w:rPr>
        <w:t>General and Administrative Expenses</w:t>
      </w:r>
    </w:p>
    <w:p>
      <w:pPr>
        <w:spacing w:after="0" w:line="102"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General and administrative expenses increased by $8.0 million, from $12.5 million for the year ended December 31, 2022 to $20.5 million for the year ended December 31, 2023. Personnel-related expenses increased by $3.6 million from $7.4 million for the year ended December 31, 2022 to $11.0 million for the year ended December 31, 2023 as a result of increase in headcount from 16 to 20 employees as of December 31, 2022 and 2023, respectively. The increase in personnel-related costs includes an increase in stock-based compensation expense of $1.0 million as a result of additional options granted and an increase in the fair value of our common stock. Expenses related to professional consulting services increased by $4.0 million, from $3.9 million for the year ended December 31, 2022 to $7.9 million for the year ended December 31, 2023 primarily due to an increase in consulting, legal and accounting services to support our growth and business development.</w:t>
      </w:r>
    </w:p>
    <w:p>
      <w:pPr>
        <w:spacing w:after="0" w:line="27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i w:val="1"/>
          <w:iCs w:val="1"/>
          <w:color w:val="auto"/>
        </w:rPr>
        <w:t>Total Other Income (Expense), Net</w:t>
      </w:r>
    </w:p>
    <w:p>
      <w:pPr>
        <w:spacing w:after="0" w:line="111"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Total other income (expense), net increased by $1.3 million, from other income of $1.9 million for the year ended December 31, 2022 to other income of $3.2 million for the year ended December 31, 2023.</w:t>
      </w:r>
    </w:p>
    <w:p>
      <w:pPr>
        <w:spacing w:after="0" w:line="59"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color w:val="auto"/>
        </w:rPr>
        <w:t>Interest income increased by $1.4 million from $2.0 million for the year ended December 31, 2022 to $3.4 million for the year ended December 31, 2023 as a result of higher interest rates and higher investments balances during the year ended December 31, 2023 compared to the year ended December 31, 2022.</w:t>
      </w:r>
    </w:p>
    <w:p>
      <w:pPr>
        <w:spacing w:after="0" w:line="212"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We recognized a loss of $0.1 million for the year ended December 31, 2023 related to the change in fair value of a derivative liability. We did not have a derivative liability for the year ended December 31, 2022 and therefore no such loss was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93" w:name="page94"/>
    <w:bookmarkEnd w:id="93"/>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b w:val="1"/>
          <w:bCs w:val="1"/>
          <w:color w:val="auto"/>
        </w:rPr>
        <w:t>Comparison of the Periods for the Three Months Ended March 31, 2023 and 2024</w:t>
      </w:r>
    </w:p>
    <w:p>
      <w:pPr>
        <w:spacing w:after="0" w:line="1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The following table summarizes our results of operations for the three months ended March 31, 2023 and</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2024 (dollars in thousands):</w:t>
      </w:r>
    </w:p>
    <w:p>
      <w:pPr>
        <w:spacing w:after="0" w:line="15"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6"/>
          </w:tcPr>
          <w:p>
            <w:pPr>
              <w:jc w:val="right"/>
              <w:ind w:right="167"/>
              <w:spacing w:after="0"/>
              <w:rPr>
                <w:sz w:val="20"/>
                <w:szCs w:val="20"/>
                <w:color w:val="auto"/>
              </w:rPr>
            </w:pPr>
            <w:r>
              <w:rPr>
                <w:rFonts w:ascii="Times New Roman" w:cs="Times New Roman" w:eastAsia="Times New Roman" w:hAnsi="Times New Roman"/>
                <w:sz w:val="10"/>
                <w:szCs w:val="10"/>
                <w:b w:val="1"/>
                <w:bCs w:val="1"/>
                <w:color w:val="auto"/>
                <w:w w:val="93"/>
              </w:rPr>
              <w:t>Three months ended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320" w:type="dxa"/>
            <w:vAlign w:val="bottom"/>
            <w:tcBorders>
              <w:bottom w:val="single" w:sz="8" w:color="auto"/>
            </w:tcBorders>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54"/>
        </w:trPr>
        <w:tc>
          <w:tcPr>
            <w:tcW w:w="34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40" w:type="dxa"/>
            <w:vAlign w:val="bottom"/>
          </w:tcPr>
          <w:p>
            <w:pPr>
              <w:spacing w:after="0"/>
              <w:rPr>
                <w:sz w:val="13"/>
                <w:szCs w:val="13"/>
                <w:color w:val="auto"/>
              </w:rPr>
            </w:pPr>
          </w:p>
        </w:tc>
        <w:tc>
          <w:tcPr>
            <w:tcW w:w="44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9"/>
                <w:szCs w:val="9"/>
                <w:b w:val="1"/>
                <w:bCs w:val="1"/>
                <w:color w:val="auto"/>
              </w:rPr>
              <w:t xml:space="preserve">2023   </w:t>
            </w:r>
            <w:r>
              <w:rPr>
                <w:rFonts w:ascii="Times New Roman" w:cs="Times New Roman" w:eastAsia="Times New Roman" w:hAnsi="Times New Roman"/>
                <w:sz w:val="17"/>
                <w:szCs w:val="17"/>
                <w:b w:val="1"/>
                <w:bCs w:val="1"/>
                <w:color w:val="auto"/>
                <w:vertAlign w:val="subscript"/>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3"/>
                <w:szCs w:val="13"/>
                <w:color w:val="auto"/>
              </w:rPr>
            </w:pPr>
          </w:p>
        </w:tc>
        <w:tc>
          <w:tcPr>
            <w:tcW w:w="40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9"/>
                <w:szCs w:val="9"/>
                <w:b w:val="1"/>
                <w:bCs w:val="1"/>
                <w:color w:val="auto"/>
              </w:rPr>
              <w:t xml:space="preserve">2024   </w:t>
            </w:r>
            <w:r>
              <w:rPr>
                <w:rFonts w:ascii="Times New Roman" w:cs="Times New Roman" w:eastAsia="Times New Roman" w:hAnsi="Times New Roman"/>
                <w:sz w:val="17"/>
                <w:szCs w:val="17"/>
                <w:b w:val="1"/>
                <w:bCs w:val="1"/>
                <w:color w:val="auto"/>
                <w:vertAlign w:val="subscript"/>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spacing w:after="0"/>
              <w:rPr>
                <w:sz w:val="13"/>
                <w:szCs w:val="13"/>
                <w:color w:val="auto"/>
              </w:rPr>
            </w:pP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9"/>
                <w:szCs w:val="9"/>
                <w:b w:val="1"/>
                <w:bCs w:val="1"/>
                <w:color w:val="auto"/>
              </w:rPr>
              <w:t xml:space="preserve">​ </w:t>
            </w:r>
            <w:r>
              <w:rPr>
                <w:rFonts w:ascii="Times New Roman" w:cs="Times New Roman" w:eastAsia="Times New Roman" w:hAnsi="Times New Roman"/>
                <w:sz w:val="17"/>
                <w:szCs w:val="17"/>
                <w:b w:val="1"/>
                <w:bCs w:val="1"/>
                <w:color w:val="auto"/>
                <w:vertAlign w:val="superscript"/>
              </w:rPr>
              <w:t>%</w:t>
            </w:r>
          </w:p>
        </w:tc>
        <w:tc>
          <w:tcPr>
            <w:tcW w:w="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0"/>
        </w:trPr>
        <w:tc>
          <w:tcPr>
            <w:tcW w:w="34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420" w:type="dxa"/>
            <w:vAlign w:val="bottom"/>
            <w:gridSpan w:val="2"/>
            <w:vMerge w:val="continue"/>
            <w:shd w:val="clear" w:color="auto" w:fill="CCEEFF"/>
          </w:tcPr>
          <w:p>
            <w:pPr>
              <w:spacing w:after="0"/>
              <w:rPr>
                <w:sz w:val="13"/>
                <w:szCs w:val="13"/>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 ​</w:t>
            </w:r>
          </w:p>
        </w:tc>
        <w:tc>
          <w:tcPr>
            <w:tcW w:w="360" w:type="dxa"/>
            <w:vAlign w:val="bottom"/>
            <w:shd w:val="clear" w:color="auto" w:fill="CCEEFF"/>
          </w:tcPr>
          <w:p>
            <w:pPr>
              <w:spacing w:after="0"/>
              <w:rPr>
                <w:sz w:val="13"/>
                <w:szCs w:val="13"/>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320" w:type="dxa"/>
            <w:vAlign w:val="bottom"/>
            <w:shd w:val="clear" w:color="auto" w:fill="CCEEFF"/>
          </w:tcPr>
          <w:p>
            <w:pPr>
              <w:spacing w:after="0"/>
              <w:rPr>
                <w:sz w:val="13"/>
                <w:szCs w:val="13"/>
                <w:color w:val="auto"/>
              </w:rPr>
            </w:pP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 ​</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2"/>
        </w:trPr>
        <w:tc>
          <w:tcPr>
            <w:tcW w:w="3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Research and development expenses, including related party</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4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expenses of $325 and $421 for the three months ended March</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4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31, 2023 and 2024, respectively</w:t>
            </w:r>
          </w:p>
        </w:tc>
        <w:tc>
          <w:tcPr>
            <w:tcW w:w="1420" w:type="dxa"/>
            <w:vAlign w:val="bottom"/>
            <w:gridSpan w:val="9"/>
          </w:tcPr>
          <w:p>
            <w:pPr>
              <w:ind w:left="40"/>
              <w:spacing w:after="0"/>
              <w:rPr>
                <w:sz w:val="20"/>
                <w:szCs w:val="20"/>
                <w:color w:val="auto"/>
              </w:rPr>
            </w:pPr>
            <w:r>
              <w:rPr>
                <w:rFonts w:ascii="Times New Roman" w:cs="Times New Roman" w:eastAsia="Times New Roman" w:hAnsi="Times New Roman"/>
                <w:sz w:val="12"/>
                <w:szCs w:val="12"/>
                <w:color w:val="auto"/>
              </w:rPr>
              <w:t>​ ​​$ 32,435​​ ​​$ 41,961​​ ​​$</w:t>
            </w:r>
          </w:p>
        </w:tc>
        <w:tc>
          <w:tcPr>
            <w:tcW w:w="80" w:type="dxa"/>
            <w:vAlign w:val="bottom"/>
          </w:tcPr>
          <w:p>
            <w:pPr>
              <w:spacing w:after="0"/>
              <w:rPr>
                <w:sz w:val="14"/>
                <w:szCs w:val="14"/>
                <w:color w:val="auto"/>
              </w:rPr>
            </w:pPr>
          </w:p>
        </w:tc>
        <w:tc>
          <w:tcPr>
            <w:tcW w:w="760" w:type="dxa"/>
            <w:vAlign w:val="bottom"/>
            <w:gridSpan w:val="6"/>
          </w:tcPr>
          <w:p>
            <w:pPr>
              <w:jc w:val="right"/>
              <w:spacing w:after="0"/>
              <w:rPr>
                <w:sz w:val="20"/>
                <w:szCs w:val="20"/>
                <w:color w:val="auto"/>
              </w:rPr>
            </w:pPr>
            <w:r>
              <w:rPr>
                <w:rFonts w:ascii="Times New Roman" w:cs="Times New Roman" w:eastAsia="Times New Roman" w:hAnsi="Times New Roman"/>
                <w:sz w:val="12"/>
                <w:szCs w:val="12"/>
                <w:color w:val="auto"/>
              </w:rPr>
              <w:t>9,526​​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29​%</w:t>
            </w:r>
          </w:p>
        </w:tc>
        <w:tc>
          <w:tcPr>
            <w:tcW w:w="0" w:type="dxa"/>
            <w:vAlign w:val="bottom"/>
          </w:tcPr>
          <w:p>
            <w:pPr>
              <w:spacing w:after="0"/>
              <w:rPr>
                <w:sz w:val="1"/>
                <w:szCs w:val="1"/>
                <w:color w:val="auto"/>
              </w:rPr>
            </w:pPr>
          </w:p>
        </w:tc>
      </w:tr>
      <w:tr>
        <w:trPr>
          <w:trHeight w:val="183"/>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24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21"/>
                <w:szCs w:val="21"/>
                <w:color w:val="auto"/>
                <w:vertAlign w:val="superscript"/>
              </w:rPr>
              <w:t>​</w:t>
            </w:r>
          </w:p>
        </w:tc>
        <w:tc>
          <w:tcPr>
            <w:tcW w:w="640" w:type="dxa"/>
            <w:vAlign w:val="bottom"/>
            <w:gridSpan w:val="4"/>
            <w:shd w:val="clear" w:color="auto" w:fill="CCEEFF"/>
          </w:tcPr>
          <w:p>
            <w:pPr>
              <w:jc w:val="right"/>
              <w:spacing w:after="0" w:line="184" w:lineRule="exact"/>
              <w:rPr>
                <w:sz w:val="20"/>
                <w:szCs w:val="20"/>
                <w:color w:val="auto"/>
              </w:rPr>
            </w:pPr>
            <w:r>
              <w:rPr>
                <w:rFonts w:ascii="Times New Roman" w:cs="Times New Roman" w:eastAsia="Times New Roman" w:hAnsi="Times New Roman"/>
                <w:sz w:val="11"/>
                <w:szCs w:val="11"/>
                <w:color w:val="auto"/>
              </w:rPr>
              <w:t>4,225</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1"/>
                <w:szCs w:val="11"/>
                <w:color w:val="auto"/>
              </w:rPr>
              <w:t xml:space="preserve"> ​</w:t>
            </w:r>
          </w:p>
        </w:tc>
        <w:tc>
          <w:tcPr>
            <w:tcW w:w="540" w:type="dxa"/>
            <w:vAlign w:val="bottom"/>
            <w:tcBorders>
              <w:right w:val="single" w:sz="8" w:color="CCEEFF"/>
            </w:tcBorders>
            <w:gridSpan w:val="3"/>
            <w:shd w:val="clear" w:color="auto" w:fill="CCEEFF"/>
          </w:tcPr>
          <w:p>
            <w:pPr>
              <w:ind w:left="60"/>
              <w:spacing w:after="0" w:line="184" w:lineRule="exact"/>
              <w:rPr>
                <w:sz w:val="20"/>
                <w:szCs w:val="20"/>
                <w:color w:val="auto"/>
              </w:rPr>
            </w:pPr>
            <w:r>
              <w:rPr>
                <w:rFonts w:ascii="Times New Roman" w:cs="Times New Roman" w:eastAsia="Times New Roman" w:hAnsi="Times New Roman"/>
                <w:sz w:val="11"/>
                <w:szCs w:val="11"/>
                <w:color w:val="auto"/>
              </w:rPr>
              <w:t>5,632</w:t>
            </w:r>
            <w:r>
              <w:rPr>
                <w:rFonts w:ascii="Times New Roman" w:cs="Times New Roman" w:eastAsia="Times New Roman" w:hAnsi="Times New Roman"/>
                <w:sz w:val="21"/>
                <w:szCs w:val="21"/>
                <w:color w:val="auto"/>
                <w:vertAlign w:val="subscript"/>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5"/>
            <w:shd w:val="clear" w:color="auto" w:fill="CCEEFF"/>
          </w:tcPr>
          <w:p>
            <w:pPr>
              <w:jc w:val="right"/>
              <w:spacing w:after="0" w:line="184" w:lineRule="exact"/>
              <w:rPr>
                <w:sz w:val="20"/>
                <w:szCs w:val="20"/>
                <w:color w:val="auto"/>
              </w:rPr>
            </w:pPr>
            <w:r>
              <w:rPr>
                <w:rFonts w:ascii="Times New Roman" w:cs="Times New Roman" w:eastAsia="Times New Roman" w:hAnsi="Times New Roman"/>
                <w:sz w:val="11"/>
                <w:szCs w:val="11"/>
                <w:color w:val="auto"/>
              </w:rPr>
              <w:t>1,407</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1"/>
                <w:szCs w:val="11"/>
                <w:color w:val="auto"/>
              </w:rPr>
              <w:t>​ 33</w:t>
            </w:r>
          </w:p>
        </w:tc>
        <w:tc>
          <w:tcPr>
            <w:tcW w:w="120" w:type="dxa"/>
            <w:vAlign w:val="bottom"/>
          </w:tcPr>
          <w:p>
            <w:pPr>
              <w:spacing w:after="0" w:line="184" w:lineRule="exact"/>
              <w:rPr>
                <w:sz w:val="20"/>
                <w:szCs w:val="20"/>
                <w:color w:val="auto"/>
              </w:rPr>
            </w:pPr>
            <w:r>
              <w:rPr>
                <w:rFonts w:ascii="Times New Roman" w:cs="Times New Roman" w:eastAsia="Times New Roman" w:hAnsi="Times New Roman"/>
                <w:sz w:val="11"/>
                <w:szCs w:val="11"/>
                <w:color w:val="auto"/>
                <w:w w:val="85"/>
              </w:rPr>
              <w:t>​</w:t>
            </w:r>
            <w:r>
              <w:rPr>
                <w:rFonts w:ascii="Times New Roman" w:cs="Times New Roman" w:eastAsia="Times New Roman" w:hAnsi="Times New Roman"/>
                <w:sz w:val="21"/>
                <w:szCs w:val="21"/>
                <w:color w:val="auto"/>
                <w:w w:val="85"/>
                <w:vertAlign w:val="superscript"/>
              </w:rPr>
              <w:t>%</w:t>
            </w: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4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Total operating expenses</w:t>
            </w:r>
          </w:p>
        </w:tc>
        <w:tc>
          <w:tcPr>
            <w:tcW w:w="1420" w:type="dxa"/>
            <w:vAlign w:val="bottom"/>
            <w:gridSpan w:val="9"/>
          </w:tcPr>
          <w:p>
            <w:pPr>
              <w:ind w:left="40"/>
              <w:spacing w:after="0" w:line="173" w:lineRule="exact"/>
              <w:rPr>
                <w:sz w:val="20"/>
                <w:szCs w:val="20"/>
                <w:color w:val="auto"/>
              </w:rPr>
            </w:pP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10"/>
                <w:szCs w:val="10"/>
                <w:color w:val="auto"/>
              </w:rPr>
              <w:t xml:space="preserve"> ​ 36,660</w:t>
            </w: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10"/>
                <w:szCs w:val="10"/>
                <w:color w:val="auto"/>
              </w:rPr>
              <w:t xml:space="preserve"> ​ 47,593</w:t>
            </w:r>
            <w:r>
              <w:rPr>
                <w:rFonts w:ascii="Times New Roman" w:cs="Times New Roman" w:eastAsia="Times New Roman" w:hAnsi="Times New Roman"/>
                <w:sz w:val="19"/>
                <w:szCs w:val="19"/>
                <w:color w:val="auto"/>
                <w:vertAlign w:val="subscript"/>
              </w:rPr>
              <w:t>​​ ​​</w:t>
            </w:r>
          </w:p>
        </w:tc>
        <w:tc>
          <w:tcPr>
            <w:tcW w:w="840" w:type="dxa"/>
            <w:vAlign w:val="bottom"/>
            <w:gridSpan w:val="7"/>
          </w:tcPr>
          <w:p>
            <w:pPr>
              <w:spacing w:after="0" w:line="173" w:lineRule="exact"/>
              <w:rPr>
                <w:sz w:val="20"/>
                <w:szCs w:val="20"/>
                <w:color w:val="auto"/>
              </w:rPr>
            </w:pPr>
            <w:r>
              <w:rPr>
                <w:rFonts w:ascii="Times New Roman" w:cs="Times New Roman" w:eastAsia="Times New Roman" w:hAnsi="Times New Roman"/>
                <w:sz w:val="10"/>
                <w:szCs w:val="10"/>
                <w:color w:val="auto"/>
              </w:rPr>
              <w:t>​ 10,933</w:t>
            </w: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10"/>
                <w:szCs w:val="10"/>
                <w:color w:val="auto"/>
              </w:rPr>
              <w:t>​ 30</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from operations</w:t>
            </w:r>
          </w:p>
        </w:tc>
        <w:tc>
          <w:tcPr>
            <w:tcW w:w="128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 ​(36,660)​​ ​​ ​(47,593​​)</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​(10,933​​) ​​ 30</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74"/>
        </w:trPr>
        <w:tc>
          <w:tcPr>
            <w:tcW w:w="3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income (expense):</w:t>
            </w: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3"/>
          </w:tcPr>
          <w:p>
            <w:pPr>
              <w:jc w:val="right"/>
              <w:ind w:right="159"/>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income</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 ​</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645​​ ​​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854​​</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 ​​ 32</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74"/>
        </w:trPr>
        <w:tc>
          <w:tcPr>
            <w:tcW w:w="34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Change in fair value of derivative liability</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 ​</w:t>
            </w:r>
          </w:p>
        </w:tc>
        <w:tc>
          <w:tcPr>
            <w:tcW w:w="1040" w:type="dxa"/>
            <w:vAlign w:val="bottom"/>
            <w:gridSpan w:val="6"/>
          </w:tcPr>
          <w:p>
            <w:pPr>
              <w:jc w:val="right"/>
              <w:spacing w:after="0"/>
              <w:rPr>
                <w:sz w:val="20"/>
                <w:szCs w:val="20"/>
                <w:color w:val="auto"/>
              </w:rPr>
            </w:pPr>
            <w:r>
              <w:rPr>
                <w:rFonts w:ascii="Times New Roman" w:cs="Times New Roman" w:eastAsia="Times New Roman" w:hAnsi="Times New Roman"/>
                <w:sz w:val="12"/>
                <w:szCs w:val="12"/>
                <w:color w:val="auto"/>
              </w:rPr>
              <w:t>—​​ ​​ ​ (3,095​​)</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 (3,095​​) ​​100​%</w:t>
            </w:r>
          </w:p>
        </w:tc>
        <w:tc>
          <w:tcPr>
            <w:tcW w:w="0" w:type="dxa"/>
            <w:vAlign w:val="bottom"/>
          </w:tcPr>
          <w:p>
            <w:pPr>
              <w:spacing w:after="0"/>
              <w:rPr>
                <w:sz w:val="1"/>
                <w:szCs w:val="1"/>
                <w:color w:val="auto"/>
              </w:rPr>
            </w:pPr>
          </w:p>
        </w:tc>
      </w:tr>
      <w:tr>
        <w:trPr>
          <w:trHeight w:val="137"/>
        </w:trPr>
        <w:tc>
          <w:tcPr>
            <w:tcW w:w="3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income (expense), net</w:t>
            </w:r>
          </w:p>
        </w:tc>
        <w:tc>
          <w:tcPr>
            <w:tcW w:w="20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w:t>
            </w:r>
          </w:p>
        </w:tc>
        <w:tc>
          <w:tcPr>
            <w:tcW w:w="12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2"/>
                <w:szCs w:val="12"/>
                <w:color w:val="auto"/>
              </w:rPr>
              <w:t>(15)</w:t>
            </w:r>
          </w:p>
        </w:tc>
        <w:tc>
          <w:tcPr>
            <w:tcW w:w="14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138" w:lineRule="exact"/>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15"/>
                <w:szCs w:val="15"/>
                <w:color w:val="auto"/>
                <w:vertAlign w:val="superscript"/>
              </w:rPr>
              <w:t>*</w:t>
            </w:r>
          </w:p>
        </w:tc>
        <w:tc>
          <w:tcPr>
            <w:tcW w:w="0" w:type="dxa"/>
            <w:vAlign w:val="bottom"/>
          </w:tcPr>
          <w:p>
            <w:pPr>
              <w:spacing w:after="0"/>
              <w:rPr>
                <w:sz w:val="1"/>
                <w:szCs w:val="1"/>
                <w:color w:val="auto"/>
              </w:rPr>
            </w:pPr>
          </w:p>
        </w:tc>
      </w:tr>
      <w:tr>
        <w:trPr>
          <w:trHeight w:val="46"/>
        </w:trPr>
        <w:tc>
          <w:tcPr>
            <w:tcW w:w="580" w:type="dxa"/>
            <w:vAlign w:val="bottom"/>
            <w:shd w:val="clear" w:color="auto" w:fill="CCEEFF"/>
          </w:tcPr>
          <w:p>
            <w:pPr>
              <w:spacing w:after="0"/>
              <w:rPr>
                <w:sz w:val="3"/>
                <w:szCs w:val="3"/>
                <w:color w:val="auto"/>
              </w:rPr>
            </w:pPr>
          </w:p>
        </w:tc>
        <w:tc>
          <w:tcPr>
            <w:tcW w:w="2840" w:type="dxa"/>
            <w:vAlign w:val="bottom"/>
            <w:shd w:val="clear" w:color="auto" w:fill="CCEEFF"/>
          </w:tcPr>
          <w:p>
            <w:pPr>
              <w:spacing w:after="0"/>
              <w:rPr>
                <w:sz w:val="3"/>
                <w:szCs w:val="3"/>
                <w:color w:val="auto"/>
              </w:rPr>
            </w:pPr>
          </w:p>
        </w:tc>
        <w:tc>
          <w:tcPr>
            <w:tcW w:w="200" w:type="dxa"/>
            <w:vAlign w:val="bottom"/>
            <w:tcBorders>
              <w:right w:val="single" w:sz="8" w:color="CCEEFF"/>
            </w:tcBorders>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0" w:type="dxa"/>
            <w:vAlign w:val="bottom"/>
            <w:shd w:val="clear" w:color="auto" w:fill="CCEEFF"/>
          </w:tcPr>
          <w:p>
            <w:pPr>
              <w:jc w:val="right"/>
              <w:spacing w:after="0" w:line="46" w:lineRule="exact"/>
              <w:rPr>
                <w:sz w:val="20"/>
                <w:szCs w:val="20"/>
                <w:color w:val="auto"/>
              </w:rPr>
            </w:pPr>
            <w:r>
              <w:rPr>
                <w:rFonts w:ascii="Times New Roman" w:cs="Times New Roman" w:eastAsia="Times New Roman" w:hAnsi="Times New Roman"/>
                <w:sz w:val="5"/>
                <w:szCs w:val="5"/>
                <w:color w:val="auto"/>
              </w:rPr>
              <w:t>​​</w:t>
            </w:r>
          </w:p>
        </w:tc>
        <w:tc>
          <w:tcPr>
            <w:tcW w:w="120" w:type="dxa"/>
            <w:vAlign w:val="bottom"/>
            <w:tcBorders>
              <w:right w:val="single" w:sz="8" w:color="CCEEFF"/>
            </w:tcBorders>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jc w:val="right"/>
              <w:spacing w:after="0" w:line="46" w:lineRule="exact"/>
              <w:rPr>
                <w:sz w:val="20"/>
                <w:szCs w:val="20"/>
                <w:color w:val="auto"/>
              </w:rPr>
            </w:pPr>
            <w:r>
              <w:rPr>
                <w:rFonts w:ascii="Times New Roman" w:cs="Times New Roman" w:eastAsia="Times New Roman" w:hAnsi="Times New Roman"/>
                <w:sz w:val="5"/>
                <w:szCs w:val="5"/>
                <w:color w:val="auto"/>
              </w:rPr>
              <w:t>​​</w:t>
            </w:r>
          </w:p>
        </w:tc>
        <w:tc>
          <w:tcPr>
            <w:tcW w:w="140" w:type="dxa"/>
            <w:vAlign w:val="bottom"/>
            <w:tcBorders>
              <w:right w:val="single" w:sz="8" w:color="CCEEFF"/>
            </w:tcBorders>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jc w:val="right"/>
              <w:ind w:right="2"/>
              <w:spacing w:after="0" w:line="46" w:lineRule="exact"/>
              <w:rPr>
                <w:sz w:val="20"/>
                <w:szCs w:val="20"/>
                <w:color w:val="auto"/>
              </w:rPr>
            </w:pPr>
            <w:r>
              <w:rPr>
                <w:rFonts w:ascii="Times New Roman" w:cs="Times New Roman" w:eastAsia="Times New Roman" w:hAnsi="Times New Roman"/>
                <w:sz w:val="5"/>
                <w:szCs w:val="5"/>
                <w:color w:val="auto"/>
              </w:rPr>
              <w:t>​​</w:t>
            </w:r>
          </w:p>
        </w:tc>
        <w:tc>
          <w:tcPr>
            <w:tcW w:w="220" w:type="dxa"/>
            <w:vAlign w:val="bottom"/>
            <w:gridSpan w:val="2"/>
            <w:shd w:val="clear" w:color="auto" w:fill="CCEEFF"/>
          </w:tcPr>
          <w:p>
            <w:pPr>
              <w:jc w:val="right"/>
              <w:ind w:right="79"/>
              <w:spacing w:after="0" w:line="46" w:lineRule="exact"/>
              <w:rPr>
                <w:sz w:val="20"/>
                <w:szCs w:val="20"/>
                <w:color w:val="auto"/>
              </w:rPr>
            </w:pPr>
            <w:r>
              <w:rPr>
                <w:rFonts w:ascii="Times New Roman" w:cs="Times New Roman" w:eastAsia="Times New Roman" w:hAnsi="Times New Roman"/>
                <w:sz w:val="5"/>
                <w:szCs w:val="5"/>
                <w:color w:val="auto"/>
              </w:rPr>
              <w:t>​​</w:t>
            </w: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420" w:type="dxa"/>
            <w:vAlign w:val="bottom"/>
            <w:gridSpan w:val="2"/>
          </w:tcPr>
          <w:p>
            <w:pPr>
              <w:ind w:left="240"/>
              <w:spacing w:after="0" w:line="127" w:lineRule="exact"/>
              <w:rPr>
                <w:sz w:val="20"/>
                <w:szCs w:val="20"/>
                <w:color w:val="auto"/>
              </w:rPr>
            </w:pPr>
            <w:r>
              <w:rPr>
                <w:rFonts w:ascii="Times New Roman" w:cs="Times New Roman" w:eastAsia="Times New Roman" w:hAnsi="Times New Roman"/>
                <w:sz w:val="12"/>
                <w:szCs w:val="12"/>
                <w:color w:val="auto"/>
              </w:rPr>
              <w:t>Total other income (expense), net</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36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633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3"/>
          </w:tcPr>
          <w:p>
            <w:pPr>
              <w:jc w:val="right"/>
              <w:ind w:right="7"/>
              <w:spacing w:after="0" w:line="127" w:lineRule="exact"/>
              <w:rPr>
                <w:sz w:val="20"/>
                <w:szCs w:val="20"/>
                <w:color w:val="auto"/>
              </w:rPr>
            </w:pPr>
            <w:r>
              <w:rPr>
                <w:rFonts w:ascii="Times New Roman" w:cs="Times New Roman" w:eastAsia="Times New Roman" w:hAnsi="Times New Roman"/>
                <w:sz w:val="12"/>
                <w:szCs w:val="12"/>
                <w:color w:val="auto"/>
              </w:rPr>
              <w:t>​ (2,256)</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4"/>
          </w:tcPr>
          <w:p>
            <w:pPr>
              <w:spacing w:after="0" w:line="127" w:lineRule="exact"/>
              <w:rPr>
                <w:sz w:val="20"/>
                <w:szCs w:val="20"/>
                <w:color w:val="auto"/>
              </w:rPr>
            </w:pPr>
            <w:r>
              <w:rPr>
                <w:rFonts w:ascii="Times New Roman" w:cs="Times New Roman" w:eastAsia="Times New Roman" w:hAnsi="Times New Roman"/>
                <w:sz w:val="12"/>
                <w:szCs w:val="12"/>
                <w:color w:val="auto"/>
              </w:rPr>
              <w:t>​ (2,889)</w:t>
            </w:r>
          </w:p>
        </w:tc>
        <w:tc>
          <w:tcPr>
            <w:tcW w:w="40" w:type="dxa"/>
            <w:vAlign w:val="bottom"/>
          </w:tcPr>
          <w:p>
            <w:pPr>
              <w:spacing w:after="0"/>
              <w:rPr>
                <w:sz w:val="11"/>
                <w:szCs w:val="11"/>
                <w:color w:val="auto"/>
              </w:rPr>
            </w:pPr>
          </w:p>
        </w:tc>
        <w:tc>
          <w:tcPr>
            <w:tcW w:w="180" w:type="dxa"/>
            <w:vAlign w:val="bottom"/>
          </w:tcPr>
          <w:p>
            <w:pPr>
              <w:jc w:val="right"/>
              <w:ind w:right="79"/>
              <w:spacing w:after="0" w:line="12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vertAlign w:val="subscript"/>
              </w:rPr>
              <w:t>​</w:t>
            </w: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46"/>
        </w:trPr>
        <w:tc>
          <w:tcPr>
            <w:tcW w:w="580" w:type="dxa"/>
            <w:vAlign w:val="bottom"/>
          </w:tcPr>
          <w:p>
            <w:pPr>
              <w:spacing w:after="0"/>
              <w:rPr>
                <w:sz w:val="3"/>
                <w:szCs w:val="3"/>
                <w:color w:val="auto"/>
              </w:rPr>
            </w:pPr>
          </w:p>
        </w:tc>
        <w:tc>
          <w:tcPr>
            <w:tcW w:w="284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jc w:val="right"/>
              <w:spacing w:after="0" w:line="46" w:lineRule="exact"/>
              <w:rPr>
                <w:sz w:val="20"/>
                <w:szCs w:val="20"/>
                <w:color w:val="auto"/>
              </w:rPr>
            </w:pPr>
            <w:r>
              <w:rPr>
                <w:rFonts w:ascii="Times New Roman" w:cs="Times New Roman" w:eastAsia="Times New Roman" w:hAnsi="Times New Roman"/>
                <w:sz w:val="5"/>
                <w:szCs w:val="5"/>
                <w:color w:val="auto"/>
              </w:rPr>
              <w:t>​​</w:t>
            </w:r>
          </w:p>
        </w:tc>
        <w:tc>
          <w:tcPr>
            <w:tcW w:w="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jc w:val="right"/>
              <w:ind w:right="2"/>
              <w:spacing w:after="0" w:line="46" w:lineRule="exact"/>
              <w:rPr>
                <w:sz w:val="20"/>
                <w:szCs w:val="20"/>
                <w:color w:val="auto"/>
              </w:rPr>
            </w:pPr>
            <w:r>
              <w:rPr>
                <w:rFonts w:ascii="Times New Roman" w:cs="Times New Roman" w:eastAsia="Times New Roman" w:hAnsi="Times New Roman"/>
                <w:sz w:val="5"/>
                <w:szCs w:val="5"/>
                <w:color w:val="auto"/>
              </w:rPr>
              <w:t>​​</w:t>
            </w:r>
          </w:p>
        </w:tc>
        <w:tc>
          <w:tcPr>
            <w:tcW w:w="220" w:type="dxa"/>
            <w:vAlign w:val="bottom"/>
            <w:gridSpan w:val="2"/>
          </w:tcPr>
          <w:p>
            <w:pPr>
              <w:jc w:val="right"/>
              <w:ind w:right="79"/>
              <w:spacing w:after="0" w:line="46" w:lineRule="exact"/>
              <w:rPr>
                <w:sz w:val="20"/>
                <w:szCs w:val="20"/>
                <w:color w:val="auto"/>
              </w:rPr>
            </w:pPr>
            <w:r>
              <w:rPr>
                <w:rFonts w:ascii="Times New Roman" w:cs="Times New Roman" w:eastAsia="Times New Roman" w:hAnsi="Times New Roman"/>
                <w:sz w:val="5"/>
                <w:szCs w:val="5"/>
                <w:color w:val="auto"/>
              </w:rPr>
              <w:t>​​</w:t>
            </w: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420" w:type="dxa"/>
            <w:vAlign w:val="bottom"/>
            <w:gridSpan w:val="2"/>
          </w:tcPr>
          <w:p>
            <w:pPr>
              <w:spacing w:after="0" w:line="136" w:lineRule="exact"/>
              <w:rPr>
                <w:sz w:val="20"/>
                <w:szCs w:val="20"/>
                <w:color w:val="auto"/>
              </w:rPr>
            </w:pPr>
            <w:r>
              <w:rPr>
                <w:rFonts w:ascii="Times New Roman" w:cs="Times New Roman" w:eastAsia="Times New Roman" w:hAnsi="Times New Roman"/>
                <w:sz w:val="12"/>
                <w:szCs w:val="12"/>
                <w:color w:val="auto"/>
              </w:rPr>
              <w:t>Net loss</w:t>
            </w:r>
          </w:p>
        </w:tc>
        <w:tc>
          <w:tcPr>
            <w:tcW w:w="680" w:type="dxa"/>
            <w:vAlign w:val="bottom"/>
            <w:gridSpan w:val="4"/>
          </w:tcPr>
          <w:p>
            <w:pPr>
              <w:jc w:val="right"/>
              <w:ind w:right="2"/>
              <w:spacing w:after="0" w:line="136" w:lineRule="exact"/>
              <w:rPr>
                <w:sz w:val="20"/>
                <w:szCs w:val="20"/>
                <w:color w:val="auto"/>
              </w:rPr>
            </w:pPr>
            <w:r>
              <w:rPr>
                <w:rFonts w:ascii="Times New Roman" w:cs="Times New Roman" w:eastAsia="Times New Roman" w:hAnsi="Times New Roman"/>
                <w:sz w:val="12"/>
                <w:szCs w:val="12"/>
                <w:color w:val="auto"/>
              </w:rPr>
              <w:t>$(36,027)</w:t>
            </w:r>
          </w:p>
        </w:tc>
        <w:tc>
          <w:tcPr>
            <w:tcW w:w="600" w:type="dxa"/>
            <w:vAlign w:val="bottom"/>
            <w:gridSpan w:val="4"/>
          </w:tcPr>
          <w:p>
            <w:pPr>
              <w:jc w:val="right"/>
              <w:ind w:right="7"/>
              <w:spacing w:after="0" w:line="136" w:lineRule="exact"/>
              <w:rPr>
                <w:sz w:val="20"/>
                <w:szCs w:val="20"/>
                <w:color w:val="auto"/>
              </w:rPr>
            </w:pPr>
            <w:r>
              <w:rPr>
                <w:rFonts w:ascii="Times New Roman" w:cs="Times New Roman" w:eastAsia="Times New Roman" w:hAnsi="Times New Roman"/>
                <w:sz w:val="12"/>
                <w:szCs w:val="12"/>
                <w:color w:val="auto"/>
              </w:rPr>
              <w:t>$(49,849)</w:t>
            </w:r>
          </w:p>
        </w:tc>
        <w:tc>
          <w:tcPr>
            <w:tcW w:w="640" w:type="dxa"/>
            <w:vAlign w:val="bottom"/>
            <w:gridSpan w:val="5"/>
          </w:tcPr>
          <w:p>
            <w:pPr>
              <w:jc w:val="right"/>
              <w:ind w:right="22"/>
              <w:spacing w:after="0" w:line="136" w:lineRule="exact"/>
              <w:rPr>
                <w:sz w:val="20"/>
                <w:szCs w:val="20"/>
                <w:color w:val="auto"/>
              </w:rPr>
            </w:pPr>
            <w:r>
              <w:rPr>
                <w:rFonts w:ascii="Times New Roman" w:cs="Times New Roman" w:eastAsia="Times New Roman" w:hAnsi="Times New Roman"/>
                <w:sz w:val="12"/>
                <w:szCs w:val="12"/>
                <w:color w:val="auto"/>
              </w:rPr>
              <w:t>$(13,822)</w:t>
            </w:r>
          </w:p>
        </w:tc>
        <w:tc>
          <w:tcPr>
            <w:tcW w:w="40" w:type="dxa"/>
            <w:vAlign w:val="bottom"/>
          </w:tcPr>
          <w:p>
            <w:pPr>
              <w:spacing w:after="0"/>
              <w:rPr>
                <w:sz w:val="11"/>
                <w:szCs w:val="11"/>
                <w:color w:val="auto"/>
              </w:rPr>
            </w:pPr>
          </w:p>
        </w:tc>
        <w:tc>
          <w:tcPr>
            <w:tcW w:w="3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2"/>
                <w:szCs w:val="12"/>
                <w:color w:val="auto"/>
              </w:rPr>
              <w:t>​ 38%</w:t>
            </w:r>
          </w:p>
        </w:tc>
        <w:tc>
          <w:tcPr>
            <w:tcW w:w="0" w:type="dxa"/>
            <w:vAlign w:val="bottom"/>
          </w:tcPr>
          <w:p>
            <w:pPr>
              <w:spacing w:after="0"/>
              <w:rPr>
                <w:sz w:val="1"/>
                <w:szCs w:val="1"/>
                <w:color w:val="auto"/>
              </w:rPr>
            </w:pPr>
          </w:p>
        </w:tc>
      </w:tr>
      <w:tr>
        <w:trPr>
          <w:trHeight w:val="53"/>
        </w:trPr>
        <w:tc>
          <w:tcPr>
            <w:tcW w:w="58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
                <w:szCs w:val="1"/>
                <w:color w:val="auto"/>
              </w:rPr>
              <w:t>​ ​​</w:t>
            </w: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
                <w:sz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
                <w:sz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1"/>
                <w:szCs w:val="1"/>
                <w:color w:val="auto"/>
              </w:rPr>
              <w:t>​​</w:t>
            </w:r>
          </w:p>
        </w:tc>
        <w:tc>
          <w:tcPr>
            <w:tcW w:w="220" w:type="dxa"/>
            <w:vAlign w:val="bottom"/>
            <w:gridSpan w:val="2"/>
          </w:tcPr>
          <w:p>
            <w:pPr>
              <w:jc w:val="right"/>
              <w:ind w:right="79"/>
              <w:spacing w:after="0"/>
              <w:rPr>
                <w:sz w:val="20"/>
                <w:szCs w:val="20"/>
                <w:color w:val="auto"/>
              </w:rPr>
            </w:pPr>
            <w:r>
              <w:rPr>
                <w:rFonts w:ascii="Times New Roman" w:cs="Times New Roman" w:eastAsia="Times New Roman" w:hAnsi="Times New Roman"/>
                <w:sz w:val="1"/>
                <w:sz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82"/>
        </w:trPr>
        <w:tc>
          <w:tcPr>
            <w:tcW w:w="580" w:type="dxa"/>
            <w:vAlign w:val="bottom"/>
            <w:tcBorders>
              <w:bottom w:val="single" w:sz="8" w:color="auto"/>
            </w:tcBorders>
          </w:tcPr>
          <w:p>
            <w:pPr>
              <w:spacing w:after="0"/>
              <w:rPr>
                <w:sz w:val="7"/>
                <w:szCs w:val="7"/>
                <w:color w:val="auto"/>
              </w:rPr>
            </w:pPr>
          </w:p>
        </w:tc>
        <w:tc>
          <w:tcPr>
            <w:tcW w:w="2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-203200</wp:posOffset>
            </wp:positionV>
            <wp:extent cx="3535680" cy="133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535680" cy="133985"/>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-889000</wp:posOffset>
            </wp:positionV>
            <wp:extent cx="21526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26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-889000</wp:posOffset>
            </wp:positionV>
            <wp:extent cx="303593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035935" cy="5715"/>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-1534795</wp:posOffset>
            </wp:positionV>
            <wp:extent cx="9334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-1534795</wp:posOffset>
            </wp:positionV>
            <wp:extent cx="9334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-1534795</wp:posOffset>
            </wp:positionV>
            <wp:extent cx="9334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3307715</wp:posOffset>
            </wp:positionH>
            <wp:positionV relativeFrom="paragraph">
              <wp:posOffset>-1534795</wp:posOffset>
            </wp:positionV>
            <wp:extent cx="4635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6355" cy="5715"/>
                    </a:xfrm>
                    <a:prstGeom prst="rect">
                      <a:avLst/>
                    </a:prstGeom>
                    <a:noFill/>
                  </pic:spPr>
                </pic:pic>
              </a:graphicData>
            </a:graphic>
          </wp:anchor>
        </w:drawing>
      </w:r>
    </w:p>
    <w:p>
      <w:pPr>
        <w:spacing w:after="0" w:line="57" w:lineRule="exact"/>
        <w:rPr>
          <w:sz w:val="20"/>
          <w:szCs w:val="20"/>
          <w:color w:val="auto"/>
        </w:rPr>
      </w:pPr>
    </w:p>
    <w:p>
      <w:pPr>
        <w:ind w:left="1960" w:hanging="240"/>
        <w:spacing w:after="0"/>
        <w:tabs>
          <w:tab w:leader="none" w:pos="1960"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not meaningful</w:t>
      </w:r>
    </w:p>
    <w:p>
      <w:pPr>
        <w:spacing w:after="0" w:line="14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i w:val="1"/>
          <w:iCs w:val="1"/>
          <w:color w:val="auto"/>
        </w:rPr>
        <w:t>Research and Development Expenses</w:t>
      </w:r>
    </w:p>
    <w:p>
      <w:pPr>
        <w:spacing w:after="0" w:line="102" w:lineRule="exact"/>
        <w:rPr>
          <w:sz w:val="20"/>
          <w:szCs w:val="20"/>
          <w:color w:val="auto"/>
        </w:rPr>
      </w:pPr>
    </w:p>
    <w:p>
      <w:pPr>
        <w:ind w:left="1720" w:right="1739"/>
        <w:spacing w:after="0" w:line="275" w:lineRule="auto"/>
        <w:rPr>
          <w:sz w:val="20"/>
          <w:szCs w:val="20"/>
          <w:color w:val="auto"/>
        </w:rPr>
      </w:pPr>
      <w:r>
        <w:rPr>
          <w:rFonts w:ascii="Times New Roman" w:cs="Times New Roman" w:eastAsia="Times New Roman" w:hAnsi="Times New Roman"/>
          <w:sz w:val="12"/>
          <w:szCs w:val="12"/>
          <w:color w:val="auto"/>
        </w:rPr>
        <w:t>The following table summarizes our external and internal research and development expenses for the three months ended March 31, 2023 and 2024 (dollars in thousands):</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16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Three months</w:t>
            </w:r>
          </w:p>
        </w:tc>
        <w:tc>
          <w:tcPr>
            <w:tcW w:w="16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Three months</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w w:val="91"/>
              </w:rPr>
              <w:t>Change</w:t>
            </w:r>
          </w:p>
        </w:tc>
        <w:tc>
          <w:tcPr>
            <w:tcW w:w="16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73"/>
        </w:trPr>
        <w:tc>
          <w:tcPr>
            <w:tcW w:w="16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660" w:type="dxa"/>
            <w:vAlign w:val="bottom"/>
          </w:tcPr>
          <w:p>
            <w:pPr>
              <w:jc w:val="center"/>
              <w:spacing w:after="0" w:line="74" w:lineRule="exact"/>
              <w:rPr>
                <w:sz w:val="20"/>
                <w:szCs w:val="20"/>
                <w:color w:val="auto"/>
              </w:rPr>
            </w:pPr>
            <w:r>
              <w:rPr>
                <w:rFonts w:ascii="Times New Roman" w:cs="Times New Roman" w:eastAsia="Times New Roman" w:hAnsi="Times New Roman"/>
                <w:sz w:val="7"/>
                <w:szCs w:val="7"/>
                <w:b w:val="1"/>
                <w:bCs w:val="1"/>
                <w:color w:val="auto"/>
              </w:rPr>
              <w:t>ended</w:t>
            </w:r>
          </w:p>
        </w:tc>
        <w:tc>
          <w:tcPr>
            <w:tcW w:w="160" w:type="dxa"/>
            <w:vAlign w:val="bottom"/>
          </w:tcPr>
          <w:p>
            <w:pPr>
              <w:spacing w:after="0"/>
              <w:rPr>
                <w:sz w:val="6"/>
                <w:szCs w:val="6"/>
                <w:color w:val="auto"/>
              </w:rPr>
            </w:pPr>
          </w:p>
        </w:tc>
        <w:tc>
          <w:tcPr>
            <w:tcW w:w="660" w:type="dxa"/>
            <w:vAlign w:val="bottom"/>
          </w:tcPr>
          <w:p>
            <w:pPr>
              <w:jc w:val="center"/>
              <w:spacing w:after="0" w:line="74" w:lineRule="exact"/>
              <w:rPr>
                <w:sz w:val="20"/>
                <w:szCs w:val="20"/>
                <w:color w:val="auto"/>
              </w:rPr>
            </w:pPr>
            <w:r>
              <w:rPr>
                <w:rFonts w:ascii="Times New Roman" w:cs="Times New Roman" w:eastAsia="Times New Roman" w:hAnsi="Times New Roman"/>
                <w:sz w:val="7"/>
                <w:szCs w:val="7"/>
                <w:b w:val="1"/>
                <w:bCs w:val="1"/>
                <w:color w:val="auto"/>
              </w:rPr>
              <w:t>ended</w:t>
            </w:r>
          </w:p>
        </w:tc>
        <w:tc>
          <w:tcPr>
            <w:tcW w:w="14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r>
      <w:tr>
        <w:trPr>
          <w:trHeight w:val="154"/>
        </w:trPr>
        <w:tc>
          <w:tcPr>
            <w:tcW w:w="16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340" w:type="dxa"/>
            <w:vAlign w:val="bottom"/>
            <w:gridSpan w:val="2"/>
          </w:tcPr>
          <w:p>
            <w:pPr>
              <w:ind w:left="1580"/>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 ​</w:t>
            </w:r>
            <w:r>
              <w:rPr>
                <w:rFonts w:ascii="Times New Roman" w:cs="Times New Roman" w:eastAsia="Times New Roman" w:hAnsi="Times New Roman"/>
                <w:sz w:val="9"/>
                <w:szCs w:val="9"/>
                <w:b w:val="1"/>
                <w:bCs w:val="1"/>
                <w:color w:val="auto"/>
              </w:rPr>
              <w:t xml:space="preserve"> March 31, 2023</w:t>
            </w:r>
          </w:p>
        </w:tc>
        <w:tc>
          <w:tcPr>
            <w:tcW w:w="820" w:type="dxa"/>
            <w:vAlign w:val="bottom"/>
            <w:gridSpan w:val="2"/>
          </w:tcPr>
          <w:p>
            <w:pPr>
              <w:ind w:left="40"/>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 ​</w:t>
            </w:r>
            <w:r>
              <w:rPr>
                <w:rFonts w:ascii="Times New Roman" w:cs="Times New Roman" w:eastAsia="Times New Roman" w:hAnsi="Times New Roman"/>
                <w:sz w:val="9"/>
                <w:szCs w:val="9"/>
                <w:b w:val="1"/>
                <w:bCs w:val="1"/>
                <w:color w:val="auto"/>
              </w:rPr>
              <w:t xml:space="preserve"> March 31,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34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20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9"/>
                <w:szCs w:val="9"/>
                <w:b w:val="1"/>
                <w:bCs w:val="1"/>
                <w:color w:val="auto"/>
              </w:rPr>
              <w:t xml:space="preserve">% </w:t>
            </w:r>
            <w:r>
              <w:rPr>
                <w:rFonts w:ascii="Times New Roman" w:cs="Times New Roman" w:eastAsia="Times New Roman" w:hAnsi="Times New Roman"/>
                <w:sz w:val="17"/>
                <w:szCs w:val="17"/>
                <w:b w:val="1"/>
                <w:bCs w:val="1"/>
                <w:color w:val="auto"/>
                <w:vertAlign w:val="subscript"/>
              </w:rPr>
              <w:t>​</w:t>
            </w:r>
          </w:p>
        </w:tc>
      </w:tr>
      <w:tr>
        <w:trPr>
          <w:trHeight w:val="20"/>
        </w:trPr>
        <w:tc>
          <w:tcPr>
            <w:tcW w:w="1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-5080</wp:posOffset>
            </wp:positionV>
            <wp:extent cx="3535680" cy="1162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External costs:</w:t>
      </w:r>
    </w:p>
    <w:p>
      <w:pPr>
        <w:spacing w:after="0" w:line="3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CRO, CMO and clinical trials</w:t>
      </w:r>
    </w:p>
    <w:p>
      <w:pPr>
        <w:spacing w:after="0" w:line="3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Professional consulting services</w:t>
      </w:r>
    </w:p>
    <w:p>
      <w:pPr>
        <w:spacing w:after="0" w:line="3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Other research and development costs</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Internal costs:</w:t>
      </w:r>
    </w:p>
    <w:p>
      <w:pPr>
        <w:spacing w:after="0" w:line="3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Personnel-related costs</w:t>
      </w:r>
    </w:p>
    <w:p>
      <w:pPr>
        <w:spacing w:after="0" w:line="3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Facilities and overhead costs</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2"/>
          <w:szCs w:val="12"/>
          <w:color w:val="auto"/>
        </w:rPr>
        <w:t>Total research and development expense</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  ​​ ​</w:t>
            </w: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 ​​ ​</w:t>
            </w:r>
          </w:p>
        </w:tc>
        <w:tc>
          <w:tcPr>
            <w:tcW w:w="200" w:type="dxa"/>
            <w:vAlign w:val="bottom"/>
          </w:tcPr>
          <w:p>
            <w:pPr>
              <w:spacing w:after="0"/>
              <w:rPr>
                <w:sz w:val="13"/>
                <w:szCs w:val="13"/>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w w:val="97"/>
              </w:rPr>
              <w:t>​$17,755</w:t>
            </w:r>
          </w:p>
        </w:tc>
        <w:tc>
          <w:tcPr>
            <w:tcW w:w="40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w w:val="97"/>
              </w:rPr>
              <w:t>​$24,264</w:t>
            </w:r>
          </w:p>
        </w:tc>
        <w:tc>
          <w:tcPr>
            <w:tcW w:w="1100" w:type="dxa"/>
            <w:vAlign w:val="bottom"/>
            <w:gridSpan w:val="7"/>
          </w:tcPr>
          <w:p>
            <w:pPr>
              <w:ind w:left="120"/>
              <w:spacing w:after="0"/>
              <w:rPr>
                <w:sz w:val="20"/>
                <w:szCs w:val="20"/>
                <w:color w:val="auto"/>
              </w:rPr>
            </w:pPr>
            <w:r>
              <w:rPr>
                <w:rFonts w:ascii="Times New Roman" w:cs="Times New Roman" w:eastAsia="Times New Roman" w:hAnsi="Times New Roman"/>
                <w:sz w:val="12"/>
                <w:szCs w:val="12"/>
                <w:color w:val="auto"/>
              </w:rPr>
              <w:t>​​ ​​$6,509​​ ​​37​%</w:t>
            </w:r>
          </w:p>
        </w:tc>
      </w:tr>
      <w:tr>
        <w:trPr>
          <w:trHeight w:val="174"/>
        </w:trPr>
        <w:tc>
          <w:tcPr>
            <w:tcW w:w="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 ​ 3,124</w:t>
            </w:r>
          </w:p>
        </w:tc>
        <w:tc>
          <w:tcPr>
            <w:tcW w:w="40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 ​ 3,525</w:t>
            </w:r>
          </w:p>
        </w:tc>
        <w:tc>
          <w:tcPr>
            <w:tcW w:w="42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 ​​ ​</w:t>
            </w:r>
          </w:p>
        </w:tc>
        <w:tc>
          <w:tcPr>
            <w:tcW w:w="68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401​​ ​​13​%</w:t>
            </w:r>
          </w:p>
        </w:tc>
      </w:tr>
      <w:tr>
        <w:trPr>
          <w:trHeight w:val="177"/>
        </w:trPr>
        <w:tc>
          <w:tcPr>
            <w:tcW w:w="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 ​ 2,378</w:t>
            </w:r>
          </w:p>
        </w:tc>
        <w:tc>
          <w:tcPr>
            <w:tcW w:w="40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 ​ 1,997</w:t>
            </w:r>
          </w:p>
        </w:tc>
        <w:tc>
          <w:tcPr>
            <w:tcW w:w="1100" w:type="dxa"/>
            <w:vAlign w:val="bottom"/>
            <w:gridSpan w:val="7"/>
          </w:tcPr>
          <w:p>
            <w:pPr>
              <w:ind w:left="120"/>
              <w:spacing w:after="0"/>
              <w:rPr>
                <w:sz w:val="20"/>
                <w:szCs w:val="20"/>
                <w:color w:val="auto"/>
              </w:rPr>
            </w:pPr>
            <w:r>
              <w:rPr>
                <w:rFonts w:ascii="Times New Roman" w:cs="Times New Roman" w:eastAsia="Times New Roman" w:hAnsi="Times New Roman"/>
                <w:sz w:val="12"/>
                <w:szCs w:val="12"/>
                <w:color w:val="auto"/>
              </w:rPr>
              <w:t>​​ ​​ ​ (381)​​ ​​(16​)%</w:t>
            </w:r>
          </w:p>
        </w:tc>
      </w:tr>
      <w:tr>
        <w:trPr>
          <w:trHeight w:val="171"/>
        </w:trPr>
        <w:tc>
          <w:tcPr>
            <w:tcW w:w="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  ​​ ​</w:t>
            </w: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 ​​ ​</w:t>
            </w:r>
          </w:p>
        </w:tc>
        <w:tc>
          <w:tcPr>
            <w:tcW w:w="20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 ​ 7,087</w:t>
            </w:r>
          </w:p>
        </w:tc>
        <w:tc>
          <w:tcPr>
            <w:tcW w:w="40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 ​ 9,096</w:t>
            </w:r>
          </w:p>
        </w:tc>
        <w:tc>
          <w:tcPr>
            <w:tcW w:w="1100" w:type="dxa"/>
            <w:vAlign w:val="bottom"/>
            <w:gridSpan w:val="7"/>
          </w:tcPr>
          <w:p>
            <w:pPr>
              <w:ind w:left="120"/>
              <w:spacing w:after="0"/>
              <w:rPr>
                <w:sz w:val="20"/>
                <w:szCs w:val="20"/>
                <w:color w:val="auto"/>
              </w:rPr>
            </w:pPr>
            <w:r>
              <w:rPr>
                <w:rFonts w:ascii="Times New Roman" w:cs="Times New Roman" w:eastAsia="Times New Roman" w:hAnsi="Times New Roman"/>
                <w:sz w:val="12"/>
                <w:szCs w:val="12"/>
                <w:color w:val="auto"/>
              </w:rPr>
              <w:t>​​ ​​ ​2,009​​ ​​28​%</w:t>
            </w:r>
          </w:p>
        </w:tc>
      </w:tr>
      <w:tr>
        <w:trPr>
          <w:trHeight w:val="169"/>
        </w:trPr>
        <w:tc>
          <w:tcPr>
            <w:tcW w:w="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 2,091</w:t>
            </w:r>
          </w:p>
        </w:tc>
        <w:tc>
          <w:tcPr>
            <w:tcW w:w="40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 3,079</w:t>
            </w:r>
          </w:p>
        </w:tc>
        <w:tc>
          <w:tcPr>
            <w:tcW w:w="420" w:type="dxa"/>
            <w:vAlign w:val="bottom"/>
            <w:gridSpan w:val="3"/>
          </w:tcPr>
          <w:p>
            <w:pPr>
              <w:ind w:left="120"/>
              <w:spacing w:after="0" w:line="169"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9"/>
                <w:szCs w:val="19"/>
                <w:color w:val="auto"/>
                <w:vertAlign w:val="superscript"/>
              </w:rPr>
              <w:t>​</w:t>
            </w:r>
          </w:p>
        </w:tc>
        <w:tc>
          <w:tcPr>
            <w:tcW w:w="680" w:type="dxa"/>
            <w:vAlign w:val="bottom"/>
            <w:gridSpan w:val="4"/>
          </w:tcPr>
          <w:p>
            <w:pPr>
              <w:ind w:left="20"/>
              <w:spacing w:after="0" w:line="169" w:lineRule="exact"/>
              <w:rPr>
                <w:sz w:val="20"/>
                <w:szCs w:val="20"/>
                <w:color w:val="auto"/>
              </w:rPr>
            </w:pPr>
            <w:r>
              <w:rPr>
                <w:rFonts w:ascii="Times New Roman" w:cs="Times New Roman" w:eastAsia="Times New Roman" w:hAnsi="Times New Roman"/>
                <w:sz w:val="10"/>
                <w:szCs w:val="10"/>
                <w:color w:val="auto"/>
              </w:rPr>
              <w:t>988</w:t>
            </w: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10"/>
                <w:szCs w:val="10"/>
                <w:color w:val="auto"/>
              </w:rPr>
              <w:t>​47</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r>
      <w:tr>
        <w:trPr>
          <w:trHeight w:val="20"/>
        </w:trPr>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2"/>
        </w:trPr>
        <w:tc>
          <w:tcPr>
            <w:tcW w:w="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2"/>
          </w:tcPr>
          <w:p>
            <w:pPr>
              <w:ind w:left="80"/>
              <w:spacing w:after="0" w:line="163"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32,435</w:t>
            </w:r>
          </w:p>
        </w:tc>
        <w:tc>
          <w:tcPr>
            <w:tcW w:w="40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41,961</w:t>
            </w:r>
          </w:p>
        </w:tc>
        <w:tc>
          <w:tcPr>
            <w:tcW w:w="1100" w:type="dxa"/>
            <w:vAlign w:val="bottom"/>
            <w:gridSpan w:val="7"/>
          </w:tcPr>
          <w:p>
            <w:pPr>
              <w:ind w:left="120"/>
              <w:spacing w:after="0" w:line="163"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8"/>
                <w:szCs w:val="18"/>
                <w:u w:val="single" w:color="auto"/>
                <w:color w:val="auto"/>
                <w:vertAlign w:val="superscript"/>
              </w:rPr>
              <w:t>$</w:t>
            </w:r>
            <w:r>
              <w:rPr>
                <w:rFonts w:ascii="Times New Roman" w:cs="Times New Roman" w:eastAsia="Times New Roman" w:hAnsi="Times New Roman"/>
                <w:sz w:val="18"/>
                <w:szCs w:val="18"/>
                <w:color w:val="auto"/>
                <w:vertAlign w:val="superscript"/>
              </w:rPr>
              <w:t>9,526</w:t>
            </w:r>
            <w:r>
              <w:rPr>
                <w:rFonts w:ascii="Times New Roman" w:cs="Times New Roman" w:eastAsia="Times New Roman" w:hAnsi="Times New Roman"/>
                <w:sz w:val="10"/>
                <w:szCs w:val="10"/>
                <w:color w:val="auto"/>
              </w:rPr>
              <w:t>​​ ​​29​%</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-702945</wp:posOffset>
            </wp:positionV>
            <wp:extent cx="3535680" cy="1104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535680" cy="11049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-481965</wp:posOffset>
            </wp:positionV>
            <wp:extent cx="3535680" cy="1104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535680" cy="11049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-260985</wp:posOffset>
            </wp:positionV>
            <wp:extent cx="3535680" cy="1219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535680" cy="121920"/>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4140" w:space="720"/>
            <w:col w:w="4159"/>
          </w:cols>
          <w:pgMar w:left="1440" w:top="105" w:right="1440" w:bottom="1440" w:gutter="0" w:footer="0" w:header="0"/>
          <w:type w:val="continuous"/>
        </w:sect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Research and development expenses increased by $9.5 million, from $32.4 million for the three months ended March 31, 2023 to $42.0 million for the three months ended March 31, 2024.</w:t>
      </w:r>
    </w:p>
    <w:p>
      <w:pPr>
        <w:spacing w:after="0" w:line="50"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CRO, CMO and clinical trials expenses increased by $6.5 million for the three months ended March 31, 2024 compared to the three months ended March 31, 2023, primarily due to a $7.7 million increase in CMC expenses associated with manufacturing of clinical supplies to support our trials, which was partially offset by a $1.2 million decrease in CRO and clinical trial expenses due to the timing and progression of our clinical trials for ESK-001.</w:t>
      </w:r>
    </w:p>
    <w:p>
      <w:pPr>
        <w:spacing w:after="0" w:line="224"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Personnel-related costs increased by $2.0 million for the three months ended March 31, 2024 compared to the three months ended March 31, 2023, as a result of increased research and development headcount from 68 to 89 employees as of March 31, 2023 and 2024, respectively. The increase in personnel- related costs includes an increase in stock-based compensation expense of $0.4 million as we granted more options. Facilities and</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94" w:name="page95"/>
    <w:bookmarkEnd w:id="9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allocated overhead costs increased by $1.0 million primarily as a result of increase in depreciation and facilities expenses allocated to the research and development activities.</w:t>
      </w:r>
    </w:p>
    <w:p>
      <w:pPr>
        <w:spacing w:after="0" w:line="50"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The following table summarizes our external costs by program for the three months ended March 31, 2023 and 2024 (dollars in thousands):</w:t>
      </w:r>
    </w:p>
    <w:tbl>
      <w:tblPr>
        <w:tblLayout w:type="fixed"/>
        <w:tblInd w:w="1720" w:type="dxa"/>
        <w:tblCellMar>
          <w:top w:w="0" w:type="dxa"/>
          <w:left w:w="0" w:type="dxa"/>
          <w:bottom w:w="0" w:type="dxa"/>
          <w:right w:w="0" w:type="dxa"/>
        </w:tblCellMar>
      </w:tblPr>
      <w:tr>
        <w:trPr>
          <w:trHeight w:val="111"/>
        </w:trPr>
        <w:tc>
          <w:tcPr>
            <w:tcW w:w="3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3"/>
          </w:tcPr>
          <w:p>
            <w:pPr>
              <w:jc w:val="center"/>
              <w:ind w:right="20"/>
              <w:spacing w:after="0" w:line="111" w:lineRule="exact"/>
              <w:rPr>
                <w:sz w:val="20"/>
                <w:szCs w:val="20"/>
                <w:color w:val="auto"/>
              </w:rPr>
            </w:pPr>
            <w:r>
              <w:rPr>
                <w:rFonts w:ascii="Times New Roman" w:cs="Times New Roman" w:eastAsia="Times New Roman" w:hAnsi="Times New Roman"/>
                <w:sz w:val="10"/>
                <w:szCs w:val="10"/>
                <w:b w:val="1"/>
                <w:bCs w:val="1"/>
                <w:color w:val="auto"/>
                <w:w w:val="93"/>
              </w:rPr>
              <w:t>Three months</w:t>
            </w:r>
          </w:p>
        </w:tc>
        <w:tc>
          <w:tcPr>
            <w:tcW w:w="140" w:type="dxa"/>
            <w:vAlign w:val="bottom"/>
          </w:tcPr>
          <w:p>
            <w:pPr>
              <w:spacing w:after="0"/>
              <w:rPr>
                <w:sz w:val="9"/>
                <w:szCs w:val="9"/>
                <w:color w:val="auto"/>
              </w:rPr>
            </w:pPr>
          </w:p>
        </w:tc>
        <w:tc>
          <w:tcPr>
            <w:tcW w:w="660" w:type="dxa"/>
            <w:vAlign w:val="bottom"/>
            <w:gridSpan w:val="4"/>
          </w:tcPr>
          <w:p>
            <w:pPr>
              <w:jc w:val="center"/>
              <w:ind w:right="20"/>
              <w:spacing w:after="0" w:line="111" w:lineRule="exact"/>
              <w:rPr>
                <w:sz w:val="20"/>
                <w:szCs w:val="20"/>
                <w:color w:val="auto"/>
              </w:rPr>
            </w:pPr>
            <w:r>
              <w:rPr>
                <w:rFonts w:ascii="Times New Roman" w:cs="Times New Roman" w:eastAsia="Times New Roman" w:hAnsi="Times New Roman"/>
                <w:sz w:val="10"/>
                <w:szCs w:val="10"/>
                <w:b w:val="1"/>
                <w:bCs w:val="1"/>
                <w:color w:val="auto"/>
                <w:w w:val="93"/>
              </w:rPr>
              <w:t>Three months</w:t>
            </w:r>
          </w:p>
        </w:tc>
        <w:tc>
          <w:tcPr>
            <w:tcW w:w="40" w:type="dxa"/>
            <w:vAlign w:val="bottom"/>
          </w:tcPr>
          <w:p>
            <w:pPr>
              <w:spacing w:after="0"/>
              <w:rPr>
                <w:sz w:val="9"/>
                <w:szCs w:val="9"/>
                <w:color w:val="auto"/>
              </w:rPr>
            </w:pPr>
          </w:p>
        </w:tc>
      </w:tr>
      <w:tr>
        <w:trPr>
          <w:trHeight w:val="110"/>
        </w:trPr>
        <w:tc>
          <w:tcPr>
            <w:tcW w:w="3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0"/>
                <w:szCs w:val="10"/>
                <w:b w:val="1"/>
                <w:bCs w:val="1"/>
                <w:color w:val="auto"/>
                <w:w w:val="93"/>
              </w:rPr>
              <w:t>ended</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3"/>
          </w:tcPr>
          <w:p>
            <w:pPr>
              <w:jc w:val="center"/>
              <w:ind w:right="160"/>
              <w:spacing w:after="0" w:line="110" w:lineRule="exact"/>
              <w:rPr>
                <w:sz w:val="20"/>
                <w:szCs w:val="20"/>
                <w:color w:val="auto"/>
              </w:rPr>
            </w:pPr>
            <w:r>
              <w:rPr>
                <w:rFonts w:ascii="Times New Roman" w:cs="Times New Roman" w:eastAsia="Times New Roman" w:hAnsi="Times New Roman"/>
                <w:sz w:val="10"/>
                <w:szCs w:val="10"/>
                <w:b w:val="1"/>
                <w:bCs w:val="1"/>
                <w:color w:val="auto"/>
                <w:w w:val="93"/>
              </w:rPr>
              <w:t>ended</w:t>
            </w:r>
          </w:p>
        </w:tc>
        <w:tc>
          <w:tcPr>
            <w:tcW w:w="40" w:type="dxa"/>
            <w:vAlign w:val="bottom"/>
          </w:tcPr>
          <w:p>
            <w:pPr>
              <w:spacing w:after="0"/>
              <w:rPr>
                <w:sz w:val="9"/>
                <w:szCs w:val="9"/>
                <w:color w:val="auto"/>
              </w:rPr>
            </w:pPr>
          </w:p>
        </w:tc>
      </w:tr>
      <w:tr>
        <w:trPr>
          <w:trHeight w:val="145"/>
        </w:trPr>
        <w:tc>
          <w:tcPr>
            <w:tcW w:w="3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00" w:type="dxa"/>
            <w:vAlign w:val="bottom"/>
            <w:gridSpan w:val="4"/>
          </w:tcPr>
          <w:p>
            <w:pPr>
              <w:ind w:left="4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March 31, 2023</w:t>
            </w:r>
          </w:p>
        </w:tc>
        <w:tc>
          <w:tcPr>
            <w:tcW w:w="84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March 31, 2024 </w:t>
            </w:r>
            <w:r>
              <w:rPr>
                <w:rFonts w:ascii="Times New Roman" w:cs="Times New Roman" w:eastAsia="Times New Roman" w:hAnsi="Times New Roman"/>
                <w:sz w:val="16"/>
                <w:szCs w:val="16"/>
                <w:b w:val="1"/>
                <w:bCs w:val="1"/>
                <w:color w:val="auto"/>
                <w:vertAlign w:val="subscript"/>
              </w:rPr>
              <w:t>​</w:t>
            </w:r>
          </w:p>
        </w:tc>
      </w:tr>
      <w:tr>
        <w:trPr>
          <w:trHeight w:val="163"/>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ESK-001</w:t>
            </w:r>
          </w:p>
        </w:tc>
        <w:tc>
          <w:tcPr>
            <w:tcW w:w="1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​$18,747</w:t>
            </w: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right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​$24,671</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A-005</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rPr>
              <w:t>​ ​  281</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Pr>
          <w:p>
            <w:pPr>
              <w:spacing w:after="0"/>
              <w:rPr>
                <w:sz w:val="15"/>
                <w:szCs w:val="15"/>
                <w:color w:val="auto"/>
              </w:rPr>
            </w:pPr>
          </w:p>
        </w:tc>
        <w:tc>
          <w:tcPr>
            <w:tcW w:w="5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rPr>
              <w:t>​ ​ 3,028</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programs and research and development activities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3"/>
            <w:shd w:val="clear" w:color="auto" w:fill="CCEEFF"/>
          </w:tcPr>
          <w:p>
            <w:pPr>
              <w:jc w:val="cente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4,229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spacing w:after="0"/>
              <w:rPr>
                <w:sz w:val="15"/>
                <w:szCs w:val="15"/>
                <w:color w:val="auto"/>
              </w:rPr>
            </w:pPr>
          </w:p>
        </w:tc>
        <w:tc>
          <w:tcPr>
            <w:tcW w:w="520" w:type="dxa"/>
            <w:vAlign w:val="bottom"/>
            <w:tcBorders>
              <w:right w:val="single" w:sz="8" w:color="CCEEFF"/>
            </w:tcBorders>
            <w:gridSpan w:val="3"/>
            <w:shd w:val="clear" w:color="auto" w:fill="CCEEFF"/>
          </w:tcPr>
          <w:p>
            <w:pPr>
              <w:jc w:val="center"/>
              <w:ind w:right="120"/>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2,087</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3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39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external research and development expense</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3"/>
          </w:tcPr>
          <w:p>
            <w:pPr>
              <w:jc w:val="center"/>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23,257</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Pr>
          <w:p>
            <w:pPr>
              <w:spacing w:after="0"/>
              <w:rPr>
                <w:sz w:val="14"/>
                <w:szCs w:val="14"/>
                <w:color w:val="auto"/>
              </w:rPr>
            </w:pPr>
          </w:p>
        </w:tc>
        <w:tc>
          <w:tcPr>
            <w:tcW w:w="520" w:type="dxa"/>
            <w:vAlign w:val="bottom"/>
            <w:gridSpan w:val="3"/>
          </w:tcPr>
          <w:p>
            <w:pPr>
              <w:jc w:val="center"/>
              <w:ind w:right="120"/>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29,786</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-487680</wp:posOffset>
            </wp:positionV>
            <wp:extent cx="311721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117215" cy="5715"/>
                    </a:xfrm>
                    <a:prstGeom prst="rect">
                      <a:avLst/>
                    </a:prstGeom>
                    <a:noFill/>
                  </pic:spPr>
                </pic:pic>
              </a:graphicData>
            </a:graphic>
          </wp:anchor>
        </w:drawing>
      </w:r>
    </w:p>
    <w:p>
      <w:pPr>
        <w:spacing w:after="0" w:line="16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i w:val="1"/>
          <w:iCs w:val="1"/>
          <w:color w:val="auto"/>
        </w:rPr>
        <w:t>General and Administrative Expenses</w:t>
      </w:r>
    </w:p>
    <w:p>
      <w:pPr>
        <w:spacing w:after="0" w:line="111"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General and administrative expenses increased by $1.4 million, from $4.2 million for the three months ended March 31, 2023 to $5.6 million for the three months ended March 31, 2024. Personnel-related expenses increased by $1.0 million from $ 2.5 million for the three months ended March 31, 2023 to $ 3.5 million for the three months ended March 31, 2024 as a result of an increase in headcount from 17 to 20 employees as of March 31, 2024. The increase in personnel-related costs includes an increase in stock-based compensation expense of $0.4 million as a result of additional options granted. Expenses related to professional consulting services increased by $0.6 million, from $1.4 million for the three months ended March 31, 2023 to $2.0 million for the three months ended March 31, 2024 primarily due to an increase in consulting, legal and accounting services to support our growth and business development.</w:t>
      </w:r>
    </w:p>
    <w:p>
      <w:pPr>
        <w:spacing w:after="0" w:line="1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i w:val="1"/>
          <w:iCs w:val="1"/>
          <w:color w:val="auto"/>
        </w:rPr>
        <w:t>Total Other Income (Expense), Net</w:t>
      </w:r>
    </w:p>
    <w:p>
      <w:pPr>
        <w:spacing w:after="0" w:line="111"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Total other income (expense), net decreased by $2.9 million, from other income of $0.6 million for the three months ended March 31, 2023 to other expense of $2.3 million for the three months ended March 31, 2024.</w:t>
      </w:r>
    </w:p>
    <w:p>
      <w:pPr>
        <w:spacing w:after="0" w:line="59"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Interest income increased by $0.2 million from $ 0.6 million for the three months ended March 31, 2023 to $0.8 million for the three months ended March 31, 2024 as a result of higher interest rates and higher investments balances during the three months ended March 31, 2024 compared to the three months ended March 31, 2023.</w:t>
      </w:r>
    </w:p>
    <w:p>
      <w:pPr>
        <w:spacing w:after="0" w:line="214"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We recognized a change in fair value of a derivative liability loss of $3.1 million for the three months ended March 31, 2024. The derivative liability is our obligation to issue additional Series C or Series C-1 shares of redeemable convertible preferred shares in connection with the Series C redeemable convertible preferred stock financing, and is re-measured at fair value at each reporting period with changes recorded in other income (expense), net. Our fair value estimates were contemporaneously determined using the Black-Scholes model as described in Note 3 to our unaudited interim condensed consolidated financial statements included elsewhere in this prospectus. We did not have a derivative liability for the three months ended March 31, 2023.</w:t>
      </w:r>
    </w:p>
    <w:p>
      <w:pPr>
        <w:spacing w:after="0" w:line="27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Liquidity, Capital Resources and Capital Requirements</w:t>
      </w:r>
    </w:p>
    <w:p>
      <w:pPr>
        <w:spacing w:after="0" w:line="8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b w:val="1"/>
          <w:bCs w:val="1"/>
          <w:color w:val="auto"/>
        </w:rPr>
        <w:t>Sources of Liquidity</w:t>
      </w:r>
    </w:p>
    <w:p>
      <w:pPr>
        <w:spacing w:after="0" w:line="102"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Since our inception, we have not generated any revenue from product sales and have incurred significant operating losses and negative cash flows from our operations. To date, we have primarily funded our operations with proceeds from sales of shares of our redeemable convertible preferred stock and the issuance of convertible promissory notes in private placements. From inception through March 31, 2024, we received aggregate gross proceeds of $459.1 million from sales of shares of our redeemable convertible preferred stock and $37.5 million from the issuance of convertible promissory notes to related parties. As of March 31, 2024, we had $133.7 million in cash, cash equivalents and marketable securities.</w:t>
      </w:r>
    </w:p>
    <w:p>
      <w:pPr>
        <w:spacing w:after="0" w:line="75"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In connection with the Series C redeemable convertible preferred stock financing in March 2024, anytime prior to the earliest of (i) December 31, 2024, (ii) the execution of a letter of intent for the sale of our company, or (iii) the closing date of our initial public offering and at the discretion of our board of directors, we are</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95" w:name="page96"/>
    <w:bookmarkEnd w:id="95"/>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obligated to sell, and each Series C purchaser is obligated to purchase additional shares of our Series C redeemable convertible preferred stock, with the amount equal to the purchaser’s aggregate purchase price in the First Tranche Series C Closing less any previous payments by the purchaser as part of a purchase right exercisable no later than December 31, 2024. In May 2024, we closed the second tranche Series C financing and issued an additional 41,264,892 shares of our Series C redeemable convertible preferred stock for net cash proceeds of approximately $129.3 million. See Note 8 to our unaudited interim condensed consolidated financial statements included elsewhere in this prospectus for more information.</w:t>
      </w:r>
    </w:p>
    <w:p>
      <w:pPr>
        <w:spacing w:after="0" w:line="75"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We expect to incur additional losses and negative cash flows from operations for the next 12 months. Given our recurring losses from operations and negative cash flows, and based on our current operating plan, there is substantial doubt about our ability to continue as a going concern.</w:t>
      </w:r>
    </w:p>
    <w:p>
      <w:pPr>
        <w:spacing w:after="0" w:line="67"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We expect that the funds raised in connection with this offering and our cash, cash equivalents and marketable securities on hand will be sufficient to fund our operating expenses and capital expenditure requirements for at least the next 12 months. We have based this estimate on our current assumptions, which may prove to be wrong, and we may exhaust our available capital resources sooner than we expect.</w:t>
      </w:r>
    </w:p>
    <w:p>
      <w:pPr>
        <w:spacing w:after="0" w:line="71"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Under our stock purchase agreement to acquire FronThera U.S. Holdings, Inc. and its wholly owned subsidiary, FronThera U.S. Pharmaceuticals LLC, we are obligated to pay contingent consideration of up to an aggregate of $120.0 million based on the achievement of specified clinical and approval milestones, for up to an aggregate of $70.0 million payable for clinical milestones, and for up to an aggregate of $ 50.0 million payable for approval milestones, all related to technology acquired under the agreement. We incurred and made a $37.0 million milestone payment in 2022 for the first administration of ESK-001 to a patient enrolled in a Phase 2 clinical trial of ESK-001, which was recorded as research and development expenses in the consolidated statement of operations and comprehensive loss for the year ended December 31, 2022. We will be obligated to make a $23.0 million milestone payment in connection with the first administration of ESK-001 to a patient enrolled in a Phase 3 clinical trial of ESK -001, which we anticipate will occur in the second half of 2024. No remaining milestones were achieved or probable as of March 31, 2024.</w:t>
      </w:r>
    </w:p>
    <w:p>
      <w:pPr>
        <w:spacing w:after="0" w:line="2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Future Funding Requirements</w:t>
      </w:r>
    </w:p>
    <w:p>
      <w:pPr>
        <w:spacing w:after="0" w:line="102"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Our primary uses of cash are to fund our operations, which consist primarily of research and development expenditures related to our programs and, to a lesser extent, general and administrative expenditures. We anticipate that we will continue to incur significant and increasing expenses for the foreseeable future as we continue to advance our product candidates, expand our corporate infrastructure, including the costs associated with being a public company, further our research and development initiatives for our product candidates, and incur costs associated with potential commercialization. We are subject to all of the risks typically related to the development of new drug candidates,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76"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We do not have any products approved for sale and have not generated any revenue from product sales since our inception. We do not expect to generate revenue from any product candidates that we develop until we obtain regulatory approval for one or more of such product candidates and commercialize our products or enter into collaboration agreements with third parties. Because of the numerous risks and uncertainties associated with biopharmaceutical product development, we may never achieve or sustain profitability and, unless and until we are able to develop and commercialize our product candidates, we will need to continue to raise additional capital. Until such time as we can generate significant revenue from product sales, if ever, we expect to finance our operations through public or private equity or debt financings, or potentially other capital sources, such as collaboration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collaboration or licensing arrangements with third parties or other strategic transactions, we may</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96" w:name="page97"/>
    <w:bookmarkEnd w:id="9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5" w:lineRule="auto"/>
        <w:rPr>
          <w:sz w:val="20"/>
          <w:szCs w:val="20"/>
          <w:color w:val="auto"/>
        </w:rPr>
      </w:pPr>
      <w:r>
        <w:rPr>
          <w:rFonts w:ascii="Times New Roman" w:cs="Times New Roman" w:eastAsia="Times New Roman" w:hAnsi="Times New Roman"/>
          <w:sz w:val="12"/>
          <w:szCs w:val="12"/>
          <w:color w:val="auto"/>
        </w:rPr>
        <w:t>have to relinquish rights to our intellectual property, future revenue streams, research programs, or product candidates or grant licenses on terms that may not be favorable to us.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pacing w:after="0" w:line="73"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Because of the numerous risks and uncertainties associated with research, development and commercialization of our products, we are unable to estimate the exact amount of our operating capital requirements. Our future funding requirements will depend on many factors, including the following:</w:t>
      </w:r>
    </w:p>
    <w:p>
      <w:pPr>
        <w:spacing w:after="0" w:line="42" w:lineRule="exact"/>
        <w:rPr>
          <w:sz w:val="20"/>
          <w:szCs w:val="20"/>
          <w:color w:val="auto"/>
        </w:rPr>
      </w:pPr>
    </w:p>
    <w:p>
      <w:pPr>
        <w:ind w:left="2080" w:right="1739" w:hanging="116"/>
        <w:spacing w:after="0" w:line="291" w:lineRule="auto"/>
        <w:tabs>
          <w:tab w:leader="none" w:pos="20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scope, progress and results of our preclinical studies and clinical trials for our current and future product candidates;</w:t>
      </w:r>
    </w:p>
    <w:p>
      <w:pPr>
        <w:spacing w:after="0" w:line="1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scope and duration of clinical trials required for regulatory approval of our current and future product candidates;</w:t>
      </w:r>
    </w:p>
    <w:p>
      <w:pPr>
        <w:spacing w:after="0" w:line="1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outcome, timing and cost of seeking and obtaining regulatory approvals from the FDA and comparable foreign regulatory authorities for our product candidates;</w:t>
      </w:r>
    </w:p>
    <w:p>
      <w:pPr>
        <w:spacing w:after="0" w:line="1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manufacturing clinical and commercial supplies as well as scale up of our current and future product candidates;</w:t>
      </w:r>
    </w:p>
    <w:p>
      <w:pPr>
        <w:spacing w:after="0" w:line="1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increase in the number of our employees and expansion of our physical facilities to support growth initiatives;</w:t>
      </w:r>
    </w:p>
    <w:p>
      <w:pPr>
        <w:spacing w:after="0" w:line="13"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establish new, strategic collaborations, licensing or other arrangements;</w:t>
      </w:r>
    </w:p>
    <w:p>
      <w:pPr>
        <w:spacing w:after="0" w:line="6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filing and prosecuting our patent applications, and maintaining and enforcing our patents and other intellectual property rights;</w:t>
      </w:r>
    </w:p>
    <w:p>
      <w:pPr>
        <w:spacing w:after="0" w:line="13"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to which we acquire or in-license other product candidates and technologies;</w:t>
      </w:r>
    </w:p>
    <w:p>
      <w:pPr>
        <w:spacing w:after="0" w:line="6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defending intellectual property disputes, including patent infringement actions brought by third parties against our product candidates;</w:t>
      </w:r>
    </w:p>
    <w:p>
      <w:pPr>
        <w:spacing w:after="0" w:line="13"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of when we pay our operating expenses;</w:t>
      </w:r>
    </w:p>
    <w:p>
      <w:pPr>
        <w:spacing w:after="0" w:line="63"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competing technological and market developments;</w:t>
      </w:r>
    </w:p>
    <w:p>
      <w:pPr>
        <w:spacing w:after="0" w:line="63" w:lineRule="exact"/>
        <w:rPr>
          <w:rFonts w:ascii="Times New Roman" w:cs="Times New Roman" w:eastAsia="Times New Roman" w:hAnsi="Times New Roman"/>
          <w:sz w:val="12"/>
          <w:szCs w:val="12"/>
          <w:color w:val="auto"/>
        </w:rPr>
      </w:pPr>
    </w:p>
    <w:p>
      <w:pPr>
        <w:jc w:val="both"/>
        <w:ind w:left="2080" w:right="1739" w:hanging="116"/>
        <w:spacing w:after="0" w:line="283" w:lineRule="auto"/>
        <w:tabs>
          <w:tab w:leader="none" w:pos="20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and timing of future commercialization activities, including product manufacturing, marketing, sales and distribution, for any of our product candidates for which we receive marketing approval;</w:t>
      </w:r>
    </w:p>
    <w:p>
      <w:pPr>
        <w:spacing w:after="0" w:line="169"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revenue, if any, received from commercial sales of our product candidates, should any of our product candidates receive marketing approval;</w:t>
      </w:r>
    </w:p>
    <w:p>
      <w:pPr>
        <w:spacing w:after="0" w:line="1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implementation of various computerized informational systems and efforts to enhance operational systems;</w:t>
      </w:r>
    </w:p>
    <w:p>
      <w:pPr>
        <w:spacing w:after="0" w:line="13"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associated with being a public company; and</w:t>
      </w:r>
    </w:p>
    <w:p>
      <w:pPr>
        <w:spacing w:after="0" w:line="6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factors, including economic uncertainty and geopolitical tensions, which may exacerbate the magnitude of the factors discussed above.</w:t>
      </w:r>
    </w:p>
    <w:p>
      <w:pPr>
        <w:spacing w:after="0" w:line="9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Cash Flows</w:t>
      </w:r>
    </w:p>
    <w:p>
      <w:pPr>
        <w:spacing w:after="0" w:line="10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The following summarizes our cash flows for the periods indicated (in thousands):</w:t>
      </w:r>
    </w:p>
    <w:p>
      <w:pPr>
        <w:spacing w:after="0" w:line="128" w:lineRule="exact"/>
        <w:rPr>
          <w:sz w:val="20"/>
          <w:szCs w:val="20"/>
          <w:color w:val="auto"/>
        </w:rPr>
      </w:pPr>
    </w:p>
    <w:tbl>
      <w:tblPr>
        <w:tblLayout w:type="fixed"/>
        <w:tblInd w:w="860" w:type="dxa"/>
        <w:tblCellMar>
          <w:top w:w="0" w:type="dxa"/>
          <w:left w:w="0" w:type="dxa"/>
          <w:bottom w:w="0" w:type="dxa"/>
          <w:right w:w="0" w:type="dxa"/>
        </w:tblCellMar>
      </w:tblPr>
      <w:tr>
        <w:trPr>
          <w:trHeight w:val="115"/>
        </w:trPr>
        <w:tc>
          <w:tcPr>
            <w:tcW w:w="8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tcPr>
          <w:p>
            <w:pPr>
              <w:ind w:left="280"/>
              <w:spacing w:after="0"/>
              <w:rPr>
                <w:sz w:val="20"/>
                <w:szCs w:val="20"/>
                <w:color w:val="auto"/>
              </w:rPr>
            </w:pPr>
            <w:r>
              <w:rPr>
                <w:rFonts w:ascii="Times New Roman" w:cs="Times New Roman" w:eastAsia="Times New Roman" w:hAnsi="Times New Roman"/>
                <w:sz w:val="10"/>
                <w:szCs w:val="10"/>
                <w:b w:val="1"/>
                <w:bCs w:val="1"/>
                <w:color w:val="auto"/>
                <w:w w:val="89"/>
              </w:rPr>
              <w:t>Year ended</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6"/>
          </w:tcPr>
          <w:p>
            <w:pPr>
              <w:jc w:val="right"/>
              <w:ind w:right="85"/>
              <w:spacing w:after="0"/>
              <w:rPr>
                <w:sz w:val="20"/>
                <w:szCs w:val="20"/>
                <w:color w:val="auto"/>
              </w:rPr>
            </w:pPr>
            <w:r>
              <w:rPr>
                <w:rFonts w:ascii="Times New Roman" w:cs="Times New Roman" w:eastAsia="Times New Roman" w:hAnsi="Times New Roman"/>
                <w:sz w:val="10"/>
                <w:szCs w:val="10"/>
                <w:b w:val="1"/>
                <w:bCs w:val="1"/>
                <w:color w:val="auto"/>
                <w:w w:val="91"/>
              </w:rPr>
              <w:t>Three months ended</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5"/>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0"/>
                <w:szCs w:val="10"/>
                <w:b w:val="1"/>
                <w:bCs w:val="1"/>
                <w:color w:val="auto"/>
                <w:w w:val="91"/>
              </w:rPr>
              <w:t>March 31,</w:t>
            </w:r>
          </w:p>
        </w:tc>
        <w:tc>
          <w:tcPr>
            <w:tcW w:w="320" w:type="dxa"/>
            <w:vAlign w:val="bottom"/>
            <w:tcBorders>
              <w:bottom w:val="single" w:sz="8" w:color="auto"/>
            </w:tcBorders>
          </w:tcPr>
          <w:p>
            <w:pPr>
              <w:spacing w:after="0"/>
              <w:rPr>
                <w:sz w:val="12"/>
                <w:szCs w:val="12"/>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54"/>
        </w:trPr>
        <w:tc>
          <w:tcPr>
            <w:tcW w:w="860" w:type="dxa"/>
            <w:vAlign w:val="bottom"/>
          </w:tcPr>
          <w:p>
            <w:pPr>
              <w:spacing w:after="0"/>
              <w:rPr>
                <w:sz w:val="13"/>
                <w:szCs w:val="13"/>
                <w:color w:val="auto"/>
              </w:rPr>
            </w:pPr>
          </w:p>
        </w:tc>
        <w:tc>
          <w:tcPr>
            <w:tcW w:w="3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0"/>
                <w:szCs w:val="10"/>
                <w:b w:val="1"/>
                <w:bCs w:val="1"/>
                <w:color w:val="auto"/>
                <w:w w:val="79"/>
              </w:rPr>
              <w:t>2024</w:t>
            </w:r>
          </w:p>
        </w:tc>
        <w:tc>
          <w:tcPr>
            <w:tcW w:w="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​​$(107,722​​)</w:t>
            </w:r>
          </w:p>
        </w:tc>
        <w:tc>
          <w:tcPr>
            <w:tcW w:w="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​​$(129,975​​)</w:t>
            </w:r>
          </w:p>
        </w:tc>
        <w:tc>
          <w:tcPr>
            <w:tcW w:w="6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​​$(34,668​​)</w:t>
            </w:r>
          </w:p>
        </w:tc>
        <w:tc>
          <w:tcPr>
            <w:tcW w:w="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5"/>
              </w:rPr>
              <w:t>​​$ (44,262​)</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provided by investing activities</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 ​ (68,751​​)</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60,472​​</w:t>
            </w:r>
          </w:p>
        </w:tc>
        <w:tc>
          <w:tcPr>
            <w:tcW w:w="620" w:type="dxa"/>
            <w:vAlign w:val="bottom"/>
            <w:gridSpan w:val="5"/>
          </w:tcPr>
          <w:p>
            <w:pPr>
              <w:ind w:left="40"/>
              <w:spacing w:after="0"/>
              <w:rPr>
                <w:sz w:val="20"/>
                <w:szCs w:val="20"/>
                <w:color w:val="auto"/>
              </w:rPr>
            </w:pPr>
            <w:r>
              <w:rPr>
                <w:rFonts w:ascii="Times New Roman" w:cs="Times New Roman" w:eastAsia="Times New Roman" w:hAnsi="Times New Roman"/>
                <w:sz w:val="12"/>
                <w:szCs w:val="12"/>
                <w:color w:val="auto"/>
              </w:rPr>
              <w:t>​​ ​ 31,065​​</w:t>
            </w: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 ​(18,810​)</w:t>
            </w:r>
          </w:p>
        </w:tc>
        <w:tc>
          <w:tcPr>
            <w:tcW w:w="0" w:type="dxa"/>
            <w:vAlign w:val="bottom"/>
          </w:tcPr>
          <w:p>
            <w:pPr>
              <w:spacing w:after="0"/>
              <w:rPr>
                <w:sz w:val="1"/>
                <w:szCs w:val="1"/>
                <w:color w:val="auto"/>
              </w:rPr>
            </w:pPr>
          </w:p>
        </w:tc>
      </w:tr>
      <w:tr>
        <w:trPr>
          <w:trHeight w:val="137"/>
        </w:trPr>
        <w:tc>
          <w:tcPr>
            <w:tcW w:w="860" w:type="dxa"/>
            <w:vAlign w:val="bottom"/>
          </w:tcPr>
          <w:p>
            <w:pPr>
              <w:spacing w:after="0"/>
              <w:rPr>
                <w:sz w:val="11"/>
                <w:szCs w:val="11"/>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​101,627</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89,682</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3"/>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rPr>
              <w:t>(51)</w:t>
            </w:r>
          </w:p>
        </w:tc>
        <w:tc>
          <w:tcPr>
            <w:tcW w:w="12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​129,147</w:t>
            </w:r>
          </w:p>
        </w:tc>
        <w:tc>
          <w:tcPr>
            <w:tcW w:w="8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46"/>
        </w:trPr>
        <w:tc>
          <w:tcPr>
            <w:tcW w:w="860" w:type="dxa"/>
            <w:vAlign w:val="bottom"/>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100" w:type="dxa"/>
            <w:vAlign w:val="bottom"/>
            <w:vMerge w:val="continue"/>
            <w:shd w:val="clear" w:color="auto" w:fill="CCEEFF"/>
          </w:tcPr>
          <w:p>
            <w:pPr>
              <w:spacing w:after="0"/>
              <w:rPr>
                <w:sz w:val="3"/>
                <w:szCs w:val="3"/>
                <w:color w:val="auto"/>
              </w:rPr>
            </w:pPr>
          </w:p>
        </w:tc>
        <w:tc>
          <w:tcPr>
            <w:tcW w:w="120" w:type="dxa"/>
            <w:vAlign w:val="bottom"/>
            <w:gridSpan w:val="2"/>
            <w:vMerge w:val="continue"/>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vMerge w:val="continue"/>
            <w:shd w:val="clear" w:color="auto" w:fill="CCEEFF"/>
          </w:tcPr>
          <w:p>
            <w:pPr>
              <w:spacing w:after="0"/>
              <w:rPr>
                <w:sz w:val="3"/>
                <w:szCs w:val="3"/>
                <w:color w:val="auto"/>
              </w:rPr>
            </w:pPr>
          </w:p>
        </w:tc>
        <w:tc>
          <w:tcPr>
            <w:tcW w:w="100" w:type="dxa"/>
            <w:vAlign w:val="bottom"/>
            <w:tcBorders>
              <w:right w:val="single" w:sz="8" w:color="CCEEFF"/>
            </w:tcBorders>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120" w:type="dxa"/>
            <w:vAlign w:val="bottom"/>
            <w:tcBorders>
              <w:right w:val="single" w:sz="8" w:color="CCEEFF"/>
            </w:tcBorders>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jc w:val="right"/>
              <w:spacing w:after="0" w:line="46" w:lineRule="exact"/>
              <w:rPr>
                <w:sz w:val="20"/>
                <w:szCs w:val="20"/>
                <w:color w:val="auto"/>
              </w:rPr>
            </w:pPr>
            <w:r>
              <w:rPr>
                <w:rFonts w:ascii="Times New Roman" w:cs="Times New Roman" w:eastAsia="Times New Roman" w:hAnsi="Times New Roman"/>
                <w:sz w:val="5"/>
                <w:szCs w:val="5"/>
                <w:color w:val="auto"/>
              </w:rPr>
              <w:t>​​</w:t>
            </w:r>
          </w:p>
        </w:tc>
        <w:tc>
          <w:tcPr>
            <w:tcW w:w="120" w:type="dxa"/>
            <w:vAlign w:val="bottom"/>
            <w:tcBorders>
              <w:right w:val="single" w:sz="8" w:color="CCEEFF"/>
            </w:tcBorders>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60" w:type="dxa"/>
            <w:vAlign w:val="bottom"/>
          </w:tcPr>
          <w:p>
            <w:pPr>
              <w:spacing w:after="0"/>
              <w:rPr>
                <w:sz w:val="12"/>
                <w:szCs w:val="12"/>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2"/>
                <w:szCs w:val="12"/>
                <w:color w:val="auto"/>
              </w:rPr>
              <w:t>Net (decrease) increase in cash, cash equivalents and</w:t>
            </w:r>
          </w:p>
        </w:tc>
        <w:tc>
          <w:tcPr>
            <w:tcW w:w="10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2"/>
                <w:szCs w:val="12"/>
                <w:color w:val="auto"/>
              </w:rPr>
              <w:t>(74,846)</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20,179</w:t>
            </w:r>
          </w:p>
        </w:tc>
        <w:tc>
          <w:tcPr>
            <w:tcW w:w="80" w:type="dxa"/>
            <w:vAlign w:val="bottom"/>
          </w:tcPr>
          <w:p>
            <w:pPr>
              <w:spacing w:after="0"/>
              <w:rPr>
                <w:sz w:val="12"/>
                <w:szCs w:val="12"/>
                <w:color w:val="auto"/>
              </w:rPr>
            </w:pP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3"/>
            <w:vMerge w:val="restart"/>
          </w:tcPr>
          <w:p>
            <w:pPr>
              <w:jc w:val="right"/>
              <w:ind w:right="27"/>
              <w:spacing w:after="0"/>
              <w:rPr>
                <w:sz w:val="20"/>
                <w:szCs w:val="20"/>
                <w:color w:val="auto"/>
              </w:rPr>
            </w:pPr>
            <w:r>
              <w:rPr>
                <w:rFonts w:ascii="Times New Roman" w:cs="Times New Roman" w:eastAsia="Times New Roman" w:hAnsi="Times New Roman"/>
                <w:sz w:val="12"/>
                <w:szCs w:val="12"/>
                <w:color w:val="auto"/>
              </w:rPr>
              <w:t>(3,654)</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0"/>
              </w:rPr>
              <w:t>66,075</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860" w:type="dxa"/>
            <w:vAlign w:val="bottom"/>
          </w:tcPr>
          <w:p>
            <w:pPr>
              <w:spacing w:after="0"/>
              <w:rPr>
                <w:sz w:val="10"/>
                <w:szCs w:val="10"/>
                <w:color w:val="auto"/>
              </w:rPr>
            </w:pPr>
          </w:p>
        </w:tc>
        <w:tc>
          <w:tcPr>
            <w:tcW w:w="3020" w:type="dxa"/>
            <w:vAlign w:val="bottom"/>
          </w:tcPr>
          <w:p>
            <w:pPr>
              <w:ind w:left="120"/>
              <w:spacing w:after="0" w:line="123" w:lineRule="exact"/>
              <w:rPr>
                <w:sz w:val="20"/>
                <w:szCs w:val="20"/>
                <w:color w:val="auto"/>
              </w:rPr>
            </w:pPr>
            <w:r>
              <w:rPr>
                <w:rFonts w:ascii="Times New Roman" w:cs="Times New Roman" w:eastAsia="Times New Roman" w:hAnsi="Times New Roman"/>
                <w:sz w:val="12"/>
                <w:szCs w:val="12"/>
                <w:color w:val="auto"/>
              </w:rPr>
              <w:t>restricted cash</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8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46"/>
        </w:trPr>
        <w:tc>
          <w:tcPr>
            <w:tcW w:w="86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gridSpan w:val="2"/>
          </w:tcPr>
          <w:p>
            <w:pPr>
              <w:ind w:left="20"/>
              <w:spacing w:after="0" w:line="46" w:lineRule="exact"/>
              <w:rPr>
                <w:sz w:val="20"/>
                <w:szCs w:val="20"/>
                <w:color w:val="auto"/>
              </w:rPr>
            </w:pPr>
            <w:r>
              <w:rPr>
                <w:rFonts w:ascii="Times New Roman" w:cs="Times New Roman" w:eastAsia="Times New Roman" w:hAnsi="Times New Roman"/>
                <w:sz w:val="5"/>
                <w:szCs w:val="5"/>
                <w:color w:val="auto"/>
              </w:rPr>
              <w:t>​​</w:t>
            </w:r>
          </w:p>
        </w:tc>
        <w:tc>
          <w:tcPr>
            <w:tcW w:w="440" w:type="dxa"/>
            <w:vAlign w:val="bottom"/>
          </w:tcPr>
          <w:p>
            <w:pPr>
              <w:spacing w:after="0"/>
              <w:rPr>
                <w:sz w:val="3"/>
                <w:szCs w:val="3"/>
                <w:color w:val="auto"/>
              </w:rPr>
            </w:pPr>
          </w:p>
        </w:tc>
        <w:tc>
          <w:tcPr>
            <w:tcW w:w="100" w:type="dxa"/>
            <w:vAlign w:val="bottom"/>
          </w:tcPr>
          <w:p>
            <w:pPr>
              <w:jc w:val="right"/>
              <w:spacing w:after="0" w:line="46"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tcPr>
          <w:p>
            <w:pPr>
              <w:ind w:left="20"/>
              <w:spacing w:after="0" w:line="46"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tcPr>
          <w:p>
            <w:pPr>
              <w:ind w:left="40"/>
              <w:spacing w:after="0" w:line="46" w:lineRule="exact"/>
              <w:rPr>
                <w:sz w:val="20"/>
                <w:szCs w:val="20"/>
                <w:color w:val="auto"/>
              </w:rPr>
            </w:pPr>
            <w:r>
              <w:rPr>
                <w:rFonts w:ascii="Times New Roman" w:cs="Times New Roman" w:eastAsia="Times New Roman" w:hAnsi="Times New Roman"/>
                <w:sz w:val="5"/>
                <w:szCs w:val="5"/>
                <w:color w:val="auto"/>
              </w:rPr>
              <w:t>​​</w:t>
            </w: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jc w:val="right"/>
              <w:spacing w:after="0" w:line="46" w:lineRule="exact"/>
              <w:rPr>
                <w:sz w:val="20"/>
                <w:szCs w:val="20"/>
                <w:color w:val="auto"/>
              </w:rPr>
            </w:pPr>
            <w:r>
              <w:rPr>
                <w:rFonts w:ascii="Times New Roman" w:cs="Times New Roman" w:eastAsia="Times New Roman" w:hAnsi="Times New Roman"/>
                <w:sz w:val="5"/>
                <w:szCs w:val="5"/>
                <w:color w:val="auto"/>
              </w:rPr>
              <w:t>​​</w:t>
            </w:r>
          </w:p>
        </w:tc>
        <w:tc>
          <w:tcPr>
            <w:tcW w:w="120" w:type="dxa"/>
            <w:vAlign w:val="bottom"/>
          </w:tcPr>
          <w:p>
            <w:pPr>
              <w:ind w:left="20"/>
              <w:spacing w:after="0" w:line="46" w:lineRule="exact"/>
              <w:rPr>
                <w:sz w:val="20"/>
                <w:szCs w:val="20"/>
                <w:color w:val="auto"/>
              </w:rPr>
            </w:pPr>
            <w:r>
              <w:rPr>
                <w:rFonts w:ascii="Times New Roman" w:cs="Times New Roman" w:eastAsia="Times New Roman" w:hAnsi="Times New Roman"/>
                <w:sz w:val="5"/>
                <w:szCs w:val="5"/>
                <w:color w:val="auto"/>
              </w:rPr>
              <w:t>​​</w:t>
            </w: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20" w:type="dxa"/>
            <w:vAlign w:val="bottom"/>
            <w:vMerge w:val="restart"/>
          </w:tcPr>
          <w:p>
            <w:pPr>
              <w:ind w:left="2700"/>
              <w:spacing w:after="0"/>
              <w:rPr>
                <w:sz w:val="20"/>
                <w:szCs w:val="20"/>
                <w:color w:val="auto"/>
              </w:rPr>
            </w:pPr>
            <w:r>
              <w:rPr>
                <w:rFonts w:ascii="Times New Roman" w:cs="Times New Roman" w:eastAsia="Times New Roman" w:hAnsi="Times New Roman"/>
                <w:sz w:val="12"/>
                <w:szCs w:val="12"/>
                <w:color w:val="auto"/>
              </w:rPr>
              <w:t>94</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8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60" w:type="dxa"/>
            <w:vAlign w:val="bottom"/>
            <w:tcBorders>
              <w:bottom w:val="single" w:sz="8" w:color="9A9A9A"/>
            </w:tcBorders>
          </w:tcPr>
          <w:p>
            <w:pPr>
              <w:spacing w:after="0"/>
              <w:rPr>
                <w:sz w:val="23"/>
                <w:szCs w:val="23"/>
                <w:color w:val="auto"/>
              </w:rPr>
            </w:pPr>
          </w:p>
        </w:tc>
        <w:tc>
          <w:tcPr>
            <w:tcW w:w="30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-1011555</wp:posOffset>
            </wp:positionV>
            <wp:extent cx="9334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-1011555</wp:posOffset>
            </wp:positionV>
            <wp:extent cx="9334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-1011555</wp:posOffset>
            </wp:positionV>
            <wp:extent cx="24307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30780" cy="571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-23495</wp:posOffset>
            </wp:positionV>
            <wp:extent cx="3111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538480</wp:posOffset>
            </wp:positionH>
            <wp:positionV relativeFrom="paragraph">
              <wp:posOffset>-23495</wp:posOffset>
            </wp:positionV>
            <wp:extent cx="31115"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7" w:name="page98"/>
    <w:bookmarkEnd w:id="9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i w:val="1"/>
          <w:iCs w:val="1"/>
          <w:color w:val="auto"/>
        </w:rPr>
        <w:t>Operating Activities</w:t>
      </w:r>
    </w:p>
    <w:p>
      <w:pPr>
        <w:spacing w:after="0" w:line="111"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Net cash used in operating activities was $107.7 million and $130.0 million for the years ended December 31, 2022 and 2023, respectively.</w:t>
      </w:r>
    </w:p>
    <w:p>
      <w:pPr>
        <w:spacing w:after="0" w:line="59"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Net cash used in operating activities for the year ended December 31, 2022 was primarily due to our net loss for the period of $111.9 million and changes in operating assets and liabilities of $ 1.9 million. The cash used in operating activities was partially offset by non-cash items of $6.1 million, of which $6.0 million is related to stock-based compensation expense. The changes in operating assets and liabilities primarily include an increase of $7.3 million in research and development prepaid expenses and an increase of $1.0 million in other prepaid expense and current assets, partially offset by an increase of $3.6 million in other accrued expenses and current liabilities, an increase of $2.4 million in research and development accrued expenses and an increase of $1.3 million in accounts payable. The increase in research and development prepaid expenses was primarily due to advance payments to CROs related to the ongoing clinical trials. The increase in other accrued expenses and current liabilities was primarily due to an increase in accrued bonuses expense, driven by an increase in headcount.</w:t>
      </w:r>
    </w:p>
    <w:p>
      <w:pPr>
        <w:spacing w:after="0" w:line="217"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Net cash used in operating activities for the year ended December 31, 2023 was due to our net loss for the period of $155.0 million, offset by non-cash items of $13.0 million and changes in operating assets and liabilities of $12.0 million. Non-cash items primarily include $8.6 million of stock-based compensation expense, $2.0 million of non-cash lease expense and $1.3 million of depreciation and amortization. The changes in operating assets and liabilities primarily include a decrease of $5.5 million in research and development prepaid expenses, an increase of $5.2 million in research and development accrued expenses and an increase $2.5 million in other accrued expenses and current liabilities.</w:t>
      </w:r>
    </w:p>
    <w:p>
      <w:pPr>
        <w:spacing w:after="0" w:line="75"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Net cash used in operating activities was $34.7 million and $44.3 million for the three months ended March 31, 2023 and 2024, respectively.</w:t>
      </w:r>
    </w:p>
    <w:p>
      <w:pPr>
        <w:spacing w:after="0" w:line="59"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Net cash used in operating activities for the three months ended March 31, 2023 was primarily due to our net loss for the period of $36.0 million and changes in operating assets and liabilities of $1.1 million. The cash used in operating activities was partially offset by non-cash items of $2.4 million, of which $1.8 million is related to stock-based compensation expense and $0.8 million is related to non-cash lease expense. The changes in operating assets and liabilities primarily include a decrease of $1.8 million in other accrued expenses and current liabilities, primarily related to bonuses payout, and an increase of $0.8 million in research and development prepaid expenses, partially offset by an increase of $1.3 million in research and development accrued expenses, as our clinical trials activities progress.</w:t>
      </w:r>
    </w:p>
    <w:p>
      <w:pPr>
        <w:spacing w:after="0" w:line="77"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Net cash used in operating activities for the three months ended March 31, 2024 was due to our net loss for the period of $49.8 million, and changes in operating assets and liabilities of $0.9 million. The cash used in operating activities was partially offset by non-cash items of $6.5 million, of which $3.1 million is related to the change in fair value of the derivative liability and $2.7 million is related to stock -based compensation expense. The changes in operating assets and liabilities primarily include a decrease of $3.2 million in other accrued expenses and current liabilities, primarily related to bonuses payout, and an increase of $2.9 million in research and development prepaid expenses, partially offset by an increase of $5.7 million in accounts payable, primarily due to timing of payments to our CROs and CMOs related to our ongoing clinical trials.</w:t>
      </w:r>
    </w:p>
    <w:p>
      <w:pPr>
        <w:spacing w:after="0" w:line="13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i w:val="1"/>
          <w:iCs w:val="1"/>
          <w:color w:val="auto"/>
        </w:rPr>
        <w:t>Investing Activities</w:t>
      </w:r>
    </w:p>
    <w:p>
      <w:pPr>
        <w:spacing w:after="0" w:line="102"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Net cash used in investing activities for the year ended December 31, 2022 of $68.8 million was related to purchases of marketable securities of $209.1 million and purchases of property and equipment of $2.4 million, partially offset by proceeds from maturities of marketable securities of $142.7 million.</w:t>
      </w:r>
    </w:p>
    <w:p>
      <w:pPr>
        <w:spacing w:after="0" w:line="67"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Net cash provided by investing activities for the year ended December 31, 2023 of $ 60.5 million was related to proceeds from maturities of marketable securities of $76.3 million, partially offset by purchases of marketable securities of $11.3 million and purchases of property and equipment of $4.5 million.</w:t>
      </w:r>
    </w:p>
    <w:p>
      <w:pPr>
        <w:spacing w:after="0" w:line="67"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Net cash provided by investing activities for the three months ended March 31, 2023 of $31.1 million was related to proceeds from maturities of marketable securities of $36.3 million, partially offset by purchases of marketable securities of $4.9 million.</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8" w:name="page99"/>
    <w:bookmarkEnd w:id="9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Net cash used in investing activities for the three months ended March 31, 2024 of $18.8 million was related to purchases of marketable securities of $19.7 million, partially offset by proceeds from maturities of marketable securities of $1.0 million.</w:t>
      </w:r>
    </w:p>
    <w:p>
      <w:pPr>
        <w:spacing w:after="0" w:line="1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i w:val="1"/>
          <w:iCs w:val="1"/>
          <w:color w:val="auto"/>
        </w:rPr>
        <w:t>Financing Activities</w:t>
      </w:r>
    </w:p>
    <w:p>
      <w:pPr>
        <w:spacing w:after="0" w:line="111"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Net cash provided by financing activities for the year ended December 31, 2022 of $101.6 million was related to net proceeds from the issuance of our Series B redeemable convertible preferred stock financing of $99.9 million and proceeds of $1.7 million from issuance of common stock upon exercise of stock options.</w:t>
      </w:r>
    </w:p>
    <w:p>
      <w:pPr>
        <w:spacing w:after="0" w:line="214"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Net cash provided by financing activities for the year ended December 31, 2023 of $89.7 million was primarily related to net proceeds from the issuance of our Series B-2 and Series B-2A redeemable convertible preferred stock financing.</w:t>
      </w:r>
    </w:p>
    <w:p>
      <w:pPr>
        <w:spacing w:after="0" w:line="67"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Net cash used in financing activities for the three months ended March 31, 2023 of $0.1 million was related to repurchase of common stock shares issued upon early exercised stock options.</w:t>
      </w:r>
    </w:p>
    <w:p>
      <w:pPr>
        <w:spacing w:after="0" w:line="59"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Net cash provided by financing activities for the three months ended March 31, 2024 of $129.1 million was primarily related to net proceeds from the issuance of our Series C redeemable convertible preferred stock financing.</w:t>
      </w:r>
    </w:p>
    <w:p>
      <w:pPr>
        <w:spacing w:after="0" w:line="1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Contractual Obligations and Commitments</w:t>
      </w:r>
    </w:p>
    <w:p>
      <w:pPr>
        <w:spacing w:after="0" w:line="111"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We enter into contracts in the normal course of business with suppliers, CROs, CMOs and clinical trial sites. These agreements provide for termination at the request of either party generally with less than one-year notice and are therefore cancellable contracts. We do not currently expect any of these agreements to be terminated and did not have any non-cancelable obligations under these agreements as of December 31, 2023 and March 31, 2024.</w:t>
      </w:r>
    </w:p>
    <w:p>
      <w:pPr>
        <w:spacing w:after="0" w:line="217"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On March 5, 2021, we entered into a stock purchase agreement to acquire FronThera U.S. Holdings, Inc. and its wholly owned subsidiary, FronThera U.S. Pharmaceuticals LLC. The transaction was accounted for as an asset acquisition. Under the agreement, we are obligated to pay contingent consideration of up to an aggregate of $120.0 million based on the achievement of specified clinical and approval milestones, for up to an aggregate of $70.0 million payable for clinical milestones, and for up to an aggregate of $50.0 million payable for approval milestones, all related to technology acquired under the agreement. We incurred and paid a milestone of $37.0 million during the year ended December 31, 2022, and will be obligated to make a $23.0 million milestone payment in connection with the first administration of ESK-001 to a patient enrolled in a Phase 3 clinical trial of ESK-001, which we anticipate will occur in the second half of 2024. No remaining milestones were reached or probable for the year ended December 31, 2023 and three months ended March 31, 2024.</w:t>
      </w:r>
    </w:p>
    <w:p>
      <w:pPr>
        <w:spacing w:after="0" w:line="26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Leases</w:t>
      </w:r>
    </w:p>
    <w:p>
      <w:pPr>
        <w:spacing w:after="0" w:line="111"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We have operating lease arrangements for office and laboratory space in South San Francisco, California. As of March 31, 2024, we had total lease payment obligations under non-cancelable leases of $52.3 million, including $3.9 million payable through December 31, 2024. See Note 7 to our unaudited interim condensed consolidated financial statements included elsewhere in this prospectus.</w:t>
      </w:r>
    </w:p>
    <w:p>
      <w:pPr>
        <w:spacing w:after="0" w:line="11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Recently Issued Accounting Pronouncements</w:t>
      </w:r>
    </w:p>
    <w:p>
      <w:pPr>
        <w:spacing w:after="0" w:line="111"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A description of recently issued accounting pronouncements that may potentially impact our financial position, results of operations or cash flows is disclosed in Note 2 to our audited consolidated financial statements and Note 2 to our unaudited interim condensed consolidated financial statements included elsewhere in this prospectus.</w:t>
      </w:r>
    </w:p>
    <w:p>
      <w:pPr>
        <w:spacing w:after="0" w:line="25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Critical Accounting Policies and Significant Judgments and Estimates</w:t>
      </w:r>
    </w:p>
    <w:p>
      <w:pPr>
        <w:spacing w:after="0" w:line="111"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Our management’s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9" w:name="page100"/>
    <w:bookmarkEnd w:id="9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and liabilities, the disclosure of contingent assets and liabilities at the date of the financial statements, and the reported expenses during the reporting period.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w:t>
      </w:r>
    </w:p>
    <w:p>
      <w:pPr>
        <w:spacing w:after="0" w:line="77"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Although our significant accounting policies are described in more detail in Note 2 to our audited consolidated financial statements and Note 2 to our unaudited interim condensed consolidated financial statements included in this prospectus, we believe that the following accounting policies are those most critical to the judgments and estimates used in the preparation of our financial statements.</w:t>
      </w:r>
    </w:p>
    <w:p>
      <w:pPr>
        <w:spacing w:after="0" w:line="11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Research and Development Accrued Expenses</w:t>
      </w:r>
    </w:p>
    <w:p>
      <w:pPr>
        <w:spacing w:after="0" w:line="111"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Research and development costs are expensed as incurred. As part of the process of preparing our financial statements, we are required to estimate our research and development accrued expenses, including those related to clinical trials and manufacturing clinical and preclinical materials. This process involves reviewing open contracts and purchase orders and communicating with our applicable personnel to identify services that have been performed on our behalf and estimating the level of service performed and the associated cost incurred for the services when we have not yet been invoiced or otherwise notified of actual costs. Our service providers invoice us in arrears, as well as on a pre-determined schedule or when contractual milestones are met. We make estimates of our research and development accrued expenses as of each balance sheet date in the consolidated financial statements based on facts and circumstances known to us at that time. We periodically confirm the accuracy of the estimates with the service providers and make adjustments if necessary. Examples of estimated research and development accrued expenses include fees paid to:</w:t>
      </w:r>
    </w:p>
    <w:p>
      <w:pPr>
        <w:spacing w:after="0" w:line="193" w:lineRule="exact"/>
        <w:rPr>
          <w:sz w:val="20"/>
          <w:szCs w:val="20"/>
          <w:color w:val="auto"/>
        </w:rPr>
      </w:pPr>
    </w:p>
    <w:p>
      <w:pPr>
        <w:ind w:left="2080" w:hanging="116"/>
        <w:spacing w:after="0"/>
        <w:tabs>
          <w:tab w:leader="none" w:pos="208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vendors in connection with preclinical and clinical development activities;</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CROs in connection with clinical trials; and</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CMOs in connection with the process development and scale-up activities and the production of preclinical and clinical trial materials.</w:t>
      </w:r>
    </w:p>
    <w:p>
      <w:pPr>
        <w:spacing w:after="0" w:line="59"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Costs for clinical trials and manufacturing activities are recognized based on an evaluation of our vendors’ progress towards completion of specific tasks, using data such as participant enrollment, clinical site activations or information provided to us by our vendors regarding their actual costs incurred. Payments for these activities are based on the terms of individual contracts and payment timing may differ significantly from the period in which the services were performed. We determine accrual estimates through reports from and discussions with applicable personnel and outside service providers as to the progress or state of completion of studies, or the services completed. Our estimates of research and development accrued expenses as of each balance sheet date are based on the facts and circumstances known at the time. Costs that are paid in advance of performance are deferred as a prepaid expense and amortized over the service period as the services are provided.</w:t>
      </w:r>
    </w:p>
    <w:p>
      <w:pPr>
        <w:spacing w:after="0" w:line="219"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research and development accrued expenses. However, due to the nature of estimates, we cannot assure that we will not make changes to our estimates in the future as we become aware of additional information about the status or conduct of our clinical trials and other research activities.</w:t>
      </w:r>
    </w:p>
    <w:p>
      <w:pPr>
        <w:spacing w:after="0" w:line="1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Asset Acquisitions and Acquired In-Process Research and Development Expenses</w:t>
      </w:r>
    </w:p>
    <w:p>
      <w:pPr>
        <w:spacing w:after="0" w:line="111"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We measure and recognize asset acquisitions that are not deemed to be business combinations based on the cost to acquire the asset or group of assets, which includes transaction costs. We determine if the acquisition should be accounted for as an asset acquisition after considering whether substantially all of the fair value of</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00" w:name="page101"/>
    <w:bookmarkEnd w:id="10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5" w:lineRule="auto"/>
        <w:rPr>
          <w:sz w:val="20"/>
          <w:szCs w:val="20"/>
          <w:color w:val="auto"/>
        </w:rPr>
      </w:pPr>
      <w:r>
        <w:rPr>
          <w:rFonts w:ascii="Times New Roman" w:cs="Times New Roman" w:eastAsia="Times New Roman" w:hAnsi="Times New Roman"/>
          <w:sz w:val="12"/>
          <w:szCs w:val="12"/>
          <w:color w:val="auto"/>
        </w:rPr>
        <w:t>the gross assets acquired was concentrated in a single asset or group of assets and whether we acquired a substantive process capable of significantly contributing to our ability to create outputs. Goodwill is not recognized in asset acquisitions. If acquired in-process technology assets, including licenses, know-how and patents are determined to not have an alternative future use, the cost is charged to research and development expenses at the acquisition date.</w:t>
      </w:r>
    </w:p>
    <w:p>
      <w:pPr>
        <w:spacing w:after="0" w:line="73"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probable and reasonably estimable.</w:t>
      </w:r>
    </w:p>
    <w:p>
      <w:pPr>
        <w:spacing w:after="0" w:line="11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Derivative Liability</w:t>
      </w:r>
    </w:p>
    <w:p>
      <w:pPr>
        <w:spacing w:after="0" w:line="111"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We determined that the obligation to issue additional shares of redeemable convertible preferred stock upon the occurrence of certain events, including our board of directors’ consent, represents a freestanding financial instrument. The instrument is classified as a liability on the consolidated balance sheets and is subject to re-measurement at each balance sheet date and at the settlement date. Any change in fair value is recognized in the statements of operations and comprehensive loss.</w:t>
      </w:r>
    </w:p>
    <w:p>
      <w:pPr>
        <w:spacing w:after="0" w:line="75"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We utilize the Black-Scholes option-pricing model, which incorporates assumptions and estimates, to value the derivative liability. On a quarterly basis, we assess these assumptions and estimates as additional information impacting the assumptions is obtained. Significant estimates and assumptions impacting fair value include the estimated time and probability of closing of the second tranche financing, preferred stock fair value and estimated stock volatility.</w:t>
      </w:r>
    </w:p>
    <w:p>
      <w:pPr>
        <w:spacing w:after="0" w:line="75"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We determine the fair value per share of the underlying redeemable convertible preferred stock by taking into consideration our most recent sales of our preferred stock as well as additional factors that we deem relevant. We are a private company and lack company-specific historical and implied volatility information of our stock. Therefore, we determine expected stock volatility based on the historical volatility of the prices of shares of common stock of publicly traded peer companies. We estimate the risk-free interest rate by reference to the U.S. Treasury yield curve for time periods approximately equal to the remaining contractual term of the outstanding tranche liability. We have assumed a 0% dividend considering that our board of directors has no history of declaring dividends and does not intend to declare any.</w:t>
      </w:r>
    </w:p>
    <w:p>
      <w:pPr>
        <w:spacing w:after="0" w:line="77" w:lineRule="exact"/>
        <w:rPr>
          <w:sz w:val="20"/>
          <w:szCs w:val="20"/>
          <w:color w:val="auto"/>
        </w:rPr>
      </w:pPr>
    </w:p>
    <w:p>
      <w:pPr>
        <w:jc w:val="both"/>
        <w:ind w:left="1720" w:right="1739"/>
        <w:spacing w:after="0" w:line="255" w:lineRule="auto"/>
        <w:rPr>
          <w:sz w:val="20"/>
          <w:szCs w:val="20"/>
          <w:color w:val="auto"/>
        </w:rPr>
      </w:pPr>
      <w:r>
        <w:rPr>
          <w:rFonts w:ascii="Times New Roman" w:cs="Times New Roman" w:eastAsia="Times New Roman" w:hAnsi="Times New Roman"/>
          <w:sz w:val="12"/>
          <w:szCs w:val="12"/>
          <w:color w:val="auto"/>
        </w:rPr>
        <w:t>In May 2023, we estimated the fair value of the derivative liability of $2.1 million at the issuance date. We recognized changes in fair value of $0.1 million as other expense in the consolidated statement of operations and comprehensive loss during the year ended December 31, 2023. The derivative liability was settled in October 2023, when investors purchased shares of Series B-2 and Series B-2A redeemable convertible preferred stock in a second tranche closing.</w:t>
      </w:r>
    </w:p>
    <w:p>
      <w:pPr>
        <w:spacing w:after="0" w:line="73"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In connection with the Series C redeemable convertible preferred stock financing in March 2024, we issued to investors two freestanding financial instruments and estimated their fair value of $8.9 million at the issuance date. We recognized changes in fair value of $3.1 million as other expense in the interim condensed consolidated statement of operations and comprehensive loss during the three months ended March 31, 2024. As of March 31, 2024, the fair value of the derivative liability was $12.0 million in our unaudited interim condensed consolidated balance sheet. The derivative liability was settled in May 2024, when investors purchased shares of Series C redeemable convertible preferred stock in the second tranche Series C closing.</w:t>
      </w:r>
    </w:p>
    <w:p>
      <w:pPr>
        <w:spacing w:after="0" w:line="26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Stock-Based Compensation Expense</w:t>
      </w:r>
    </w:p>
    <w:p>
      <w:pPr>
        <w:spacing w:after="0" w:line="111" w:lineRule="exact"/>
        <w:rPr>
          <w:sz w:val="20"/>
          <w:szCs w:val="20"/>
          <w:color w:val="auto"/>
        </w:rPr>
      </w:pPr>
    </w:p>
    <w:p>
      <w:pPr>
        <w:jc w:val="both"/>
        <w:ind w:left="1720" w:right="1739"/>
        <w:spacing w:after="0" w:line="253" w:lineRule="auto"/>
        <w:rPr>
          <w:sz w:val="20"/>
          <w:szCs w:val="20"/>
          <w:color w:val="auto"/>
        </w:rPr>
      </w:pPr>
      <w:r>
        <w:rPr>
          <w:rFonts w:ascii="Times New Roman" w:cs="Times New Roman" w:eastAsia="Times New Roman" w:hAnsi="Times New Roman"/>
          <w:sz w:val="12"/>
          <w:szCs w:val="12"/>
          <w:color w:val="auto"/>
        </w:rPr>
        <w:t>Stock-based compensation expense related to the stock-based awards granted to employees, consultants and directors is measured at the grant date based on the fair value of the award. Compensation expense for those awards is recognized over the requisite service period, which is generally the vesting period. We use the straight-line method to record the expense of awards with service-based vesting conditions. We account for forfeitures of stock-based awards as they occur rather than applying an estimated forfeiture rate to stock-based compensation expense.</w:t>
      </w:r>
    </w:p>
    <w:p>
      <w:pPr>
        <w:spacing w:after="0" w:line="216"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We estimate the fair value of each award on the date of grant using the Black-Scholes option -pricing model. This model requires the use of highly subject assumptions to determine the fair value of each stock-based award, including:</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01" w:name="page102"/>
    <w:bookmarkEnd w:id="101"/>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080" w:right="1739" w:hanging="116"/>
        <w:spacing w:after="0" w:line="294" w:lineRule="auto"/>
        <w:tabs>
          <w:tab w:leader="none" w:pos="20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Fair value of common stock. </w:t>
      </w:r>
      <w:r>
        <w:rPr>
          <w:rFonts w:ascii="Times New Roman" w:cs="Times New Roman" w:eastAsia="Times New Roman" w:hAnsi="Times New Roman"/>
          <w:sz w:val="12"/>
          <w:szCs w:val="12"/>
          <w:color w:val="auto"/>
        </w:rPr>
        <w:t>See the subsection titled “—Determination of Fair Value of Common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Stock” below.</w:t>
      </w:r>
    </w:p>
    <w:p>
      <w:pPr>
        <w:spacing w:after="0" w:line="28" w:lineRule="exact"/>
        <w:rPr>
          <w:rFonts w:ascii="Times New Roman" w:cs="Times New Roman" w:eastAsia="Times New Roman" w:hAnsi="Times New Roman"/>
          <w:sz w:val="12"/>
          <w:szCs w:val="12"/>
          <w:color w:val="auto"/>
        </w:rPr>
      </w:pPr>
    </w:p>
    <w:p>
      <w:pPr>
        <w:jc w:val="both"/>
        <w:ind w:left="2080" w:right="1739" w:hanging="116"/>
        <w:spacing w:after="0" w:line="268" w:lineRule="auto"/>
        <w:tabs>
          <w:tab w:leader="none" w:pos="20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Expected term. </w:t>
      </w:r>
      <w:r>
        <w:rPr>
          <w:rFonts w:ascii="Times New Roman" w:cs="Times New Roman" w:eastAsia="Times New Roman" w:hAnsi="Times New Roman"/>
          <w:sz w:val="12"/>
          <w:szCs w:val="12"/>
          <w:color w:val="auto"/>
        </w:rPr>
        <w:t>The expected term represents the weighted-average period the stock options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expected to remain outstanding and is based on the options’ vesting terms and contractual terms, as we did not have sufficient historical information to develop reasonable expectations about future exercise patterns and post-vesting employment termination behavior.</w:t>
      </w:r>
    </w:p>
    <w:p>
      <w:pPr>
        <w:spacing w:after="0" w:line="52" w:lineRule="exact"/>
        <w:rPr>
          <w:rFonts w:ascii="Times New Roman" w:cs="Times New Roman" w:eastAsia="Times New Roman" w:hAnsi="Times New Roman"/>
          <w:sz w:val="12"/>
          <w:szCs w:val="12"/>
          <w:color w:val="auto"/>
        </w:rPr>
      </w:pPr>
    </w:p>
    <w:p>
      <w:pPr>
        <w:jc w:val="both"/>
        <w:ind w:left="2080" w:right="1739" w:hanging="116"/>
        <w:spacing w:after="0" w:line="262" w:lineRule="auto"/>
        <w:tabs>
          <w:tab w:leader="none" w:pos="20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Expected volatility. </w:t>
      </w:r>
      <w:r>
        <w:rPr>
          <w:rFonts w:ascii="Times New Roman" w:cs="Times New Roman" w:eastAsia="Times New Roman" w:hAnsi="Times New Roman"/>
          <w:sz w:val="12"/>
          <w:szCs w:val="12"/>
          <w:color w:val="auto"/>
        </w:rPr>
        <w:t>Since we are not yet a public company and do not have any trading history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our common stock, the expected volatility was estimated based on the average historical volatilities of common stock of comparable publicly traded entities over a period equal to the expected term of the stock option grants. The comparable industry peers were chosen based on their size, stage of their life cycle or area of specialty. We will continue to apply this process until enough historical information regarding the volatility of our stock price becomes available.</w:t>
      </w:r>
    </w:p>
    <w:p>
      <w:pPr>
        <w:spacing w:after="0" w:line="48" w:lineRule="exact"/>
        <w:rPr>
          <w:rFonts w:ascii="Times New Roman" w:cs="Times New Roman" w:eastAsia="Times New Roman" w:hAnsi="Times New Roman"/>
          <w:sz w:val="12"/>
          <w:szCs w:val="12"/>
          <w:color w:val="auto"/>
        </w:rPr>
      </w:pPr>
    </w:p>
    <w:p>
      <w:pPr>
        <w:jc w:val="both"/>
        <w:ind w:left="2080" w:right="1739" w:hanging="116"/>
        <w:spacing w:after="0" w:line="274" w:lineRule="auto"/>
        <w:tabs>
          <w:tab w:leader="none" w:pos="20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Risk-free interest rate. </w:t>
      </w:r>
      <w:r>
        <w:rPr>
          <w:rFonts w:ascii="Times New Roman" w:cs="Times New Roman" w:eastAsia="Times New Roman" w:hAnsi="Times New Roman"/>
          <w:sz w:val="12"/>
          <w:szCs w:val="12"/>
          <w:color w:val="auto"/>
        </w:rPr>
        <w:t>The risk-free interest rate is based on the U.S. Treasury yield in effect at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time of grant for zero-coupon U.S. Treasury notes with maturities approximately equal to the expected term of the awards.</w:t>
      </w:r>
    </w:p>
    <w:p>
      <w:pPr>
        <w:spacing w:after="0" w:line="40" w:lineRule="exact"/>
        <w:rPr>
          <w:rFonts w:ascii="Times New Roman" w:cs="Times New Roman" w:eastAsia="Times New Roman" w:hAnsi="Times New Roman"/>
          <w:sz w:val="12"/>
          <w:szCs w:val="12"/>
          <w:color w:val="auto"/>
        </w:rPr>
      </w:pPr>
    </w:p>
    <w:p>
      <w:pPr>
        <w:ind w:left="2080" w:right="1739" w:hanging="116"/>
        <w:spacing w:after="0" w:line="294" w:lineRule="auto"/>
        <w:tabs>
          <w:tab w:leader="none" w:pos="20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Expected dividend yield. </w:t>
      </w:r>
      <w:r>
        <w:rPr>
          <w:rFonts w:ascii="Times New Roman" w:cs="Times New Roman" w:eastAsia="Times New Roman" w:hAnsi="Times New Roman"/>
          <w:sz w:val="12"/>
          <w:szCs w:val="12"/>
          <w:color w:val="auto"/>
        </w:rPr>
        <w:t>We have never paid dividends on our common stock and have no plans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pay dividends on our common stock. Therefore, we used an expected dividend yield of zero.</w:t>
      </w:r>
    </w:p>
    <w:p>
      <w:pPr>
        <w:spacing w:after="0" w:line="49"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See Note 11 to our audited consolidated financial statements and Note 10 to our unaudited interim condensed consolidated financial statements included elsewhere in this prospectus for information concerning certain of the specific assumptions we used in applying the Black-Scholes option pricing model to determine the estimated fair value of our stock options granted in the periods presented.</w:t>
      </w:r>
    </w:p>
    <w:p>
      <w:pPr>
        <w:spacing w:after="0" w:line="75"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As of March 31, 2024, there was $31.6 million of total unrecognized stock-based compensation expense related to our granted options, which we expect to recognize over a remaining weighted-average period of 3.1 years. We expect to continue to grant equity-based awards in the future, and to the extent that we do, our stock-based compensations expense recognized in future periods will likely increase.</w:t>
      </w:r>
    </w:p>
    <w:p>
      <w:pPr>
        <w:spacing w:after="0" w:line="75"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The intrinsic value of all outstanding stock options as of March 31, 2024 was approximately $47.7 million, based on the assumed initial public offering price of $17.00 per share, which is the midpoint of the estimated offering price range set forth on the cover page of this prospectus, of which approximately $14.0 million related to vested stock options and approximately $33.7 million related to unvested stock options.</w:t>
      </w:r>
    </w:p>
    <w:p>
      <w:pPr>
        <w:spacing w:after="0" w:line="1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Determination of Fair Value of Common Stock</w:t>
      </w:r>
    </w:p>
    <w:p>
      <w:pPr>
        <w:spacing w:after="0" w:line="102"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 xml:space="preserve">As there has been no public market for our common stock to date, the estimated fair value of our common stock underlying our share-based awards was estimated on each grant date by our management and approved by our board of directors. Our board of directors exercised reasonable judgment and considered a number of objective and subjective factor, as well as valuations prepared by independent third-party valuation firms. The methodologies used to estimate the enterprise value are performed using methodologies, approaches and assumptions consistent with the American Institute of Certified Public Accountants Accounting and Valuation Guide, Valuation of Privately-Held-Company Equity Securities Issued as Compensation </w:t>
      </w:r>
      <w:r>
        <w:rPr>
          <w:rFonts w:ascii="Times New Roman" w:cs="Times New Roman" w:eastAsia="Times New Roman" w:hAnsi="Times New Roman"/>
          <w:sz w:val="12"/>
          <w:szCs w:val="12"/>
          <w:i w:val="1"/>
          <w:iCs w:val="1"/>
          <w:color w:val="auto"/>
        </w:rPr>
        <w:t>(the Practice Aid)</w:t>
      </w:r>
      <w:r>
        <w:rPr>
          <w:rFonts w:ascii="Times New Roman" w:cs="Times New Roman" w:eastAsia="Times New Roman" w:hAnsi="Times New Roman"/>
          <w:sz w:val="12"/>
          <w:szCs w:val="12"/>
          <w:color w:val="auto"/>
        </w:rPr>
        <w:t>.</w:t>
      </w:r>
    </w:p>
    <w:p>
      <w:pPr>
        <w:spacing w:after="0" w:line="227"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In addition to considering the results of independent third-party valuations, we considered various objective and subjective factors to determine the fair value of common stock as of each grant date, including:</w:t>
      </w:r>
    </w:p>
    <w:p>
      <w:pPr>
        <w:spacing w:after="0" w:line="32" w:lineRule="exact"/>
        <w:rPr>
          <w:sz w:val="20"/>
          <w:szCs w:val="20"/>
          <w:color w:val="auto"/>
        </w:rPr>
      </w:pPr>
    </w:p>
    <w:p>
      <w:pPr>
        <w:ind w:left="2080" w:right="1739" w:hanging="116"/>
        <w:spacing w:after="0" w:line="291" w:lineRule="auto"/>
        <w:tabs>
          <w:tab w:leader="none" w:pos="20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prices at which we sold shares of our preferred stock and the superior rights, preferences and privileges of our preferred stock relative to those of our common stock at the time of each grant;</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progress of our research and development programs, including the status of preclinical studies and clinical trials for our product candidates;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stage of development and our business strategy, and material risks related to our business;</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external market conditions affecting the biotechnology industry and trends within the biotechnology industry;</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02" w:name="page103"/>
    <w:bookmarkEnd w:id="10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ind w:left="2080" w:hanging="116"/>
        <w:spacing w:after="0"/>
        <w:tabs>
          <w:tab w:leader="none" w:pos="20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competitive landscape for our product candidates;</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financial position, including cash on hand, and our historical and forecasted performance and operating results;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lack of an active public market for our common stock and our preferred stock;</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likelihood of achieving a liquidity event, such as an IPO or a sale of our company, given prevailing market conditions; and</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economy in general.</w:t>
      </w:r>
    </w:p>
    <w:p>
      <w:pPr>
        <w:spacing w:after="0" w:line="100"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Prior to May 2023, we utilized an Option Pricing Method (OPM) based analysis, primarily the OPM backsolve methodology, to determine the estimated fair value of our common stock and redeemable convertible preferred stock. Within the OPM framework, we determined the backsolve method was the most appropriate method for determining the fair value of our common stock. The backsolve method is used for inferring the total equity value implied by a recent financing transaction, or by an estimated equity value of our pipeline product candidates, involves the construction of an allocation model that takes into account our capital structure and the rights, preferences and privileges of each class of stock, then assumes reasonable inputs for the other OPM variables (expected time to liquidity, volatility and risk-free rate). The total equity value is then iterated in the model until the model output value for the equity class sold in a recent financing round equals the price paid in that round. The OPM is generally utilized when specific future liquidity events are difficult to forecast (i.e., the enterprise has many choices and options available), and the enterprise’s value depends on how well it follows an uncharted path through the various possible opportunities and challenges. The resulting equity value was then assigned to each class of equity securities using the OPM, which treats ordinary shares and preferred shares as call options on the equity value, with exercise prices based on the liquidation preference of our preferred stock. The shares of common stock are modeled as a call option with a claim on the equity value at an exercise price equal to the remaining value immediately after our preferred stock is liquidated. After the equity value is determined and allocated to the various classes of equity securities, we applied discounts to reflect the lack of marketability of our common stock based on the weighted-average expected time to liquidity. The estimated fair value of the common stock at each grant date reflected a non-marketability discount partially based on the anticipated likelihood and timing of a future liquidity event.</w:t>
      </w:r>
    </w:p>
    <w:p>
      <w:pPr>
        <w:spacing w:after="0" w:line="221"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For our valuations performed on and after May 2023, we utilized a hybrid method that combines the Probability-Weighted Expected Return Method (PWERM), an accepted valuation method described in the Practice Aid, and the OPM. We determined this was the most appropriate method for determining the fair value of our common stock based on our stage of development and other relevant factors. The PWERM is a scenario-based analysis that estimates the value per share of common stock based on the probability-weighted present value of expected future equity values for the common stock, under various possible future liquidity event scenarios, considering the rights and preferences of each class of shares, discounted for a lack of marketability. Under the hybrid method, an OPM was utilized to determine the fair value of our common stock and our redeemable convertible preferred stock in certain of the PWERM scenarios (capturing situations where our development path and future liquidity events were difficult to forecast), potential exit events were explicitly modeled in the other PWERM scenarios. A discount for lack of marketability was applied to the value derived under each scenario to account for a lack of access to an active public market to estimate our common stock fair value. The assumptions underlying these valuations represented our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229"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be materially different.</w:t>
      </w:r>
    </w:p>
    <w:p>
      <w:pPr>
        <w:spacing w:after="0" w:line="66"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based on the quoted market price of our common stock.</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03" w:name="page104"/>
    <w:bookmarkEnd w:id="103"/>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111"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During the periods presented we did not have, nor do we currently have, any off-balance sheet arrangements as defined in the rules and regulations of the SEC.</w:t>
      </w:r>
    </w:p>
    <w:p>
      <w:pPr>
        <w:spacing w:after="0" w:line="11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Quantitative and Qualitative Disclosures About Market Risks</w:t>
      </w:r>
    </w:p>
    <w:p>
      <w:pPr>
        <w:spacing w:after="0" w:line="8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b w:val="1"/>
          <w:bCs w:val="1"/>
          <w:color w:val="auto"/>
        </w:rPr>
        <w:t>Interest Rate Risk</w:t>
      </w:r>
    </w:p>
    <w:p>
      <w:pPr>
        <w:spacing w:after="0" w:line="102" w:lineRule="exact"/>
        <w:rPr>
          <w:sz w:val="20"/>
          <w:szCs w:val="20"/>
          <w:color w:val="auto"/>
        </w:rPr>
      </w:pPr>
    </w:p>
    <w:p>
      <w:pPr>
        <w:jc w:val="both"/>
        <w:ind w:left="1720" w:right="1739"/>
        <w:spacing w:after="0" w:line="255" w:lineRule="auto"/>
        <w:rPr>
          <w:sz w:val="20"/>
          <w:szCs w:val="20"/>
          <w:color w:val="auto"/>
        </w:rPr>
      </w:pPr>
      <w:r>
        <w:rPr>
          <w:rFonts w:ascii="Times New Roman" w:cs="Times New Roman" w:eastAsia="Times New Roman" w:hAnsi="Times New Roman"/>
          <w:sz w:val="12"/>
          <w:szCs w:val="12"/>
          <w:color w:val="auto"/>
        </w:rPr>
        <w:t>The primary objectives of our investment activities are to ensure liquidity and to preserve capital. We are exposed to market risks related to changes in interest rates of our cash equivalents and marketable securities. However, due to the nature of these cash equivalents and marketable securities, we do not believe that a hypothetical 10% increase or decrease in interest rates during any of the periods presented would have had a material effect on our consolidated financial statements included elsewhere in this prospectus.</w:t>
      </w:r>
    </w:p>
    <w:p>
      <w:pPr>
        <w:spacing w:after="0" w:line="11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b w:val="1"/>
          <w:bCs w:val="1"/>
          <w:color w:val="auto"/>
        </w:rPr>
        <w:t>Foreign Currency Exchange Risk</w:t>
      </w:r>
    </w:p>
    <w:p>
      <w:pPr>
        <w:spacing w:after="0" w:line="111"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All of our employees and our operations are currently located in the United States, and our expenses are generally denominated in U.S. dollars. However, we do utilize certain CRO and CMO vendors outside of the United States for our clinical trials and product development and manufacturing. As such, our expenses are denominated in both U.S. dollars and foreign currencies. Therefore, our operations are and will continue to be subject to fluctuations in foreign currency exchange rates. To date, foreign currency transaction gains and losses have not been material to our consolidated financial statements, and we have not had a formal hedging program with respect to foreign currency. We do not believe that a hypothetical 10% increase or decrease in exchange rates during any of the periods presented would have had a material effect on our consolidated financial statements included elsewhere in this prospectus.</w:t>
      </w:r>
    </w:p>
    <w:p>
      <w:pPr>
        <w:spacing w:after="0" w:line="12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b w:val="1"/>
          <w:bCs w:val="1"/>
          <w:color w:val="auto"/>
        </w:rPr>
        <w:t>Effects of Inflation</w:t>
      </w:r>
    </w:p>
    <w:p>
      <w:pPr>
        <w:spacing w:after="0" w:line="102"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Inflation generally affects us by increasing our cost of labor and research and development costs. We do not believe that inflation had a material effect on our business, results of operations, or financial condition, or on our consolidated financial statements included elsewhere in this prospectus.</w:t>
      </w:r>
    </w:p>
    <w:p>
      <w:pPr>
        <w:spacing w:after="0" w:line="1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JOBS Act Transition Period and Smaller Reporting Company Status</w:t>
      </w:r>
    </w:p>
    <w:p>
      <w:pPr>
        <w:spacing w:after="0" w:line="111"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We are an “emerging growth company” as defined in the JOBS Act. Under the JOBS Act, an emerging growth company can take advantage of the extended transition period for complying with new or revised accounting standards and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77" w:lineRule="exact"/>
        <w:rPr>
          <w:sz w:val="20"/>
          <w:szCs w:val="20"/>
          <w:color w:val="auto"/>
        </w:rPr>
      </w:pPr>
    </w:p>
    <w:p>
      <w:pPr>
        <w:jc w:val="both"/>
        <w:ind w:left="1720" w:right="1739"/>
        <w:spacing w:after="0" w:line="261" w:lineRule="auto"/>
        <w:rPr>
          <w:sz w:val="20"/>
          <w:szCs w:val="20"/>
          <w:color w:val="auto"/>
        </w:rPr>
      </w:pPr>
      <w:r>
        <w:rPr>
          <w:rFonts w:ascii="Times New Roman" w:cs="Times New Roman" w:eastAsia="Times New Roman" w:hAnsi="Times New Roman"/>
          <w:sz w:val="12"/>
          <w:szCs w:val="12"/>
          <w:color w:val="auto"/>
        </w:rPr>
        <w:t>We are in the process of evaluating the benefits of relying on other exemptions and reduced reporting requirements under the JOBS Act. Subject to certain conditions, as an emerging growth company, we may rely on certain of these exemptions, including without limitation exemptions to the requirements for</w:t>
      </w:r>
    </w:p>
    <w:p>
      <w:pPr>
        <w:spacing w:after="0" w:line="2" w:lineRule="exact"/>
        <w:rPr>
          <w:sz w:val="20"/>
          <w:szCs w:val="20"/>
          <w:color w:val="auto"/>
        </w:rPr>
      </w:pPr>
    </w:p>
    <w:p>
      <w:pPr>
        <w:jc w:val="both"/>
        <w:ind w:left="1720" w:right="1739"/>
        <w:spacing w:after="0" w:line="254" w:lineRule="auto"/>
        <w:tabs>
          <w:tab w:leader="none" w:pos="1902"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to occur of (a) the last day of the fiscal year (A) following the fifth anniversary of the completion of this offering, (B) in which we have total annual gross revenues of at least $1.235 billion or</w:t>
      </w:r>
    </w:p>
    <w:p>
      <w:pPr>
        <w:spacing w:after="0" w:line="3" w:lineRule="exact"/>
        <w:rPr>
          <w:rFonts w:ascii="Times New Roman" w:cs="Times New Roman" w:eastAsia="Times New Roman" w:hAnsi="Times New Roman"/>
          <w:sz w:val="12"/>
          <w:szCs w:val="12"/>
          <w:color w:val="auto"/>
        </w:rPr>
      </w:pPr>
    </w:p>
    <w:p>
      <w:pPr>
        <w:jc w:val="both"/>
        <w:ind w:left="1720" w:right="1739"/>
        <w:spacing w:after="0" w:line="25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 in which we are deemed to be a “large accelerated filer” under the rules of the SEC, which means the market value of our common stock and non- voting common stock that is held by non-affiliates exceeds $700.0 million as of the prior June 30th, or (b) the date on which we have issued more than $1.0 billion in non-convertible debt during the prior three-year period.</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04" w:name="page105"/>
    <w:bookmarkEnd w:id="10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We are also a “smaller reporting company,” meaning that the market value of our common stock and non-voting common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common stock and non-voting common stock held by non-affiliates is less than $250.0 million or (ii) our annual revenue is less than $100.0 million during the most recently completed fiscal year and the market value of our common stock and non-voting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05" w:name="page106"/>
    <w:bookmarkEnd w:id="105"/>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BUSINESS</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11"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Our mission is to significantly improve the lives of patients by replacing broad immunosuppression with targeted therapies. Our name, Alumis, captures our mission to enlighten immunology, and is inspired by the words “allumer”—French for illuminate—and “immunis”—Latin for the immune system.</w:t>
      </w:r>
    </w:p>
    <w:p>
      <w:pPr>
        <w:spacing w:after="0" w:line="67"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We are a clinical stage biopharmaceutical company with an initial focus on developing our two Tyrosine Kinase 2 (TYK2) inhibitors: ESK-001, a second-generation inhibitor that we are developing to maximize target inhibition and optimize tolerability, and A-005, a central nervous system (CNS) penetrant molecule. ESK-001 has demonstrated significant therapeutic effect in our Phase 2 program in patients with PsO, which we define as moderate-to-severe plaque psoriasis (PsO), and is currently being evaluated in an additional Phase 2 clinical trial in patients with systemic lupus erythematosus (SLE), for which we expect to report results in 2026. With the favorable results in our Phase 2 clinical trial in PsO, we intend to initiate multiple Phase 3 clinical trials of ESK-001 in the second half of 2024 in this indication. TYK2 genetic mutations are associated with a strong protective effect in multiple sclerosis, motivating us to develop our second product candidate, A-005, as a CNS-penetrant, allosteric TYK2 inhibitor for neuroinflammatory and neurodegenerative diseases. In April 2024, we initiated our Phase 1 program of A-005 in healthy volunteers and expect to report initial results by the end of 2024.</w:t>
      </w:r>
    </w:p>
    <w:p>
      <w:pPr>
        <w:spacing w:after="0" w:line="221"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We utilize our proprietary precision data analytics platform, biological insights and team of experienced research and development experts to deepen our understanding of disease pathologies, accelerate research and development and increase the probability of clinical success. Our collective insights informed our selection of TYK2 as the target for our two lead programs. Beyond TYK2, our proprietary precision data analytics platform and drug discovery expertise have led to the identification of additional preclinical programs that exemplify our precision approach.</w:t>
      </w:r>
    </w:p>
    <w:p>
      <w:pPr>
        <w:spacing w:after="0" w:line="74"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We recognize that patients living with immune-mediated diseases need alternatives to currently available therapies. Despite recent advances and innovations in the treatment of immune-mediated diseases, many patients continue to suffer, cycling through currently approved therapies while looking for a solution that alleviates the debilitating impact of their disease without life-limiting side effects.</w:t>
      </w:r>
    </w:p>
    <w:p>
      <w:pPr>
        <w:spacing w:after="0" w:line="71"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Addressing the needs of these patients is why we exist. We are pioneering a precision approach that leverages insights derived from powerful data analytics to select the right target, right molecule, right indication, right patient, right endpoint and right combination to dramatically improve patient outcomes. We believe that combining our insights with an integrated approach to drug development will produce the next generation of treatments to address immune dysfunction.</w:t>
      </w:r>
    </w:p>
    <w:p>
      <w:pPr>
        <w:spacing w:after="0" w:line="75"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Our most advanced product candidate, ESK-001, is an oral, highly selective, small molecule, allosteric inhibitor of TYK2. At the 2024 American Academy of Dermatology (AAD) Annual Meeting in March 2024, we announced positive data from our Phase 2 clinical program of ESK-001 in patients with PsO, which included the results of our Phase 2 STRIDE trial and interim results of our open label extension (OLE) as of a December 8, 2023 data cut. An additional OLE data cut was performed when all patients reached 28 weeks of treatment based on data through March 1, 2024. Our data demonstrated that ESK-001’s ability to maximally inhibit TYK2 translates to the achievement of high rates of response, as measured by the Psoriasis Area and Severity Index (PASI), in patients, with response rates in the range observed with existing biologic therapies. Our Phase 2 STRIDE trial, in which 228 patients with PsO were randomized to one of five ESK-001 dose cohorts or placebo, met its primary endpoint, the proportion of patients achieving a 75% improvement in the PASI Score (PASI 75) at week 12 compared to placebo, and key secondary efficacy endpoints at all clinically relevant doses tested. Clear dose-dependent responses were observed, with the highest response rates and maximal TYK2 inhibition achieved at the highest dose of 40 mg twice daily (BID). At the 40 mg BID dose and at the 40 mg once daily (QD) dose, 64% and 56% of evaluable patients, respectively, achieved PASI 75 at week 12 compared to 0% for placebo.</w:t>
      </w:r>
    </w:p>
    <w:p>
      <w:pPr>
        <w:spacing w:after="0" w:line="230"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color w:val="auto"/>
        </w:rPr>
        <w:t>Patients who completed the randomized placebo-controlled Phase 2 STRIDE trial were eligible to participate in the open label extension (OLE). In the OLE, 165 eligible patients were randomized; of these, 164 patients were assigned to receive either 40 mg BID or 40 mg QD (one patient was not dosed and was not included in the</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06" w:name="page107"/>
    <w:bookmarkEnd w:id="10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population analysis). As shown in the figure below, as of the March 1, 2024 data cut, interim OLE data following 28 weeks of treatment in the extension period showed sustained increases in PASI response rates over time, with the majority of patients (93% of evaluable patients, 83% using a conservative modified non-responder imputation (mNRI)) achieving PASI 75 at the 40 mg BID dose, as well as a continued favorable tolerability profile. Maximal target inhibition at the 40 mg BID dose, confirmed by blood and skin biopsy biomarkers, translated into the highest response rates, as compared with substantially lower response rates at the 40 mg QD dose. Given the tolerability profile we observed at the highest dose in our Phase 2 program, we intend to advance that dose into Phase 3 pivotal clinical trials. We are also developing a once-a-day modified release formulation that we plan to have available at the time of market launch, if approved,</w:t>
      </w:r>
    </w:p>
    <w:p>
      <w:pPr>
        <w:spacing w:after="0" w:line="5"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or within the first year post approval. Data in the table below are presented both “as observed” (AO)​ and applying mNRI where patients who dropped out of the trial due to adverse event or inadequate response were assumed to be non-responders for all time points after study discontinuation, and for patients who dropped out of the trial for all other reasons the last observation was carried forward.</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i w:val="1"/>
          <w:iCs w:val="1"/>
          <w:color w:val="auto"/>
        </w:rPr>
        <w:t>OLE ESK-001 40 mg BID Cohort</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As Observed (AO) and modified Non-Responder Imputation (mNRI) Analyses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75565</wp:posOffset>
            </wp:positionV>
            <wp:extent cx="3454400" cy="19716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5440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color w:val="auto"/>
        </w:rPr>
        <w:t>Note: The shaded column in the figure above represents a four-week period during which no treatment was administered (the washout</w:t>
      </w:r>
    </w:p>
    <w:p>
      <w:pPr>
        <w:ind w:left="1720"/>
        <w:spacing w:after="0"/>
        <w:rPr>
          <w:sz w:val="20"/>
          <w:szCs w:val="20"/>
          <w:color w:val="auto"/>
        </w:rPr>
      </w:pPr>
      <w:r>
        <w:rPr>
          <w:rFonts w:ascii="Times New Roman" w:cs="Times New Roman" w:eastAsia="Times New Roman" w:hAnsi="Times New Roman"/>
          <w:sz w:val="10"/>
          <w:szCs w:val="10"/>
          <w:color w:val="auto"/>
        </w:rPr>
        <w:t>period). mNRI: modified Non-Responder Imputation</w:t>
      </w:r>
    </w:p>
    <w:p>
      <w:pPr>
        <w:spacing w:after="0" w:line="78"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These data suggest a differentiated profile of ESK-001 relative to first-generation TYK2 inhibitors. We plan to initiate our Phase 3 pivotal clinical trials in PsO in the second half of 2024. We are also evaluating ESK-001 in LUMUS, a Phase 2b clinical trial of ESK-001 for the treatment of patients with SLE, and we expect to report top-line results for this trial in 2026.</w:t>
      </w:r>
    </w:p>
    <w:p>
      <w:pPr>
        <w:spacing w:after="0" w:line="71"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Beyond our initial two ongoing clinical indications of ESK-001, we plan to leverage our large clinical and genetic datasets to prioritize future indications, such as psoriatic arthritis and gastrointestinal and other indications where we believe ESK-001 could be differentiated from existing therapies. We believe ESK -001 has the potential to address a broad range of immune-mediated diseases and unmet patient needs that represent substantial commercial opportunities. We identified TYK2 as our first target of interest and acquired ESK-001 via the FronThera Acquisition. See the section titled “</w:t>
      </w:r>
      <w:r>
        <w:rPr>
          <w:rFonts w:ascii="Times New Roman" w:cs="Times New Roman" w:eastAsia="Times New Roman" w:hAnsi="Times New Roman"/>
          <w:sz w:val="12"/>
          <w:szCs w:val="12"/>
          <w:i w:val="1"/>
          <w:iCs w:val="1"/>
          <w:color w:val="auto"/>
        </w:rPr>
        <w:t>Management’s Discussion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Analysis of Financial Condition and Results of Operations—Contractual Obligations and Commitments</w:t>
      </w:r>
      <w:r>
        <w:rPr>
          <w:rFonts w:ascii="Times New Roman" w:cs="Times New Roman" w:eastAsia="Times New Roman" w:hAnsi="Times New Roman"/>
          <w:sz w:val="12"/>
          <w:szCs w:val="12"/>
          <w:color w:val="auto"/>
        </w:rPr>
        <w:t>”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additional information.</w:t>
      </w:r>
    </w:p>
    <w:p>
      <w:pPr>
        <w:spacing w:after="0" w:line="217"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We have incorporated our learnings from ESK-001 to develop A-005, as a CNS-penetrant, allosteric TYK2 inhibitor with potential application in multiple sclerosis (MS) and other neuroinflammatory and neurodegenerative diseases. Our large proprietary genetic data set as well as scientific literature have shown</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07" w:name="page108"/>
    <w:bookmarkEnd w:id="10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 xml:space="preserve">that the naturally occurring TYK2 loss-of-function genetic variant has a protective effect in MS. In our preclinical studies, A-005 has demonstrated protective effects in prophylactic and therapeutic </w:t>
      </w:r>
      <w:r>
        <w:rPr>
          <w:rFonts w:ascii="Times New Roman" w:cs="Times New Roman" w:eastAsia="Times New Roman" w:hAnsi="Times New Roman"/>
          <w:sz w:val="12"/>
          <w:szCs w:val="12"/>
          <w:i w:val="1"/>
          <w:iCs w:val="1"/>
          <w:color w:val="auto"/>
        </w:rPr>
        <w:t>in vivo</w:t>
      </w:r>
      <w:r>
        <w:rPr>
          <w:rFonts w:ascii="Times New Roman" w:cs="Times New Roman" w:eastAsia="Times New Roman" w:hAnsi="Times New Roman"/>
          <w:sz w:val="12"/>
          <w:szCs w:val="12"/>
          <w:color w:val="auto"/>
        </w:rPr>
        <w:t xml:space="preserve"> EAE models of neuroinflammation. In April 2024, we initiated the first Phase 1 study of A-005 in healthy volunteers and expect to report initial results by the end of 2024.</w:t>
      </w:r>
    </w:p>
    <w:p>
      <w:pPr>
        <w:spacing w:after="0" w:line="75"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We apply our precision approach to immunology by focusing on the key drivers of immune dysfunction. We have established and continue to uncover key genetic and translational insights to significantly impact clinical outcomes. Foundational to our approach is our proprietary precision data analytics platform, which combines our proprietary genetic, genomic and proteomic data, data from public third-party sources, and our management’s own genomic insights, supported by the data analytics services we receive from Foresite Labs. Leveraging this platform allows us to potentially increase speed of development, probability of success and precision of therapy. We employ our insights and capabilities through every stage of development, always aiming to improve the likelihood of clinical success while achieving the best outcomes for patients. We believe our precision approach can bring forth advances in each of the following key areas:</w:t>
      </w:r>
    </w:p>
    <w:p>
      <w:pPr>
        <w:spacing w:after="0" w:line="50" w:lineRule="exact"/>
        <w:rPr>
          <w:sz w:val="20"/>
          <w:szCs w:val="20"/>
          <w:color w:val="auto"/>
        </w:rPr>
      </w:pPr>
    </w:p>
    <w:p>
      <w:pPr>
        <w:ind w:left="2080" w:right="1739" w:hanging="116"/>
        <w:spacing w:after="0" w:line="294" w:lineRule="auto"/>
        <w:tabs>
          <w:tab w:leader="none" w:pos="208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Right target: </w:t>
      </w:r>
      <w:r>
        <w:rPr>
          <w:rFonts w:ascii="Times New Roman" w:cs="Times New Roman" w:eastAsia="Times New Roman" w:hAnsi="Times New Roman"/>
          <w:sz w:val="12"/>
          <w:szCs w:val="12"/>
          <w:color w:val="auto"/>
        </w:rPr>
        <w:t>We select drug targets based on our understanding of their role in immune-mediated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diseases in an effort to maximize clinical benefit and probability of success.</w:t>
      </w:r>
    </w:p>
    <w:p>
      <w:pPr>
        <w:spacing w:after="0" w:line="28" w:lineRule="exact"/>
        <w:rPr>
          <w:rFonts w:ascii="Times New Roman" w:cs="Times New Roman" w:eastAsia="Times New Roman" w:hAnsi="Times New Roman"/>
          <w:sz w:val="12"/>
          <w:szCs w:val="12"/>
          <w:color w:val="auto"/>
        </w:rPr>
      </w:pPr>
    </w:p>
    <w:p>
      <w:pPr>
        <w:ind w:left="2080" w:right="1739" w:hanging="116"/>
        <w:spacing w:after="0" w:line="294" w:lineRule="auto"/>
        <w:tabs>
          <w:tab w:leader="none" w:pos="208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Right molecule: </w:t>
      </w:r>
      <w:r>
        <w:rPr>
          <w:rFonts w:ascii="Times New Roman" w:cs="Times New Roman" w:eastAsia="Times New Roman" w:hAnsi="Times New Roman"/>
          <w:sz w:val="12"/>
          <w:szCs w:val="12"/>
          <w:color w:val="auto"/>
        </w:rPr>
        <w:t>We seek to design our molecules to achieve maximal target engagement and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favorable pharmacological profile, and to optimize tolerability.</w:t>
      </w:r>
    </w:p>
    <w:p>
      <w:pPr>
        <w:spacing w:after="0" w:line="28" w:lineRule="exact"/>
        <w:rPr>
          <w:rFonts w:ascii="Times New Roman" w:cs="Times New Roman" w:eastAsia="Times New Roman" w:hAnsi="Times New Roman"/>
          <w:sz w:val="12"/>
          <w:szCs w:val="12"/>
          <w:color w:val="auto"/>
        </w:rPr>
      </w:pPr>
    </w:p>
    <w:p>
      <w:pPr>
        <w:ind w:left="2080" w:right="1739" w:hanging="116"/>
        <w:spacing w:after="0" w:line="294" w:lineRule="auto"/>
        <w:tabs>
          <w:tab w:leader="none" w:pos="208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Right indication: </w:t>
      </w:r>
      <w:r>
        <w:rPr>
          <w:rFonts w:ascii="Times New Roman" w:cs="Times New Roman" w:eastAsia="Times New Roman" w:hAnsi="Times New Roman"/>
          <w:sz w:val="12"/>
          <w:szCs w:val="12"/>
          <w:color w:val="auto"/>
        </w:rPr>
        <w:t>We select indications based on weight of evidence and biological insights from 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proprietary precision data analytics platform.</w:t>
      </w:r>
    </w:p>
    <w:p>
      <w:pPr>
        <w:spacing w:after="0" w:line="28" w:lineRule="exact"/>
        <w:rPr>
          <w:rFonts w:ascii="Times New Roman" w:cs="Times New Roman" w:eastAsia="Times New Roman" w:hAnsi="Times New Roman"/>
          <w:sz w:val="12"/>
          <w:szCs w:val="12"/>
          <w:color w:val="auto"/>
        </w:rPr>
      </w:pPr>
    </w:p>
    <w:p>
      <w:pPr>
        <w:ind w:left="2080" w:right="1739" w:hanging="116"/>
        <w:spacing w:after="0" w:line="294" w:lineRule="auto"/>
        <w:tabs>
          <w:tab w:leader="none" w:pos="208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Right endpoint: </w:t>
      </w:r>
      <w:r>
        <w:rPr>
          <w:rFonts w:ascii="Times New Roman" w:cs="Times New Roman" w:eastAsia="Times New Roman" w:hAnsi="Times New Roman"/>
          <w:sz w:val="12"/>
          <w:szCs w:val="12"/>
          <w:color w:val="auto"/>
        </w:rPr>
        <w:t>We seek to accelerate drug development and improve the clinical probability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success through selection of optimal clinical endpoints for our trials.</w:t>
      </w:r>
    </w:p>
    <w:p>
      <w:pPr>
        <w:spacing w:after="0" w:line="28" w:lineRule="exact"/>
        <w:rPr>
          <w:rFonts w:ascii="Times New Roman" w:cs="Times New Roman" w:eastAsia="Times New Roman" w:hAnsi="Times New Roman"/>
          <w:sz w:val="12"/>
          <w:szCs w:val="12"/>
          <w:color w:val="auto"/>
        </w:rPr>
      </w:pPr>
    </w:p>
    <w:p>
      <w:pPr>
        <w:ind w:left="2080" w:right="1739" w:hanging="116"/>
        <w:spacing w:after="0" w:line="294" w:lineRule="auto"/>
        <w:tabs>
          <w:tab w:leader="none" w:pos="208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Right patient: </w:t>
      </w:r>
      <w:r>
        <w:rPr>
          <w:rFonts w:ascii="Times New Roman" w:cs="Times New Roman" w:eastAsia="Times New Roman" w:hAnsi="Times New Roman"/>
          <w:sz w:val="12"/>
          <w:szCs w:val="12"/>
          <w:color w:val="auto"/>
        </w:rPr>
        <w:t>We gain insights from our proprietary clinical samples to identify patients that we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believe are most likely to benefit from our therapies.</w:t>
      </w:r>
    </w:p>
    <w:p>
      <w:pPr>
        <w:spacing w:after="0" w:line="28" w:lineRule="exact"/>
        <w:rPr>
          <w:rFonts w:ascii="Times New Roman" w:cs="Times New Roman" w:eastAsia="Times New Roman" w:hAnsi="Times New Roman"/>
          <w:sz w:val="12"/>
          <w:szCs w:val="12"/>
          <w:color w:val="auto"/>
        </w:rPr>
      </w:pPr>
    </w:p>
    <w:p>
      <w:pPr>
        <w:ind w:left="2080" w:right="1739" w:hanging="116"/>
        <w:spacing w:after="0" w:line="294" w:lineRule="auto"/>
        <w:tabs>
          <w:tab w:leader="none" w:pos="208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Right combinations: </w:t>
      </w:r>
      <w:r>
        <w:rPr>
          <w:rFonts w:ascii="Times New Roman" w:cs="Times New Roman" w:eastAsia="Times New Roman" w:hAnsi="Times New Roman"/>
          <w:sz w:val="12"/>
          <w:szCs w:val="12"/>
          <w:color w:val="auto"/>
        </w:rPr>
        <w:t>We identify future combination strategies with the potential to break through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efficacy limitations of existing therapies without broadly suppressing the immune system.</w:t>
      </w:r>
    </w:p>
    <w:p>
      <w:pPr>
        <w:spacing w:after="0" w:line="10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Our Pipeline</w:t>
      </w:r>
    </w:p>
    <w:p>
      <w:pPr>
        <w:spacing w:after="0" w:line="111"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color w:val="auto"/>
        </w:rPr>
        <w:t>We are building a pipeline of molecules with the potential to address a broad range of immune-mediated diseases as monotherapy or combination therapies. Within our TYK2 franchise, we are developing our most advanced product candidate, ESK-001, an allosteric TYK2 inhibitor for the treatment of PsO and SLE. We are developing our second TYK2 product candidate, A-005, as a CNS-penetrant allosteric TYK2 inhibitor, to offer the therapeutic benefit of TYK2 inhibition within the CNS for a broad range of neuroinflammatory and neurodegenerative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Our Team</w:t>
      </w:r>
    </w:p>
    <w:p>
      <w:pPr>
        <w:spacing w:after="0" w:line="102"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We have assembled an executive team of industry veterans experienced in small-molecule compound drug development for immune-mediated diseases. Our senior leaders bring together a wealth of scientific, clinical, business and commercial expertise in the biopharmaceutical industry. Many of our employees and executives previously worked together at Genentech, Roche, Principia and MyoKardia and have united to work together</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08" w:name="page109"/>
    <w:bookmarkEnd w:id="10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again. Collectively, our executives have contributed to the research, development, approval and commercial launch of multiple drugs across several therapeutic areas, including Adbry, Avastin, Camzyos, Fasenra, Lucentis, Ocrevus, Rituxan, Saphnelo, Siliq, Tarceva, Tezspire, Uplizna, Xeljanz and Xolair. To date, we have raised more than $600 million and are backed by established blue-chip life science investors.</w:t>
      </w:r>
    </w:p>
    <w:p>
      <w:pPr>
        <w:spacing w:after="0" w:line="1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Our Strategy</w:t>
      </w:r>
    </w:p>
    <w:p>
      <w:pPr>
        <w:spacing w:after="0" w:line="102" w:lineRule="exact"/>
        <w:rPr>
          <w:sz w:val="20"/>
          <w:szCs w:val="20"/>
          <w:color w:val="auto"/>
        </w:rPr>
      </w:pPr>
    </w:p>
    <w:p>
      <w:pPr>
        <w:jc w:val="both"/>
        <w:ind w:left="1720" w:right="1739"/>
        <w:spacing w:after="0" w:line="255" w:lineRule="auto"/>
        <w:rPr>
          <w:sz w:val="20"/>
          <w:szCs w:val="20"/>
          <w:color w:val="auto"/>
        </w:rPr>
      </w:pPr>
      <w:r>
        <w:rPr>
          <w:rFonts w:ascii="Times New Roman" w:cs="Times New Roman" w:eastAsia="Times New Roman" w:hAnsi="Times New Roman"/>
          <w:sz w:val="12"/>
          <w:szCs w:val="12"/>
          <w:color w:val="auto"/>
        </w:rPr>
        <w:t>Our mission is to significantly improve the lives of patients by replacing broad immunosuppression with targeted therapies. As our driving principle, we are using our precision approach focused on the important drivers of immune dysfunction. We use our key insights to pursue our mission of significantly improving outcomes for patients. We select drug targets that have been previously validated by strong human genetic evidence and human clinical data.</w:t>
      </w:r>
    </w:p>
    <w:p>
      <w:pPr>
        <w:spacing w:after="0" w:line="7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The core components of our business strategy include:</w:t>
      </w:r>
    </w:p>
    <w:p>
      <w:pPr>
        <w:spacing w:after="0" w:line="71" w:lineRule="exact"/>
        <w:rPr>
          <w:sz w:val="20"/>
          <w:szCs w:val="20"/>
          <w:color w:val="auto"/>
        </w:rPr>
      </w:pPr>
    </w:p>
    <w:p>
      <w:pPr>
        <w:jc w:val="both"/>
        <w:ind w:left="2080" w:right="1739" w:hanging="116"/>
        <w:spacing w:after="0" w:line="259" w:lineRule="auto"/>
        <w:tabs>
          <w:tab w:leader="none" w:pos="20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Maximize the opportunity presented by ESK-001’s differentiated pharmacological profile and breadth of potential indications. </w:t>
      </w:r>
      <w:r>
        <w:rPr>
          <w:rFonts w:ascii="Times New Roman" w:cs="Times New Roman" w:eastAsia="Times New Roman" w:hAnsi="Times New Roman"/>
          <w:sz w:val="12"/>
          <w:szCs w:val="12"/>
          <w:color w:val="auto"/>
        </w:rPr>
        <w:t>We believe that ESK-001 is a foundational asset that exemplifies our approach.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Our Phase 2 clinical data in PsO provided strong clinical validation of our approach and set the stage for developing ESK-001 into a leading oral therapy in PsO. Beyond PsO, we continue to expand into additional indications. Genetic and biologic data generated to date highlight the important role of TYK2 inhibition across multiple diseases where we have current clinical programs (PsO and SLE) and future clinical ambitions. We intend to expand clinical development of ESK-001 to additional therapeutic areas and indications where TYK2 inhibition and our differentiated profile have the potential to deliver significant improvements for patients.</w:t>
      </w:r>
    </w:p>
    <w:p>
      <w:pPr>
        <w:spacing w:after="0" w:line="5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i w:val="1"/>
          <w:iCs w:val="1"/>
          <w:color w:val="auto"/>
        </w:rPr>
        <w:t>Expand our TYK2 franchise with A-005, our allosteric TYK2 inhibitor selected to penetrate the CNS to treat</w:t>
      </w:r>
    </w:p>
    <w:p>
      <w:pPr>
        <w:spacing w:after="0" w:line="34" w:lineRule="exact"/>
        <w:rPr>
          <w:rFonts w:ascii="Times New Roman" w:cs="Times New Roman" w:eastAsia="Times New Roman" w:hAnsi="Times New Roman"/>
          <w:sz w:val="11"/>
          <w:szCs w:val="11"/>
          <w:color w:val="auto"/>
        </w:rPr>
      </w:pPr>
    </w:p>
    <w:p>
      <w:pPr>
        <w:jc w:val="both"/>
        <w:ind w:left="2080" w:right="1739"/>
        <w:spacing w:after="0" w:line="257"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b w:val="1"/>
          <w:bCs w:val="1"/>
          <w:i w:val="1"/>
          <w:iCs w:val="1"/>
          <w:color w:val="auto"/>
        </w:rPr>
        <w:t xml:space="preserve">neuroinflammation. </w:t>
      </w:r>
      <w:r>
        <w:rPr>
          <w:rFonts w:ascii="Times New Roman" w:cs="Times New Roman" w:eastAsia="Times New Roman" w:hAnsi="Times New Roman"/>
          <w:sz w:val="12"/>
          <w:szCs w:val="12"/>
          <w:color w:val="auto"/>
        </w:rPr>
        <w:t>There is strong biological rationale for the involvement of TYK2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 xml:space="preserve">neuroinflammatory and neurodegenerative diseases, as well as compelling genetic evidence for the role of TYK2 in MS. As a result, we believe TYK2 inhibition has potential utility in various neuroinflammatory and neurodegenerative diseases, including MS, Alzheimer’s disease, amyotrophic lateral sclerosis (ALS), optic neuritis, neuromyelitis optica and Parkinson’s disease. Given the results of our preclinical data, which support the protective effect in prophylactic and therapeutic </w:t>
      </w:r>
      <w:r>
        <w:rPr>
          <w:rFonts w:ascii="Times New Roman" w:cs="Times New Roman" w:eastAsia="Times New Roman" w:hAnsi="Times New Roman"/>
          <w:sz w:val="12"/>
          <w:szCs w:val="12"/>
          <w:i w:val="1"/>
          <w:iCs w:val="1"/>
          <w:color w:val="auto"/>
        </w:rPr>
        <w:t>in vivo</w:t>
      </w:r>
      <w:r>
        <w:rPr>
          <w:rFonts w:ascii="Times New Roman" w:cs="Times New Roman" w:eastAsia="Times New Roman" w:hAnsi="Times New Roman"/>
          <w:sz w:val="12"/>
          <w:szCs w:val="12"/>
          <w:color w:val="auto"/>
        </w:rPr>
        <w:t xml:space="preserve"> EAE models of neuroinflammation, we initiated the first-in-human trials of A-005 in April 2024.</w:t>
      </w:r>
    </w:p>
    <w:p>
      <w:pPr>
        <w:spacing w:after="0" w:line="41" w:lineRule="exact"/>
        <w:rPr>
          <w:rFonts w:ascii="Times New Roman" w:cs="Times New Roman" w:eastAsia="Times New Roman" w:hAnsi="Times New Roman"/>
          <w:sz w:val="11"/>
          <w:szCs w:val="11"/>
          <w:color w:val="auto"/>
        </w:rPr>
      </w:pPr>
    </w:p>
    <w:p>
      <w:pPr>
        <w:jc w:val="both"/>
        <w:ind w:left="2080" w:right="1739" w:hanging="116"/>
        <w:spacing w:after="0" w:line="261" w:lineRule="auto"/>
        <w:tabs>
          <w:tab w:leader="none" w:pos="20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Discover and advance earlier-stage product candidates into clinical development. </w:t>
      </w:r>
      <w:r>
        <w:rPr>
          <w:rFonts w:ascii="Times New Roman" w:cs="Times New Roman" w:eastAsia="Times New Roman" w:hAnsi="Times New Roman"/>
          <w:sz w:val="12"/>
          <w:szCs w:val="12"/>
          <w:color w:val="auto"/>
        </w:rPr>
        <w:t>We intend to expand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our pipeline of clinical-stage product candidates by identifying and developing earlier-stage assets. Utilizing our precision approach to address immune dysfunction, we have selected multiple additional targets to date, including interferon regulatory factor 5 (IRF5), across indications that are in various stages of development, from lead identification to lead optimization. These targets may enable development in a broad range of indications, either as a monotherapy or using a combination therapy approach with our TYK2 franchise.</w:t>
      </w:r>
    </w:p>
    <w:p>
      <w:pPr>
        <w:spacing w:after="0" w:line="48" w:lineRule="exact"/>
        <w:rPr>
          <w:rFonts w:ascii="Times New Roman" w:cs="Times New Roman" w:eastAsia="Times New Roman" w:hAnsi="Times New Roman"/>
          <w:sz w:val="12"/>
          <w:szCs w:val="12"/>
          <w:color w:val="auto"/>
        </w:rPr>
      </w:pPr>
    </w:p>
    <w:p>
      <w:pPr>
        <w:jc w:val="both"/>
        <w:ind w:left="2080" w:right="1739" w:hanging="116"/>
        <w:spacing w:after="0" w:line="262" w:lineRule="auto"/>
        <w:tabs>
          <w:tab w:leader="none" w:pos="20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Leverage our precision approach to increase speed of development, probability of success and precision of therapy. </w:t>
      </w:r>
      <w:r>
        <w:rPr>
          <w:rFonts w:ascii="Times New Roman" w:cs="Times New Roman" w:eastAsia="Times New Roman" w:hAnsi="Times New Roman"/>
          <w:sz w:val="12"/>
          <w:szCs w:val="12"/>
          <w:color w:val="auto"/>
        </w:rPr>
        <w:t>We are using our proprietary precision data analytics platform that integrates key genetic</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translational insights to optimize clinical outcomes. We leverage and implement these capabilities with the aim to design efficient and effective development paths at every stage of our pipeline. We believe this approach can bring forth transformative medications by following the science to inform the right target, right molecule, right indication, right patient, right endpoint and right combinations.</w:t>
      </w:r>
    </w:p>
    <w:p>
      <w:pPr>
        <w:spacing w:after="0" w:line="195" w:lineRule="exact"/>
        <w:rPr>
          <w:rFonts w:ascii="Times New Roman" w:cs="Times New Roman" w:eastAsia="Times New Roman" w:hAnsi="Times New Roman"/>
          <w:sz w:val="12"/>
          <w:szCs w:val="12"/>
          <w:color w:val="auto"/>
        </w:rPr>
      </w:pPr>
    </w:p>
    <w:p>
      <w:pPr>
        <w:jc w:val="both"/>
        <w:ind w:left="2080" w:right="1739" w:hanging="116"/>
        <w:spacing w:after="0" w:line="262" w:lineRule="auto"/>
        <w:tabs>
          <w:tab w:leader="none" w:pos="20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Evaluate strategic collaborations to maximize the global impact of our product candidates. </w:t>
      </w:r>
      <w:r>
        <w:rPr>
          <w:rFonts w:ascii="Times New Roman" w:cs="Times New Roman" w:eastAsia="Times New Roman" w:hAnsi="Times New Roman"/>
          <w:sz w:val="12"/>
          <w:szCs w:val="12"/>
          <w:color w:val="auto"/>
        </w:rPr>
        <w:t>We plan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strategically evaluate potential partnerships to maximize the value of our lead programs and broader portfolio. We believe that our product candidates, indications, clinical data and data analytics make our company an attractive partner. Given our scientific expertise and significant therapeutic depth, and the broad addressable populations of our product candidates, the right partner could help us expand the breadth of indications we pursue and increase our commercial reach.</w:t>
      </w:r>
    </w:p>
    <w:p>
      <w:pPr>
        <w:spacing w:after="0" w:line="12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Our Precision Approach and Capabilities</w:t>
      </w:r>
    </w:p>
    <w:p>
      <w:pPr>
        <w:spacing w:after="0" w:line="102" w:lineRule="exact"/>
        <w:rPr>
          <w:sz w:val="20"/>
          <w:szCs w:val="20"/>
          <w:color w:val="auto"/>
        </w:rPr>
      </w:pPr>
    </w:p>
    <w:p>
      <w:pPr>
        <w:jc w:val="both"/>
        <w:ind w:left="1720" w:right="1739"/>
        <w:spacing w:after="0" w:line="273" w:lineRule="auto"/>
        <w:rPr>
          <w:sz w:val="20"/>
          <w:szCs w:val="20"/>
          <w:color w:val="auto"/>
        </w:rPr>
      </w:pPr>
      <w:r>
        <w:rPr>
          <w:rFonts w:ascii="Times New Roman" w:cs="Times New Roman" w:eastAsia="Times New Roman" w:hAnsi="Times New Roman"/>
          <w:sz w:val="12"/>
          <w:szCs w:val="12"/>
          <w:color w:val="auto"/>
        </w:rPr>
        <w:t>Our driving principle is to deliver the right medicine to achieve the best possible clinical outcome. To realize that goal, we are using our precision approach to immunology focused on the important drivers of immune</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09" w:name="page110"/>
    <w:bookmarkEnd w:id="10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dysfunction while relying on key genetic and translational insights, all with the aim of optimizing therapeutic outcomes for patients. We were incubated by Foresite Labs, LLC (Foresite Labs). Since our incubation, we have benefited from the services that Foresite Labs has provided to us using its data platform, which includes large, multi-modal data sets and mature, scalable, and proprietary tools from the world of statistical genetics and causal inference. Supported by Foresite Labs’ data analytics capabilities, we have established our proprietary precision data analytics platform focused on immune-mediated diseases, enhanced with data from our own clinical studies and our own statistical tools, as well as data from public third-party sources. We believe that the application of insights from our internal efforts and public third-party data, combined with the services that we receive from Foresite Labs, may ultimately bring forth the most effective, transformative medications by optimizing the following design elements:</w:t>
      </w:r>
    </w:p>
    <w:p>
      <w:pPr>
        <w:spacing w:after="0" w:line="81"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 xml:space="preserve">Right Target: </w:t>
      </w:r>
      <w:r>
        <w:rPr>
          <w:rFonts w:ascii="Times New Roman" w:cs="Times New Roman" w:eastAsia="Times New Roman" w:hAnsi="Times New Roman"/>
          <w:sz w:val="12"/>
          <w:szCs w:val="12"/>
          <w:i w:val="1"/>
          <w:iCs w:val="1"/>
          <w:color w:val="auto"/>
        </w:rPr>
        <w:t>We select drug targets based on our understanding of their role in immune-mediated diseases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in an effort to maximize clinical benefit and probability of success.</w:t>
      </w:r>
    </w:p>
    <w:p>
      <w:pPr>
        <w:spacing w:after="0" w:line="58"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We identify and select drug targets with strong human genetic evidence, utilizing our proprietary precision data analytics platform for immune-mediated diseases or with human clinical validation. We believe that drugs with indications supported by human genetics have twice the likelihood of success in Phase 2 and Phase 3 clinical development (as confirmed in King EA, Davis JW, Degner JF, PLoS Genet 15(12) (2019)).</w:t>
      </w:r>
    </w:p>
    <w:p>
      <w:pPr>
        <w:spacing w:after="0" w:line="48" w:lineRule="exact"/>
        <w:rPr>
          <w:sz w:val="20"/>
          <w:szCs w:val="20"/>
          <w:color w:val="auto"/>
        </w:rPr>
      </w:pPr>
    </w:p>
    <w:p>
      <w:pPr>
        <w:jc w:val="both"/>
        <w:ind w:left="2080" w:right="1739" w:hanging="116"/>
        <w:spacing w:after="0" w:line="266" w:lineRule="auto"/>
        <w:tabs>
          <w:tab w:leader="none" w:pos="20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analysis of over 350 immune-relevant genome-wide association study (GWAS) results from both the public domain and the UK Biobank biomedical resource identified TYK2 as the right therapeutic target. These studies include GWAS of susceptibility to immune-mediated diseases and immunologically relevant laboratory values and biomarkers.</w:t>
      </w:r>
    </w:p>
    <w:p>
      <w:pPr>
        <w:spacing w:after="0" w:line="66"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For example, the identification of a loss-of-function mutation in the TYK2 gene appears to be protective against an array of immune-mediated disorders. Loss of kinase function, as consistent with the mode of action of ESK-001 and A-005, does not appear to significantly increase susceptibility to serious infections or malignancy. In contrast, mutations that lead to complete loss of TYK2 protein expression have been associated with severe immunodeficiency. Our insights regarding the role of TYK2 in disease, as well as the effectiveness of TYK2 inhibition in preventing inducible disease and ameliorating established disease in various models, led to our selection of TYK2 as the foundational program in our efforts to treat immune-mediated diseases.</w:t>
      </w:r>
    </w:p>
    <w:p>
      <w:pPr>
        <w:spacing w:after="0" w:line="225"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 xml:space="preserve">Right Molecule: </w:t>
      </w:r>
      <w:r>
        <w:rPr>
          <w:rFonts w:ascii="Times New Roman" w:cs="Times New Roman" w:eastAsia="Times New Roman" w:hAnsi="Times New Roman"/>
          <w:sz w:val="12"/>
          <w:szCs w:val="12"/>
          <w:i w:val="1"/>
          <w:iCs w:val="1"/>
          <w:color w:val="auto"/>
        </w:rPr>
        <w:t>We seek to design our molecules to achieve maximal target engagement and a favorable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pharmacological profile, and to optimize tolerability.</w:t>
      </w:r>
    </w:p>
    <w:p>
      <w:pPr>
        <w:spacing w:after="0" w:line="30" w:lineRule="exact"/>
        <w:rPr>
          <w:sz w:val="20"/>
          <w:szCs w:val="20"/>
          <w:color w:val="auto"/>
        </w:rPr>
      </w:pPr>
    </w:p>
    <w:p>
      <w:pPr>
        <w:jc w:val="both"/>
        <w:ind w:left="2080" w:right="1739" w:hanging="116"/>
        <w:spacing w:after="0" w:line="270" w:lineRule="auto"/>
        <w:tabs>
          <w:tab w:leader="none" w:pos="20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Our lead generation efforts are enabled via a combination of high throughput screening technologies and in-house </w:t>
      </w:r>
      <w:r>
        <w:rPr>
          <w:rFonts w:ascii="Times New Roman" w:cs="Times New Roman" w:eastAsia="Times New Roman" w:hAnsi="Times New Roman"/>
          <w:sz w:val="12"/>
          <w:szCs w:val="12"/>
          <w:i w:val="1"/>
          <w:iCs w:val="1"/>
          <w:color w:val="auto"/>
        </w:rPr>
        <w:t>in silico</w:t>
      </w:r>
      <w:r>
        <w:rPr>
          <w:rFonts w:ascii="Times New Roman" w:cs="Times New Roman" w:eastAsia="Times New Roman" w:hAnsi="Times New Roman"/>
          <w:sz w:val="12"/>
          <w:szCs w:val="12"/>
          <w:color w:val="auto"/>
        </w:rPr>
        <w:t xml:space="preserve"> screens. We utilize our proprietary precision data analytics platform and modern Artificial Intelligence (AI)- and Machine Learning (ML)-based methods to guide molecular designs.</w:t>
      </w:r>
    </w:p>
    <w:p>
      <w:pPr>
        <w:spacing w:after="0" w:line="19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further refine our molecular designs using a combination of traditional structure-guided approaches from proprietary crystallographic structures and advanced computational methods.</w:t>
      </w:r>
    </w:p>
    <w:p>
      <w:pPr>
        <w:spacing w:after="0" w:line="31"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Early in our development efforts, we apply medicinal chemistry, biochemistry, cellular biology and pharmacology to define the pharmacokinetic (PK) and pharmacodynamic (PD) relationship, to maximize target inhibition, and to reach the relevant compartments of the body.</w:t>
      </w:r>
    </w:p>
    <w:p>
      <w:pPr>
        <w:spacing w:after="0" w:line="71"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For example, while we selected ESK-001 as our lead product candidate by acquiring it in the FronThera Acquisition, we designed A-005 utilizing our proprietary precision data analytics platform and AI- and ML-based methods to maximize target coverage within the CNS by crossing the blood brain barrier, and to directly interrupt the neuroinflammatory and neurodegenerative processes where they occur, with the aim of providing maximal benefit to patients.</w:t>
      </w:r>
    </w:p>
    <w:p>
      <w:pPr>
        <w:spacing w:after="0" w:line="75"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 xml:space="preserve">Right Indication: </w:t>
      </w:r>
      <w:r>
        <w:rPr>
          <w:rFonts w:ascii="Times New Roman" w:cs="Times New Roman" w:eastAsia="Times New Roman" w:hAnsi="Times New Roman"/>
          <w:sz w:val="12"/>
          <w:szCs w:val="12"/>
          <w:i w:val="1"/>
          <w:iCs w:val="1"/>
          <w:color w:val="auto"/>
        </w:rPr>
        <w:t>We select indications based on weight of evidence and biological insights from our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proprietary precision data analytics platform.</w:t>
      </w:r>
    </w:p>
    <w:p>
      <w:pPr>
        <w:spacing w:after="0" w:line="49"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We utilize our proprietary precision data analytics platform and advanced multi-trait statistical methods to evaluate and establish the strength of genetic associations across identified indications of interest.</w:t>
      </w:r>
    </w:p>
    <w:p>
      <w:pPr>
        <w:spacing w:after="0" w:line="32" w:lineRule="exact"/>
        <w:rPr>
          <w:sz w:val="20"/>
          <w:szCs w:val="20"/>
          <w:color w:val="auto"/>
        </w:rPr>
      </w:pPr>
    </w:p>
    <w:p>
      <w:pPr>
        <w:ind w:left="2080" w:right="1739" w:hanging="116"/>
        <w:spacing w:after="0" w:line="291" w:lineRule="auto"/>
        <w:tabs>
          <w:tab w:leader="none" w:pos="208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apply proprietary statistical methods to establish the causality of genetic variants with complex phenotypes via novel adaptations of the Mendelian Randomization method.</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10" w:name="page111"/>
    <w:bookmarkEnd w:id="11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2080" w:right="1739" w:hanging="116"/>
        <w:spacing w:after="0" w:line="272" w:lineRule="auto"/>
        <w:tabs>
          <w:tab w:leader="none" w:pos="208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implement advanced multi-trait statistical methods to simultaneously evaluate the strength of genetic associations across multiple indications with a target of interest and to identify therapeutic opportunities based on novel associations.</w:t>
      </w:r>
    </w:p>
    <w:p>
      <w:pPr>
        <w:spacing w:after="0" w:line="71"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For example, we are pursuing and may pursue indications for our TYK2 franchise that are underpinned by phenotypic-genotypic links or known clinical proof-of-concept data in adjacent pathways, including PsO, SLE, psoriatic arthritis (PsA), Crohn’s disease (CD), multiple sclerosis (MS) and ulcerative colitis (UC), and the other indications listed in the figure below.</w:t>
      </w:r>
    </w:p>
    <w:p>
      <w:pPr>
        <w:spacing w:after="0" w:line="75" w:lineRule="exact"/>
        <w:rPr>
          <w:sz w:val="20"/>
          <w:szCs w:val="20"/>
          <w:color w:val="auto"/>
        </w:rPr>
      </w:pPr>
    </w:p>
    <w:p>
      <w:pPr>
        <w:jc w:val="both"/>
        <w:ind w:left="1720" w:right="1739" w:firstLine="244"/>
        <w:spacing w:after="0" w:line="266" w:lineRule="auto"/>
        <w:rPr>
          <w:sz w:val="20"/>
          <w:szCs w:val="20"/>
          <w:color w:val="auto"/>
        </w:rPr>
      </w:pPr>
      <w:r>
        <w:rPr>
          <w:rFonts w:ascii="Times New Roman" w:cs="Times New Roman" w:eastAsia="Times New Roman" w:hAnsi="Times New Roman"/>
          <w:sz w:val="12"/>
          <w:szCs w:val="12"/>
          <w:color w:val="auto"/>
        </w:rPr>
        <w:t>In addition to CD, UC, and PsA, our analysis of the protective effect associated with the human loss-of-function variant P1104A has identified additional potential future indications of interest for ESK-001, including primary biliary cholangitis, juvenile idiopathic arthritis, sarcoidosis, Type 1 diabetes, rheumatoid arthritis, and celiac disease.</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Association of TYK2 P1104A Loss-of-Function Variant with Immune-Mediated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61595</wp:posOffset>
            </wp:positionV>
            <wp:extent cx="3408045" cy="1942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08045" cy="1942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960" w:hanging="240"/>
        <w:spacing w:after="0"/>
        <w:tabs>
          <w:tab w:leader="none" w:pos="1960" w:val="left"/>
        </w:tabs>
        <w:numPr>
          <w:ilvl w:val="0"/>
          <w:numId w:val="6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Current indication.</w:t>
      </w:r>
    </w:p>
    <w:p>
      <w:pPr>
        <w:spacing w:after="0" w:line="32" w:lineRule="exact"/>
        <w:rPr>
          <w:sz w:val="20"/>
          <w:szCs w:val="20"/>
          <w:color w:val="auto"/>
        </w:rPr>
      </w:pPr>
    </w:p>
    <w:p>
      <w:pPr>
        <w:jc w:val="both"/>
        <w:ind w:left="1720" w:right="1739"/>
        <w:spacing w:after="0" w:line="237" w:lineRule="auto"/>
        <w:rPr>
          <w:sz w:val="20"/>
          <w:szCs w:val="20"/>
          <w:color w:val="auto"/>
        </w:rPr>
      </w:pPr>
      <w:r>
        <w:rPr>
          <w:rFonts w:ascii="Times New Roman" w:cs="Times New Roman" w:eastAsia="Times New Roman" w:hAnsi="Times New Roman"/>
          <w:sz w:val="10"/>
          <w:szCs w:val="10"/>
          <w:color w:val="auto"/>
        </w:rPr>
        <w:t>Note: Forest plot of immune-mediated indications associated with TYK2 loss-of-function variant P1104A. Point estimates below 1 suggest protection against disease while point estimates above 1 suggest susceptibility to disease, with points furthest away from “1.0” indicating highest level of association. Given the protective effect associated with the human TYK2 loss of function variant, all of the remaining indications listed above are potential future indications of interest for ESK-001 and A-005.</w:t>
      </w:r>
    </w:p>
    <w:p>
      <w:pPr>
        <w:spacing w:after="0" w:line="40"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 xml:space="preserve">Right Endpoint: </w:t>
      </w:r>
      <w:r>
        <w:rPr>
          <w:rFonts w:ascii="Times New Roman" w:cs="Times New Roman" w:eastAsia="Times New Roman" w:hAnsi="Times New Roman"/>
          <w:sz w:val="12"/>
          <w:szCs w:val="12"/>
          <w:i w:val="1"/>
          <w:iCs w:val="1"/>
          <w:color w:val="auto"/>
        </w:rPr>
        <w:t>We seek to accelerate drug development and improve the clinical probability of success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through selection of optimal clinical endpoints for our trials.</w:t>
      </w:r>
    </w:p>
    <w:p>
      <w:pPr>
        <w:spacing w:after="0" w:line="30" w:lineRule="exact"/>
        <w:rPr>
          <w:sz w:val="20"/>
          <w:szCs w:val="20"/>
          <w:color w:val="auto"/>
        </w:rPr>
      </w:pPr>
    </w:p>
    <w:p>
      <w:pPr>
        <w:jc w:val="both"/>
        <w:ind w:left="2080" w:right="1739" w:hanging="116"/>
        <w:spacing w:after="0" w:line="266" w:lineRule="auto"/>
        <w:tabs>
          <w:tab w:leader="none" w:pos="208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survey external data to help us select optimal clinical endpoints for our trials. For example, we carefully analyzed data from recent pivotal trials in SLE to support selection of the primary endpoint for our LUMUS trial and to minimize the variability and high placebo response rates that have been common causes of failure in SLE trials.</w:t>
      </w:r>
    </w:p>
    <w:p>
      <w:pPr>
        <w:spacing w:after="0" w:line="47"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select endpoints that are clinically meaningful, that are appropriate to the stage of development and that enable expeditious advancement into the next stage of development.</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aim to link genetic and biological markers to clinical outcome measures to help identify those patients most likely to respond to our medicines in subsequent stages of development.</w:t>
      </w:r>
    </w:p>
    <w:p>
      <w:pPr>
        <w:spacing w:after="0" w:line="4"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For example, we selected a 12-week primary endpoint in our Phase 2 STRIDE trial, which enabled us to benchmark against competitors and make a rapid Go-to-Phase 3 decision. We also included an OLE to better define peak efficacy and long-term safety.</w:t>
      </w: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11" w:name="page112"/>
    <w:bookmarkEnd w:id="111"/>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 xml:space="preserve">Right Patient: </w:t>
      </w:r>
      <w:r>
        <w:rPr>
          <w:rFonts w:ascii="Times New Roman" w:cs="Times New Roman" w:eastAsia="Times New Roman" w:hAnsi="Times New Roman"/>
          <w:sz w:val="12"/>
          <w:szCs w:val="12"/>
          <w:i w:val="1"/>
          <w:iCs w:val="1"/>
          <w:color w:val="auto"/>
        </w:rPr>
        <w:t>We gain insights from our proprietary clinical samples to identify patients that we believe are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most likely to benefit from our therapies.</w:t>
      </w:r>
    </w:p>
    <w:p>
      <w:pPr>
        <w:spacing w:after="0" w:line="21" w:lineRule="exact"/>
        <w:rPr>
          <w:sz w:val="20"/>
          <w:szCs w:val="20"/>
          <w:color w:val="auto"/>
        </w:rPr>
      </w:pPr>
    </w:p>
    <w:p>
      <w:pPr>
        <w:jc w:val="both"/>
        <w:ind w:left="2080" w:right="1739" w:hanging="116"/>
        <w:spacing w:after="0" w:line="266" w:lineRule="auto"/>
        <w:tabs>
          <w:tab w:leader="none" w:pos="208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our interventional studies, we seek to uncover patient selection and stratification criteria by pairing advanced data analytics and ML methods with extensive biomarker profiling across multiple timepoints, including high-dimensional genetics, genomics and proteomics together with functional immune-cell-profiling techniques.</w:t>
      </w:r>
    </w:p>
    <w:p>
      <w:pPr>
        <w:spacing w:after="0" w:line="20"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For example, in our Phase 1 clinical trial of ESK- 001, we identified a novel biomarker of TYK2 activity. Taking this insight into our Phase 2 STRIDE trial, we have demonstrated a clear dose-dependent inhibition of this novel biomarker, achieving maximal inhibition at the higher doses, and a profile closely aligned with our Phase 1 and preclinical datasets. We plan to further test this novel biomarker’s ability to differentiate patient responses in PsO and SLE.</w:t>
      </w:r>
    </w:p>
    <w:p>
      <w:pPr>
        <w:spacing w:after="0" w:line="73"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b w:val="1"/>
          <w:bCs w:val="1"/>
          <w:i w:val="1"/>
          <w:iCs w:val="1"/>
          <w:color w:val="auto"/>
        </w:rPr>
        <w:t xml:space="preserve">Right Combinations: </w:t>
      </w:r>
      <w:r>
        <w:rPr>
          <w:rFonts w:ascii="Times New Roman" w:cs="Times New Roman" w:eastAsia="Times New Roman" w:hAnsi="Times New Roman"/>
          <w:sz w:val="12"/>
          <w:szCs w:val="12"/>
          <w:i w:val="1"/>
          <w:iCs w:val="1"/>
          <w:color w:val="auto"/>
        </w:rPr>
        <w:t>We identify future combination strategies with the potential to break through efficacy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limitations of existing therapies without broadly suppressing the immune system.</w:t>
      </w:r>
    </w:p>
    <w:p>
      <w:pPr>
        <w:spacing w:after="0" w:line="30" w:lineRule="exact"/>
        <w:rPr>
          <w:sz w:val="20"/>
          <w:szCs w:val="20"/>
          <w:color w:val="auto"/>
        </w:rPr>
      </w:pPr>
    </w:p>
    <w:p>
      <w:pPr>
        <w:jc w:val="both"/>
        <w:ind w:left="2080" w:right="1739" w:hanging="116"/>
        <w:spacing w:after="0" w:line="265" w:lineRule="auto"/>
        <w:tabs>
          <w:tab w:leader="none" w:pos="208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Existing immunological therapeutics continue to confront limitations of their efficacy in some diseases, such as rheumatoid arthritis and Crohn’s disease. One potentially promising path to breaking through these efficacy barriers is to utilize the right combinations of precise agents that separately target specific immune pathways and can be safely administered together without broadly suppressing the immune system.</w:t>
      </w:r>
    </w:p>
    <w:p>
      <w:pPr>
        <w:spacing w:after="0" w:line="194" w:lineRule="exact"/>
        <w:rPr>
          <w:rFonts w:ascii="Times New Roman" w:cs="Times New Roman" w:eastAsia="Times New Roman" w:hAnsi="Times New Roman"/>
          <w:sz w:val="12"/>
          <w:szCs w:val="12"/>
          <w:color w:val="auto"/>
        </w:rPr>
      </w:pPr>
    </w:p>
    <w:p>
      <w:pPr>
        <w:jc w:val="both"/>
        <w:ind w:left="2080" w:right="1739" w:hanging="116"/>
        <w:spacing w:after="0" w:line="266" w:lineRule="auto"/>
        <w:tabs>
          <w:tab w:leader="none" w:pos="208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We developed an internal biology platform using multiplexed immune cell assays and </w:t>
      </w:r>
      <w:r>
        <w:rPr>
          <w:rFonts w:ascii="Times New Roman" w:cs="Times New Roman" w:eastAsia="Times New Roman" w:hAnsi="Times New Roman"/>
          <w:sz w:val="12"/>
          <w:szCs w:val="12"/>
          <w:i w:val="1"/>
          <w:iCs w:val="1"/>
          <w:color w:val="auto"/>
        </w:rPr>
        <w:t>in vivo</w:t>
      </w:r>
      <w:r>
        <w:rPr>
          <w:rFonts w:ascii="Times New Roman" w:cs="Times New Roman" w:eastAsia="Times New Roman" w:hAnsi="Times New Roman"/>
          <w:sz w:val="12"/>
          <w:szCs w:val="12"/>
          <w:color w:val="auto"/>
        </w:rPr>
        <w:t xml:space="preserve"> models. We utilize </w:t>
      </w:r>
      <w:r>
        <w:rPr>
          <w:rFonts w:ascii="Times New Roman" w:cs="Times New Roman" w:eastAsia="Times New Roman" w:hAnsi="Times New Roman"/>
          <w:sz w:val="12"/>
          <w:szCs w:val="12"/>
          <w:i w:val="1"/>
          <w:iCs w:val="1"/>
          <w:color w:val="auto"/>
        </w:rPr>
        <w:t>in silico</w:t>
      </w:r>
      <w:r>
        <w:rPr>
          <w:rFonts w:ascii="Times New Roman" w:cs="Times New Roman" w:eastAsia="Times New Roman" w:hAnsi="Times New Roman"/>
          <w:sz w:val="12"/>
          <w:szCs w:val="12"/>
          <w:color w:val="auto"/>
        </w:rPr>
        <w:t xml:space="preserve"> techniques for predicting genetic signatures of drug response using advanced polygenic risk score methodologies. We utilize </w:t>
      </w:r>
      <w:r>
        <w:rPr>
          <w:rFonts w:ascii="Times New Roman" w:cs="Times New Roman" w:eastAsia="Times New Roman" w:hAnsi="Times New Roman"/>
          <w:sz w:val="12"/>
          <w:szCs w:val="12"/>
          <w:i w:val="1"/>
          <w:iCs w:val="1"/>
          <w:color w:val="auto"/>
        </w:rPr>
        <w:t>in silico</w:t>
      </w:r>
      <w:r>
        <w:rPr>
          <w:rFonts w:ascii="Times New Roman" w:cs="Times New Roman" w:eastAsia="Times New Roman" w:hAnsi="Times New Roman"/>
          <w:sz w:val="12"/>
          <w:szCs w:val="12"/>
          <w:color w:val="auto"/>
        </w:rPr>
        <w:t xml:space="preserve"> interaction modelling to predict therapeutic combinations that are likely to be complimentary and/or synergistic with respect to efficacy.</w:t>
      </w:r>
    </w:p>
    <w:p>
      <w:pPr>
        <w:spacing w:after="0" w:line="224"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For example, we believe ESK-001 has significant potential as a future combination therapy due to its pharmacological profile with low risk of drug interactions and highly predictable PK profile in humans. We aim to develop additional therapeutics that may be complimentary to our TYK2 inhibitors and to each other, opening up the future potential of combination therapy.</w:t>
      </w:r>
    </w:p>
    <w:p>
      <w:pPr>
        <w:spacing w:after="0" w:line="1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Immune Dysfunction Overview</w:t>
      </w:r>
    </w:p>
    <w:p>
      <w:pPr>
        <w:spacing w:after="0" w:line="111"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The immune system is a highly regulated and balanced system that has evolved to protect us from infection, recognize and neutralize harmful agents from the environment and fight disease. Dysfunctional immune responses, whether directed towards self or non-self or through unbalanced activation or regulation, can lead to inflammation, allergy, autoimmunity and development of chronic immune-mediated diseases. We are building immune insights from patient samples, incorporating genetic, genomic and proteomic learnings, and translating preclinical findings in an effort to therapeutically target dysfunctional immune mechanisms to improve outcomes for patients with immune-mediated diseases.</w:t>
      </w:r>
    </w:p>
    <w:p>
      <w:pPr>
        <w:spacing w:after="0" w:line="1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Role of TYK2 in Immunology</w:t>
      </w:r>
    </w:p>
    <w:p>
      <w:pPr>
        <w:spacing w:after="0" w:line="102"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TYK2 is an intracellular tyrosine kinase protein within the broader Janus kinase (JAK) family shown to play an essential role in mediating cytokine receptor signaling pathways in both innate and adaptive immunity, as shown in the figure below. Cytokines are a group of proteins in the body that play an important role in boosting the immune system. TYK2 associates with a defined set of cytokine receptors expressed primarily on immune cells, such as IL-23, IL-12 and type I interferon (IFN) receptors, distinct from other JAK family members. TYK2 functions to relay signals into the cell through phosphorylation of signal transducing and activators of transcription (STATs), to initiate a cascade of protein-signaling interactions resulting in cytokine-responsive gene transcription and cell activation, which drives downstream immune responses including Th17, IL-17 pathways, and type I IFN responsive genes that are known drivers of inflammation and immune mediated disease. Therapeutic inhibition of TYK2 and associated cytokine pathways, in particular IL-23/ IL-17 and type I IFN, have been broadly validated to address immune dysfunction in immune-mediated diseases, such as psoriasis, psoriatic arthritis and SLE. TYK2 is expressed in circulating and tissue-resident immune cells, and is also active in CNS-resident immune cells, such as microglia, which are thought to play a key role in neuroinflammation.</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12" w:name="page113"/>
    <w:bookmarkEnd w:id="11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color w:val="auto"/>
        </w:rPr>
        <w:t>Human genetic studies of TYK2 strongly validated it as a therapeutic target. An identified loss-of-function mutation (P1104A) in the TYK2 gene, present in approximately 3% to 5% of European populations, is protective against an array of immune-mediated disorders, including SLE, psoriasis, sarcoidosis, psoriatic arthritis, inflammatory bowel disease and neuroinflammatory and neurodegenerative conditions, such as MS. Importantly, this TYK2 variant does not appear to significantly increase susceptibility to serious infections. We believe that TYK2 inhibition as a targeted therapy may have an improved risk to benefit profile as compared to broad immune suppression.</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TYK2 Associated Pathway and Downstream Cytokines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Overview of the TYK2 Landscape</w:t>
      </w:r>
    </w:p>
    <w:p>
      <w:pPr>
        <w:spacing w:after="0" w:line="111" w:lineRule="exact"/>
        <w:rPr>
          <w:sz w:val="20"/>
          <w:szCs w:val="20"/>
          <w:color w:val="auto"/>
        </w:rPr>
      </w:pPr>
    </w:p>
    <w:p>
      <w:pPr>
        <w:jc w:val="both"/>
        <w:ind w:left="1720" w:right="1739"/>
        <w:spacing w:after="0" w:line="269" w:lineRule="auto"/>
        <w:rPr>
          <w:sz w:val="20"/>
          <w:szCs w:val="20"/>
          <w:color w:val="auto"/>
        </w:rPr>
      </w:pPr>
      <w:r>
        <w:rPr>
          <w:rFonts w:ascii="Times New Roman" w:cs="Times New Roman" w:eastAsia="Times New Roman" w:hAnsi="Times New Roman"/>
          <w:sz w:val="12"/>
          <w:szCs w:val="12"/>
          <w:color w:val="auto"/>
        </w:rPr>
        <w:t>TYK2 inhibition has the potential to treat multiple immune-mediated diseases. The FDA’s approval of deucravacitinib (marketed as Sotyktu) in 2022, with labeling enabling its use as first-line therapy without any boxed warnings, highlights the appeal of TYK2 inhibition for the treatment of immune-mediated indications driven by IL-23 and IFN. Current first-generation allosteric TYK2 inhibitors include Sotyktu and TAK-279. However, first-generation allosteric TYK2 inhibitors have not been able to achieve complete TYK2 inhibition to date, limiting their otherwise promising therapeutic potential. The approved dose of Sotyktu of 6 mg QD, while safe and effective in psoriasis, provides only partial target coverage. In Phase 2 clinical trials of Sotyktu, higher doses, such as 6 mg BID or 12 mg QD, showed incremental improvements in several outcome measures of psoriasis and psoriatic arthritis. However, these higher doses were associated with the occurrence of skin rashes in up to 9% of patients.</w:t>
      </w:r>
    </w:p>
    <w:p>
      <w:pPr>
        <w:spacing w:after="0" w:line="74" w:lineRule="exact"/>
        <w:rPr>
          <w:sz w:val="20"/>
          <w:szCs w:val="20"/>
          <w:color w:val="auto"/>
        </w:rPr>
      </w:pPr>
    </w:p>
    <w:p>
      <w:pPr>
        <w:jc w:val="both"/>
        <w:ind w:left="1720" w:right="1739"/>
        <w:spacing w:after="0" w:line="283" w:lineRule="auto"/>
        <w:rPr>
          <w:sz w:val="20"/>
          <w:szCs w:val="20"/>
          <w:color w:val="auto"/>
        </w:rPr>
      </w:pPr>
      <w:r>
        <w:rPr>
          <w:rFonts w:ascii="Times New Roman" w:cs="Times New Roman" w:eastAsia="Times New Roman" w:hAnsi="Times New Roman"/>
          <w:sz w:val="12"/>
          <w:szCs w:val="12"/>
          <w:color w:val="auto"/>
        </w:rPr>
        <w:t>Similar results were observed with TAK-279, where cutaneous adverse events (AEs) (e.g., acne and acneiform dermatitis) were reported at higher dose levels. The mechanisms causing these skin rashes are not known.</w:t>
      </w:r>
    </w:p>
    <w:p>
      <w:pPr>
        <w:spacing w:after="0" w:line="215" w:lineRule="exact"/>
        <w:rPr>
          <w:sz w:val="20"/>
          <w:szCs w:val="20"/>
          <w:color w:val="auto"/>
        </w:rPr>
      </w:pPr>
    </w:p>
    <w:p>
      <w:pPr>
        <w:jc w:val="both"/>
        <w:ind w:left="1720" w:right="1739"/>
        <w:spacing w:after="0" w:line="280" w:lineRule="auto"/>
        <w:rPr>
          <w:sz w:val="20"/>
          <w:szCs w:val="20"/>
          <w:color w:val="auto"/>
        </w:rPr>
      </w:pPr>
      <w:r>
        <w:rPr>
          <w:rFonts w:ascii="Times New Roman" w:cs="Times New Roman" w:eastAsia="Times New Roman" w:hAnsi="Times New Roman"/>
          <w:sz w:val="12"/>
          <w:szCs w:val="12"/>
          <w:color w:val="auto"/>
        </w:rPr>
        <w:t>TYK2 inhibition represents a breadth of opportunity, and there have been or are ongoing clinical trials of TYK2 inhibitors in multiple indications such as psoriatic arthritis, SLE, cutaneous lupus, alopecia areata, Sjogren’s disease, vitiligo, Crohn’s disease and ulcerative colitis.</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13" w:name="page114"/>
    <w:bookmarkEnd w:id="113"/>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Our TYK2 Franchise</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ESK-001: Our Allosteric TYK2 Inhibitor</w:t>
      </w:r>
    </w:p>
    <w:p>
      <w:pPr>
        <w:spacing w:after="0" w:line="111"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ESK-001 is a potent, highly selective, allosteric TYK2 inhibitor. We believe that ESK-001 may potentially overcome the limitations of first-generation allosteric TYK2 inhibitors by achieving maximal target inhibition without causing dose limiting safety or tolerability issues. We believe this will result from optimized physicochemical properties, favorable and highly predictable PK, and lack of significant drug interactions.</w:t>
      </w:r>
    </w:p>
    <w:p>
      <w:pPr>
        <w:spacing w:after="0" w:line="34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Key Differentiating Features</w:t>
      </w:r>
    </w:p>
    <w:p>
      <w:pPr>
        <w:spacing w:after="0" w:line="17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We believe ESK-001 is differentiated from first-generation TYK2 inhibitors for the following reasons:</w:t>
      </w:r>
    </w:p>
    <w:p>
      <w:pPr>
        <w:spacing w:after="0" w:line="80" w:lineRule="exact"/>
        <w:rPr>
          <w:sz w:val="20"/>
          <w:szCs w:val="20"/>
          <w:color w:val="auto"/>
        </w:rPr>
      </w:pPr>
    </w:p>
    <w:p>
      <w:pPr>
        <w:jc w:val="both"/>
        <w:ind w:left="2080" w:right="1739" w:hanging="116"/>
        <w:spacing w:after="0" w:line="263" w:lineRule="auto"/>
        <w:tabs>
          <w:tab w:leader="none" w:pos="208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Intrinsic Selectivity and Preclinical Pharmacology</w:t>
      </w:r>
      <w:r>
        <w:rPr>
          <w:rFonts w:ascii="Times New Roman" w:cs="Times New Roman" w:eastAsia="Times New Roman" w:hAnsi="Times New Roman"/>
          <w:sz w:val="12"/>
          <w:szCs w:val="12"/>
          <w:color w:val="auto"/>
        </w:rPr>
        <w:t>. Due to ESK-001’s design as an allosteric</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inhibitor, the molecule is both potent and intrinsically selective for TYK2 over other protein kinases, including the related JAK family members. No JAK-related pharmacology has been observed with ESK-001 to date. ESK-001 is supported by a preclinical study in which no clinically limiting findings were observed. By contrast, skin rashes requiring treatment were observed in preclinical toxicology studies of Sotyktu.</w:t>
      </w:r>
    </w:p>
    <w:p>
      <w:pPr>
        <w:spacing w:after="0" w:line="196" w:lineRule="exact"/>
        <w:rPr>
          <w:rFonts w:ascii="Times New Roman" w:cs="Times New Roman" w:eastAsia="Times New Roman" w:hAnsi="Times New Roman"/>
          <w:sz w:val="12"/>
          <w:szCs w:val="12"/>
          <w:color w:val="auto"/>
        </w:rPr>
      </w:pPr>
    </w:p>
    <w:p>
      <w:pPr>
        <w:jc w:val="both"/>
        <w:ind w:left="2080" w:right="1739" w:hanging="116"/>
        <w:spacing w:after="0" w:line="261" w:lineRule="auto"/>
        <w:tabs>
          <w:tab w:leader="none" w:pos="208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Optimized Molecular Properties and PK</w:t>
      </w:r>
      <w:r>
        <w:rPr>
          <w:rFonts w:ascii="Times New Roman" w:cs="Times New Roman" w:eastAsia="Times New Roman" w:hAnsi="Times New Roman"/>
          <w:sz w:val="12"/>
          <w:szCs w:val="12"/>
          <w:color w:val="auto"/>
        </w:rPr>
        <w:t>. At the core of ESK-001’s differentiation from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clinical-stage allosteric inhibitors of TYK2 are its physicochemical properties that we believe impart highly desirable drug-like features. ESK-001 is highly permeable with low efflux resulting in high and rapid systemic absorption and favorable tissue distribution </w:t>
      </w:r>
      <w:r>
        <w:rPr>
          <w:rFonts w:ascii="Times New Roman" w:cs="Times New Roman" w:eastAsia="Times New Roman" w:hAnsi="Times New Roman"/>
          <w:sz w:val="12"/>
          <w:szCs w:val="12"/>
          <w:i w:val="1"/>
          <w:iCs w:val="1"/>
          <w:color w:val="auto"/>
        </w:rPr>
        <w:t>in vivo</w:t>
      </w:r>
      <w:r>
        <w:rPr>
          <w:rFonts w:ascii="Times New Roman" w:cs="Times New Roman" w:eastAsia="Times New Roman" w:hAnsi="Times New Roman"/>
          <w:sz w:val="12"/>
          <w:szCs w:val="12"/>
          <w:color w:val="auto"/>
        </w:rPr>
        <w:t>. These properties result in its highly predictable, linear PK profile in humans with low variability. In addition, ESK-001 has a desirable half-life in humans of approximately 8 to 12 hours and we have not observed any concerns for drug-drug interactions with other therapies.</w:t>
      </w:r>
    </w:p>
    <w:p>
      <w:pPr>
        <w:spacing w:after="0" w:line="39" w:lineRule="exact"/>
        <w:rPr>
          <w:rFonts w:ascii="Times New Roman" w:cs="Times New Roman" w:eastAsia="Times New Roman" w:hAnsi="Times New Roman"/>
          <w:sz w:val="12"/>
          <w:szCs w:val="12"/>
          <w:color w:val="auto"/>
        </w:rPr>
      </w:pPr>
    </w:p>
    <w:p>
      <w:pPr>
        <w:jc w:val="both"/>
        <w:ind w:left="2080" w:right="1739" w:hanging="116"/>
        <w:spacing w:after="0" w:line="259" w:lineRule="auto"/>
        <w:tabs>
          <w:tab w:leader="none" w:pos="208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Maximal Target Inhibition. </w:t>
      </w:r>
      <w:r>
        <w:rPr>
          <w:rFonts w:ascii="Times New Roman" w:cs="Times New Roman" w:eastAsia="Times New Roman" w:hAnsi="Times New Roman"/>
          <w:sz w:val="12"/>
          <w:szCs w:val="12"/>
          <w:color w:val="auto"/>
        </w:rPr>
        <w:t>ESK-001 demonstrated a robust and predictable PK/PD relationship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Phase 1 studies, enabling the identification of a dose level that achieved maximal TYK2 inhibition for 24 hours a day to take into Phase 2 clinical trials. A clear dose-dependent inhibition of TYK2 markers was observed across the dose range in healthy volunteers, with maximal inhibition observed at the 40 mg BID dose and aligned with trough ESK-001 exposures above the whole blood IC90 level throughout the dosing period. We define maximal inhibition as reaching the plateau of biological inhibition in the assay readout with no further impact seen with higher drug concentrations. At the 40 mg BID dose, maximal TYK2 inhibition was confirmed in healthy volunteer and PsO patient blood samples by RNA-seq analysis, and a return to non-lesional baseline levels of TYK2 pathway (including IFN signature, IL-23, IL-17) and PsO-relevant disease biomarkers was confirmed in PsO patient skin biopsies.</w:t>
      </w:r>
    </w:p>
    <w:p>
      <w:pPr>
        <w:spacing w:after="0" w:line="195" w:lineRule="exact"/>
        <w:rPr>
          <w:rFonts w:ascii="Times New Roman" w:cs="Times New Roman" w:eastAsia="Times New Roman" w:hAnsi="Times New Roman"/>
          <w:sz w:val="12"/>
          <w:szCs w:val="12"/>
          <w:color w:val="auto"/>
        </w:rPr>
      </w:pPr>
    </w:p>
    <w:p>
      <w:pPr>
        <w:jc w:val="both"/>
        <w:ind w:left="2080" w:right="1739" w:hanging="116"/>
        <w:spacing w:after="0" w:line="264" w:lineRule="auto"/>
        <w:tabs>
          <w:tab w:leader="none" w:pos="208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Clinical Tolerability. </w:t>
      </w:r>
      <w:r>
        <w:rPr>
          <w:rFonts w:ascii="Times New Roman" w:cs="Times New Roman" w:eastAsia="Times New Roman" w:hAnsi="Times New Roman"/>
          <w:sz w:val="12"/>
          <w:szCs w:val="12"/>
          <w:color w:val="auto"/>
        </w:rPr>
        <w:t>There have been no clinically limiting findings across our clinical trials to date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prevent ESK-001 from being dosed to achieve maximal target inhibition. In contrast to what has been reported with first-generation allosteric TYK2 inhibitors, skin rashes have been observed at much lower frequency with ESK-001 to date, even at very high and sustained levels of target inhibition, suggesting that skin toxicities may not be an on-target, class effect of TYK2 inhibitors.</w:t>
      </w:r>
    </w:p>
    <w:p>
      <w:pPr>
        <w:spacing w:after="0" w:line="19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Strategic Indication Selection</w:t>
      </w:r>
    </w:p>
    <w:p>
      <w:pPr>
        <w:spacing w:after="0" w:line="185"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TYK2-mediated cytokine signaling is involved in a broad range of immune-mediated diseases. TYK2 loss-of-function mutations have been shown to be protective for several conditions including psoriasis, psoriatic arthritis, Crohn’s disease, ulcerative colitis and multiple sclerosis. Therefore, ESK-001 has the potential to provide benefit in a large number of indications. We have selected PsO and SLE as our initial indications. TYK2 has strong validation as a therapeutic target in PsO, and it provides an opportunity for ESK-001 to be benchmarked against in-class competitors, testing the hypothesis that higher degrees of target inhibition result in improved clinical outcomes. The evidence that TYK2-mediated pathways play a key role in disease pathogenesis is similarly strong in SLE: a biologic targeting the type I IFN receptor is approved in SLE, the protective effect of certain loss-of-function mutations of TYK2 is of similar magnitude as in PsO, and a third-party Phase 2 clinical trial of Sotyktu in patients with active SLE met its primary and secondary</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14" w:name="page115"/>
    <w:bookmarkEnd w:id="11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77" w:lineRule="auto"/>
        <w:rPr>
          <w:sz w:val="20"/>
          <w:szCs w:val="20"/>
          <w:color w:val="auto"/>
        </w:rPr>
      </w:pPr>
      <w:r>
        <w:rPr>
          <w:rFonts w:ascii="Times New Roman" w:cs="Times New Roman" w:eastAsia="Times New Roman" w:hAnsi="Times New Roman"/>
          <w:sz w:val="12"/>
          <w:szCs w:val="12"/>
          <w:color w:val="auto"/>
        </w:rPr>
        <w:t>endpoints. The unmet need for safe and efficacious oral therapies remains high in SLE. Across our initial and potential future indications, we estimate there are 21 million patients worldwide (approximately 10 million across our current clinical indications, including PsO and SLE, and approximately 11 million patients across potential future indications).</w:t>
      </w:r>
    </w:p>
    <w:p>
      <w:pPr>
        <w:spacing w:after="0" w:line="19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Combination Potential</w:t>
      </w:r>
    </w:p>
    <w:p>
      <w:pPr>
        <w:spacing w:after="0" w:line="185" w:lineRule="exact"/>
        <w:rPr>
          <w:sz w:val="20"/>
          <w:szCs w:val="20"/>
          <w:color w:val="auto"/>
        </w:r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color w:val="auto"/>
        </w:rPr>
        <w:t>Despite significant advances in the treatment of immune-mediated disease, in many diseases, only a minority of patients achieve disease remission or nearly complete response with current therapies. Because of the complexity, overlap and redundancy of inflammatory pathways, combination approaches targeting complementary pathways may be needed to achieve high-hurdle endpoints such as remission. We believe that ESK-001’s pharmacological properties, including its lack of drug-drug interaction potential and its clinical profile positions it well as a partner for future combination therapies.</w:t>
      </w:r>
    </w:p>
    <w:p>
      <w:pPr>
        <w:spacing w:after="0" w:line="14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auto"/>
        </w:rPr>
        <w:t>ESK-001 for the treatment of PsO</w:t>
      </w:r>
    </w:p>
    <w:p>
      <w:pPr>
        <w:spacing w:after="0" w:line="2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Psoriasis Overview</w:t>
      </w:r>
    </w:p>
    <w:p>
      <w:pPr>
        <w:spacing w:after="0" w:line="111" w:lineRule="exact"/>
        <w:rPr>
          <w:sz w:val="20"/>
          <w:szCs w:val="20"/>
          <w:color w:val="auto"/>
        </w:r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color w:val="auto"/>
        </w:rPr>
        <w:t>Psoriasis is a chronic immune-mediated skin disease characterized by abnormal epidermal growth, usually presenting as red, scaly patches, papules or plaques (plaque psoriasis). Patients with psoriasis are also at increased risk of developing other co-morbid conditions, such as cardiovascular disease, obesity, insulin resistance, uveitis and thyroid dysfunction. Up to 40% of psoriasis patients develop inflammatory arthritis (psoriatic arthritis) that leads to joint destruction and disability. According to the World Health Organization, psoriasis significantly impacts quality of life—physical and emotional challenges of disfiguration, low self-esteem, loss of productivity and depression.</w:t>
      </w:r>
    </w:p>
    <w:p>
      <w:pPr>
        <w:spacing w:after="0" w:line="72" w:lineRule="exact"/>
        <w:rPr>
          <w:sz w:val="20"/>
          <w:szCs w:val="20"/>
          <w:color w:val="auto"/>
        </w:rPr>
      </w:pPr>
    </w:p>
    <w:p>
      <w:pPr>
        <w:jc w:val="both"/>
        <w:ind w:left="1720" w:right="1739"/>
        <w:spacing w:after="0" w:line="280" w:lineRule="auto"/>
        <w:rPr>
          <w:sz w:val="20"/>
          <w:szCs w:val="20"/>
          <w:color w:val="auto"/>
        </w:rPr>
      </w:pPr>
      <w:r>
        <w:rPr>
          <w:rFonts w:ascii="Times New Roman" w:cs="Times New Roman" w:eastAsia="Times New Roman" w:hAnsi="Times New Roman"/>
          <w:sz w:val="12"/>
          <w:szCs w:val="12"/>
          <w:color w:val="auto"/>
        </w:rPr>
        <w:t>Plaque psoriasis impacts over 7.7 million people in the United States (and over 16 million people globally), with an annual growth rate of ~1%. Over 60% of these people have PsO, and over 97% of PsO patients are drug treated. PsO impacts over 4.7 million people in the United States.</w:t>
      </w:r>
    </w:p>
    <w:p>
      <w:pPr>
        <w:spacing w:after="0" w:line="76" w:lineRule="exact"/>
        <w:rPr>
          <w:sz w:val="20"/>
          <w:szCs w:val="20"/>
          <w:color w:val="auto"/>
        </w:rPr>
      </w:pPr>
    </w:p>
    <w:p>
      <w:pPr>
        <w:jc w:val="both"/>
        <w:ind w:left="1720" w:right="1739"/>
        <w:spacing w:after="0" w:line="277" w:lineRule="auto"/>
        <w:rPr>
          <w:sz w:val="20"/>
          <w:szCs w:val="20"/>
          <w:color w:val="auto"/>
        </w:rPr>
      </w:pPr>
      <w:r>
        <w:rPr>
          <w:rFonts w:ascii="Times New Roman" w:cs="Times New Roman" w:eastAsia="Times New Roman" w:hAnsi="Times New Roman"/>
          <w:sz w:val="12"/>
          <w:szCs w:val="12"/>
          <w:color w:val="auto"/>
        </w:rPr>
        <w:t>The pharmaceutical drug market for plaque psoriasis is approximately $14 billion in the United States in 2023 (and over $17 billion globally), and is forecasted to increase substantially, to over $20 billion in United States by 2030 (and over $25 billion globally) due to the increase in the psoriasis patient population and the development of new therapies.</w:t>
      </w:r>
    </w:p>
    <w:p>
      <w:pPr>
        <w:spacing w:after="0" w:line="68" w:lineRule="exact"/>
        <w:rPr>
          <w:sz w:val="20"/>
          <w:szCs w:val="20"/>
          <w:color w:val="auto"/>
        </w:r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color w:val="auto"/>
        </w:rPr>
        <w:t>Targeted biologic therapies have demonstrated robust efficacy in PsO, but are burdensome for patients and physicians. Many patients wish to start or continue with oral medication to avoid the burden of injectable biologics. Biologics targeting the IL-23/IL-17 inflammatory pathways have achieved PASI 75 in more than 80% of treated patients. In the last decade, the FDA has approved two advanced oral therapies for PsO in the United States, Otezla (apremilast) and Sotyktu (deucravacitinib). PASI-75 response rates for either oral agent have been lower than those observed with biologic treatments targeting IL-23 or IL-17.</w:t>
      </w:r>
    </w:p>
    <w:p>
      <w:pPr>
        <w:spacing w:after="0" w:line="82" w:lineRule="exact"/>
        <w:rPr>
          <w:sz w:val="20"/>
          <w:szCs w:val="20"/>
          <w:color w:val="auto"/>
        </w:rPr>
      </w:pPr>
    </w:p>
    <w:p>
      <w:pPr>
        <w:jc w:val="both"/>
        <w:ind w:left="1720" w:right="1739"/>
        <w:spacing w:after="0" w:line="268" w:lineRule="auto"/>
        <w:rPr>
          <w:sz w:val="20"/>
          <w:szCs w:val="20"/>
          <w:color w:val="auto"/>
        </w:rPr>
      </w:pPr>
      <w:r>
        <w:rPr>
          <w:rFonts w:ascii="Times New Roman" w:cs="Times New Roman" w:eastAsia="Times New Roman" w:hAnsi="Times New Roman"/>
          <w:sz w:val="12"/>
          <w:szCs w:val="12"/>
          <w:color w:val="auto"/>
        </w:rPr>
        <w:t>Sotyktu, an oral TYK2 inhibitor, was approved by the FDA in 2022 for the treatment of PsO. In the two Sotyktu placebo-controlled Phase 3 studies, POETYK PSO-1 and POETYK PSO-2, the efficacy of Sotyktu at Week 16 was found to be superior to apremilast, with a 75% reduction in PASI score (PASI 75) achieved in 58% and 53% of patients, respectively, in the Sotyktu arm and 35.1% and 39.8%, respectively, in the apremilast arm. Sotyktu response was maintained through 52 weeks (82% of patients who achieved PASI 75 at Week 24 maintained it through 52 weeks). Sotyktu was well tolerated and had a similar safety profile in both studies, with no evidence of AEs associated with JAK inhibition. Notwithstanding these results, Sotyktu did not achieve complete inhibition of TYK2 throughout the dose interval. As a result, we believe there is an unmet medical need for an oral therapy that is safe and can provide biologic level efficacy for patients with PsO. We believe ESK-001, if approved, would offer a well-tolerated, alternative oral treatment option.</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15" w:name="page116"/>
    <w:bookmarkEnd w:id="115"/>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PsO Patient Share: Systemic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96520</wp:posOffset>
            </wp:positionV>
            <wp:extent cx="2459990" cy="21050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59990" cy="210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Rationale for Targeting TYK2 in the Treatment of PsO</w:t>
      </w:r>
    </w:p>
    <w:p>
      <w:pPr>
        <w:spacing w:after="0" w:line="111" w:lineRule="exact"/>
        <w:rPr>
          <w:sz w:val="20"/>
          <w:szCs w:val="20"/>
          <w:color w:val="auto"/>
        </w:rPr>
      </w:pPr>
    </w:p>
    <w:p>
      <w:pPr>
        <w:jc w:val="both"/>
        <w:ind w:left="1720" w:right="1739"/>
        <w:spacing w:after="0" w:line="280" w:lineRule="auto"/>
        <w:rPr>
          <w:sz w:val="20"/>
          <w:szCs w:val="20"/>
          <w:color w:val="auto"/>
        </w:rPr>
      </w:pPr>
      <w:r>
        <w:rPr>
          <w:rFonts w:ascii="Times New Roman" w:cs="Times New Roman" w:eastAsia="Times New Roman" w:hAnsi="Times New Roman"/>
          <w:sz w:val="12"/>
          <w:szCs w:val="12"/>
          <w:color w:val="auto"/>
        </w:rPr>
        <w:t>As discussed above, the loss-of-function mutations of TYK2 confer strong protection from the development of PsO. Our internal analyses estimate that carriers of the TYK2 P1104A variant have a two-fold reduced risk of developing disease throughout the course of their lifetime.</w:t>
      </w:r>
    </w:p>
    <w:p>
      <w:pPr>
        <w:spacing w:after="0" w:line="76" w:lineRule="exact"/>
        <w:rPr>
          <w:sz w:val="20"/>
          <w:szCs w:val="20"/>
          <w:color w:val="auto"/>
        </w:r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color w:val="auto"/>
        </w:rPr>
        <w:t>The TYK2 inhibitor class emerged as a potentially safe and effective option for the treatment of PsO. Recent data from a Phase 2 dose-ranging placebo-controlled clinical trial of TAK-279, an allosteric TYK2 inhibitor, demonstrated a safety and efficacy profile similar to Sotyktu, with a greater proportion of patients achieving PASI 100 or sPGA0 at the 30 mg (highest) dose of TAK-279. Neither Sotyktu nor TAK-279 achieved complete inhibition of TYK2 throughout the dose interval in their Phase 2 PsO trials. Our Phase 2 STRIDE trial of ESK-001 is the first trial to test the hypothesis that higher degrees of target inhibition result in improved clinical outcomes without incurring safety or tolerability liabilities.</w:t>
      </w:r>
    </w:p>
    <w:p>
      <w:pPr>
        <w:spacing w:after="0" w:line="1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Our Phase 2 Program of ESK-001 in PsO</w:t>
      </w:r>
    </w:p>
    <w:p>
      <w:pPr>
        <w:spacing w:after="0" w:line="111" w:lineRule="exact"/>
        <w:rPr>
          <w:sz w:val="20"/>
          <w:szCs w:val="20"/>
          <w:color w:val="auto"/>
        </w:r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color w:val="auto"/>
        </w:rPr>
        <w:t>Our Phase 2 program is composed of STRIDE, a randomized, double-blind, placebo-controlled Phase 2 clinical trial in patients with PsO, and an open-label extension (OLE) trial in patients who completed our STRIDE trial. For our Phase 2 STRIDE trial, we selected a 12-week primary endpoint, which enabled us to benchmark against competitors and make a rapid Go-to-Phase 3 decision. We also included the OLE to help better define peak efficacy and long-term safety. The doses were selected to evaluate the safety, tolerability and efficacy of the full range of target inhibition.</w:t>
      </w:r>
    </w:p>
    <w:p>
      <w:pPr>
        <w:spacing w:after="0" w:line="73"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Our Phase 2 STRIDE trial assessed the clinical efficacy, safety, PK and PD of ESK-001 compared to placebo. The trial enrolled 228 patients with PsO, demographically well-balanced across the six cohorts. Male and female patients ages 18 to 75 years old were randomized equally across six trial arms (approximately 35 patients per arm) to receive oral doses of ESK-001 at one of five dose levels (10 mg QD, 20 mg QD, 40 mg QD, 20 mg BID or 40 mg BID) or placebo. Key inclusion criteria were a baseline Psoriasis Area and Severity Index (PASI) score of at least 12, static Physician Global Assessment (sPGA) of at least 3, and body surface area (BSA) of at least 10%. Randomization was stratified by prior use of biologics and geographic region.</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16" w:name="page117"/>
    <w:bookmarkEnd w:id="11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The primary endpoint of the trial was the proportion of patients achieving at least 75% improvement in PASI score at 12 weeks compared to placebo. Secondary objectives included additional efficacy evaluations, safety and tolerability and PK characterization of ESK-001.</w:t>
      </w:r>
    </w:p>
    <w:p>
      <w:pPr>
        <w:spacing w:after="0" w:line="67"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Secondary endpoints included the proportion of patients achieving an sPGA score of “0” ​(“cleared”) or “1” (“minimal”), PASI 50, PASI 90 and PASI 100 after 12 weeks of treatment compared with placebo, the change from baseline in percent body surface area (BSA) and Dermatology Life Quality Index (DLQI) after 12 weeks of treatment compared with placebo, the incidence of Treatment Emergent Adverse Events (TEAEs) and Serious Adverse Events (SAEs), plasma concentrations and PK parameters of ESK-001.</w:t>
      </w:r>
    </w:p>
    <w:p>
      <w:pPr>
        <w:spacing w:after="0" w:line="75"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The trial included a screening period of approximately four weeks. The treatment period of 12 weeks was followed by a safety follow-up period, also referred as the washout period, of four weeks during which the patients remained off drug. Eligible patients were then offered the opportunity to participate in the OLE trial following completion of the end-of-trial visit at Week 16. During the OLE trial, patients were assigned to receive ESK-001 at a dose of either 40 mg QD, which provides high but incomplete target inhibition, or 40 mg BID, which provides maximal target inhibition throughout the entire day.</w:t>
      </w:r>
    </w:p>
    <w:p>
      <w:pPr>
        <w:spacing w:after="0" w:line="74"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Primary endpoint analyses were based on the intent-to-treat (ITT) approach. The primary endpoint analysis compared the proportion of patients in the active treatment groups with at least 75% improvement in PASI at Week 12 relative to baseline to placebo using the Cochran-Mantel-Haenszel test. A schematic representation of our Phase 2 STRIDE trial and OLE is shown in the figure below.</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STRIDE and OLE Design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90170</wp:posOffset>
            </wp:positionV>
            <wp:extent cx="3448685" cy="11747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48685"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960" w:right="1739" w:hanging="240"/>
        <w:spacing w:after="0" w:line="250" w:lineRule="auto"/>
        <w:tabs>
          <w:tab w:leader="none" w:pos="1960" w:val="left"/>
        </w:tabs>
        <w:numPr>
          <w:ilvl w:val="0"/>
          <w:numId w:val="7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165 eligible patients were randomized; of these, 164 patients were assigned to receive either 40 mg BID or 40 mg QD (one patient was not dosed and was not included in the population analysis)</w:t>
      </w:r>
    </w:p>
    <w:p>
      <w:pPr>
        <w:spacing w:after="0" w:line="1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Results From Our Completed Phase 2 STRIDE Trial</w:t>
      </w:r>
    </w:p>
    <w:p>
      <w:pPr>
        <w:spacing w:after="0" w:line="102"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The baseline characteristics of the 228 patients enrolled in the trial were the following: mean age 48 years, 68% male, median disease duration 17.9 years, 40% with prior exposure to biologics or JAK inhibitors, and mean PASI score of 17.8. The proportion of sPGA score 3, 4, or 5 was 59%, 38% and 3%, respectively, and the mean BSA was 21%. Baseline characteristics were generally well balanced among all treatment arms. The baseline skin scores, duration of the disease and percent of patients previously treated with biologics indicated that it was a patient population with long- standing active disease. In our Phase 2 STRIDE trial, 204 patients completed the trial—90% of patients in the active treatment groups completed the trial, compared to 87% in the placebo group.</w:t>
      </w:r>
    </w:p>
    <w:p>
      <w:pPr>
        <w:spacing w:after="0" w:line="217"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Our Phase 2 STRIDE trial achieved its primary endpoint at all dose levels with a clear dose response. Compared to placebo, a meaningfully greater proportion of patients treated with ESK-001 at all doses showed PASI 75 response rates at Week 12. All secondary endpoints were met at the higher dose levels. PASI 90 responses were significantly higher than placebo at doses of 20 mg QD and above, and PASI 100 response rates were significantly higher than placebo at doses of 20 mg BID, 40 mg QD and 40 mg BID. For the highest dose of 40 mg BID, PASI 75, PASI 90 and PASI 100 response rates were 64%, 39% and 15% respectively, compared to 0% in the placebo group. PASI responses at Week 12 are shown in the first figure below. There</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17" w:name="page118"/>
    <w:bookmarkEnd w:id="11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were statistically significant differences at Week 12 among patients treated with ESK-001 at doses of 40 mg QD and above relative to placebo in achieving sPGA 0/1, PASI 90 and sPGA 0 (nominal p&lt;0.05), with the highest response observed in the ESK-001 40 mg BID arm. sPGA responses over time are shown in the second figure below. PASI response did not appear to reach a plateau at week 12 and remained on an upward trajectory. PASI response was similar in biologic-naïve and biologic-experienced patients. Treatment with ESK-001 resulted in more patients achieving improvement in quality of life (measured by Dermatology Life Quality Index, DLQI) relative to placebo-treated patients. As shown in the table below, 64% of patients achieved DLQI 0/1 (indicating no or minimal impact on quality of life) at 40 mg BID ESK-001 compared to 18% in the placebo arm. Pruritus (itch) as assessed by the Pruritus Numerical Rating Scale (NRS) also showed significant improvement in a dose dependent manner.</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STRIDE Trial PASI Responses at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90170</wp:posOffset>
            </wp:positionV>
            <wp:extent cx="3500755" cy="16281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500755" cy="1628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color w:val="auto"/>
        </w:rPr>
        <w:t>*p&lt;0.05; **p&lt;0.005; ***p&lt;0.001.</w:t>
      </w:r>
    </w:p>
    <w:p>
      <w:pPr>
        <w:spacing w:after="0" w:line="41" w:lineRule="exact"/>
        <w:rPr>
          <w:sz w:val="20"/>
          <w:szCs w:val="20"/>
          <w:color w:val="auto"/>
        </w:rPr>
      </w:pPr>
    </w:p>
    <w:p>
      <w:pPr>
        <w:jc w:val="both"/>
        <w:ind w:left="1720" w:right="1739"/>
        <w:spacing w:after="0" w:line="227" w:lineRule="auto"/>
        <w:rPr>
          <w:sz w:val="20"/>
          <w:szCs w:val="20"/>
          <w:color w:val="auto"/>
        </w:rPr>
      </w:pPr>
      <w:r>
        <w:rPr>
          <w:rFonts w:ascii="Times New Roman" w:cs="Times New Roman" w:eastAsia="Times New Roman" w:hAnsi="Times New Roman"/>
          <w:sz w:val="10"/>
          <w:szCs w:val="10"/>
          <w:color w:val="auto"/>
        </w:rPr>
        <w:t>Note: P-value is comparing proportion in each active arm vs placebo using the Cochran-Mantel-Haenszel test adjusted for stratification factors (prior use of biologics and geographic region (North American vs. ROW)). NRI imputation was applied for subjects who discontinued study.</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STRIDE Trial sPGA Responses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90170</wp:posOffset>
            </wp:positionV>
            <wp:extent cx="3500755" cy="1657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500755" cy="1657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color w:val="auto"/>
        </w:rPr>
        <w:t>*p&lt;0.05; **p&lt;0.005; ***p&lt;0.001.</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18" w:name="page119"/>
    <w:bookmarkEnd w:id="11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Note: P-value is comparing proportion in each active arm vs placebo using the Cochran-Mantel-Haenszel test adjusted for stratification</w:t>
      </w:r>
    </w:p>
    <w:p>
      <w:pPr>
        <w:spacing w:after="0" w:line="5" w:lineRule="exact"/>
        <w:rPr>
          <w:sz w:val="20"/>
          <w:szCs w:val="20"/>
          <w:color w:val="auto"/>
        </w:rPr>
      </w:pPr>
    </w:p>
    <w:p>
      <w:pPr>
        <w:ind w:left="1720" w:right="1739"/>
        <w:spacing w:after="0" w:line="225" w:lineRule="auto"/>
        <w:rPr>
          <w:sz w:val="20"/>
          <w:szCs w:val="20"/>
          <w:color w:val="auto"/>
        </w:rPr>
      </w:pPr>
      <w:r>
        <w:rPr>
          <w:rFonts w:ascii="Times New Roman" w:cs="Times New Roman" w:eastAsia="Times New Roman" w:hAnsi="Times New Roman"/>
          <w:sz w:val="10"/>
          <w:szCs w:val="10"/>
          <w:color w:val="auto"/>
        </w:rPr>
        <w:t>factors (prior use of biologics and geographic region (North American vs. ROW)). NRI imputation was applied for subjects who discontinued study.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STRIDE Trial Patient Reported Outcomes: DLQI and Pruritus NRS at Week 12</w:t>
      </w:r>
    </w:p>
    <w:p>
      <w:pPr>
        <w:spacing w:after="0" w:line="130"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0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DLQI-0/1*</w:t>
            </w:r>
          </w:p>
        </w:tc>
        <w:tc>
          <w:tcPr>
            <w:tcW w:w="16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Pruritus NRS,</w:t>
            </w:r>
          </w:p>
        </w:tc>
        <w:tc>
          <w:tcPr>
            <w:tcW w:w="14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Pruritus NRS,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820" w:type="dxa"/>
            <w:vAlign w:val="bottom"/>
            <w:gridSpan w:val="4"/>
          </w:tcPr>
          <w:p>
            <w:pPr>
              <w:ind w:left="144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 patients) </w:t>
            </w: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On Average**</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At Worst**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Placebo</w:t>
            </w:r>
          </w:p>
        </w:tc>
        <w:tc>
          <w:tcPr>
            <w:tcW w:w="1560" w:type="dxa"/>
            <w:vAlign w:val="bottom"/>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00" w:type="dxa"/>
            <w:vAlign w:val="bottom"/>
            <w:vMerge w:val="continue"/>
            <w:shd w:val="clear" w:color="auto" w:fill="CCEEFF"/>
          </w:tcPr>
          <w:p>
            <w:pPr>
              <w:spacing w:after="0"/>
              <w:rPr>
                <w:sz w:val="14"/>
                <w:szCs w:val="14"/>
                <w:color w:val="auto"/>
              </w:rPr>
            </w:pPr>
          </w:p>
        </w:tc>
        <w:tc>
          <w:tcPr>
            <w:tcW w:w="15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​18.4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​-0.97</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2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40 mg BID</w:t>
            </w:r>
          </w:p>
        </w:tc>
        <w:tc>
          <w:tcPr>
            <w:tcW w:w="1560" w:type="dxa"/>
            <w:vAlign w:val="bottom"/>
          </w:tcPr>
          <w:p>
            <w:pPr>
              <w:ind w:left="1440"/>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​64.1</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​-4.9</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​-5.09</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40 mg QD</w:t>
            </w:r>
          </w:p>
        </w:tc>
        <w:tc>
          <w:tcPr>
            <w:tcW w:w="15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​48.7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​-4.58</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2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20 mg BID</w:t>
            </w:r>
          </w:p>
        </w:tc>
        <w:tc>
          <w:tcPr>
            <w:tcW w:w="1560" w:type="dxa"/>
            <w:vAlign w:val="bottom"/>
          </w:tcPr>
          <w:p>
            <w:pPr>
              <w:ind w:left="1440"/>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​51.3</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​-3.7</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​-4.05</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20 mg QD</w:t>
            </w:r>
          </w:p>
        </w:tc>
        <w:tc>
          <w:tcPr>
            <w:tcW w:w="15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​33.3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​-2.62</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1"/>
        </w:trPr>
        <w:tc>
          <w:tcPr>
            <w:tcW w:w="2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10mg QD</w:t>
            </w:r>
          </w:p>
        </w:tc>
        <w:tc>
          <w:tcPr>
            <w:tcW w:w="1560" w:type="dxa"/>
            <w:vAlign w:val="bottom"/>
          </w:tcPr>
          <w:p>
            <w:pPr>
              <w:ind w:left="1440"/>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​27.8</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​-2.3</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​-2.69</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-690880</wp:posOffset>
            </wp:positionV>
            <wp:extent cx="315214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15214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70485</wp:posOffset>
            </wp:positionV>
            <wp:extent cx="37211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168" w:lineRule="exact"/>
        <w:rPr>
          <w:sz w:val="20"/>
          <w:szCs w:val="20"/>
          <w:color w:val="auto"/>
        </w:rPr>
      </w:pPr>
    </w:p>
    <w:p>
      <w:pPr>
        <w:ind w:left="1960" w:hanging="240"/>
        <w:spacing w:after="0"/>
        <w:tabs>
          <w:tab w:leader="none" w:pos="1960" w:val="left"/>
        </w:tabs>
        <w:numPr>
          <w:ilvl w:val="0"/>
          <w:numId w:val="7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Proportion of patients achieving DLQI-0/1 at Week 12 primary endpoint</w:t>
      </w:r>
    </w:p>
    <w:p>
      <w:pPr>
        <w:spacing w:after="0" w:line="50" w:lineRule="exact"/>
        <w:rPr>
          <w:sz w:val="20"/>
          <w:szCs w:val="20"/>
          <w:color w:val="auto"/>
        </w:rPr>
      </w:pPr>
    </w:p>
    <w:p>
      <w:pPr>
        <w:ind w:left="1960" w:right="1739" w:hanging="240"/>
        <w:spacing w:after="0" w:line="250" w:lineRule="auto"/>
        <w:tabs>
          <w:tab w:leader="none" w:pos="1960" w:val="left"/>
        </w:tabs>
        <w:numPr>
          <w:ilvl w:val="0"/>
          <w:numId w:val="7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Mean change from Baseline to Week 12 in pruritus NRS (scored 0-10: severity of itch, on average or at worst, within the past 24 hours)</w:t>
      </w:r>
    </w:p>
    <w:p>
      <w:pPr>
        <w:spacing w:after="0" w:line="74"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ESK-001 was generally well-tolerated. During the randomized, placebo-controlled portion of the trial, 40% of patients in the placebo group and 50% of patients in the combined active treatment groups reported AEs, the majority of which were mild to moderate. One patient experienced a SAE in the 10 mg QD group (lower limb fracture). No SAEs were considered related to ESK-001. No AEs typically associated with JAK inhibition (e.g., Major Adverse Cardiovascular Events, cytopenias, treatment related thromboses) were observed. The most common AEs reported by patients across the active arms were headaches, upper respiratory tract infections, and nasopharyngitis. Five patients (3%) treated with ESK-001 discontinued treatment due to AEs. Treatment with ESK-001 resulted in no clinically significant changes from baseline in mean values of lipid levels, blood counts, serum levels of liver enzymes, creatinine, ECG results or vital signs. AEs collected through the end of the study (Week 16) are summarized in the table below including the most frequent TEAEs (in three or more patients) observed in any active treatment arm.</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Summary of Adverse Events in our Phase 2 STRIDE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90170</wp:posOffset>
            </wp:positionV>
            <wp:extent cx="3507105" cy="16167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507105" cy="161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Preliminary Results from the Ongoing OLE Trial</w:t>
      </w:r>
    </w:p>
    <w:p>
      <w:pPr>
        <w:spacing w:after="0" w:line="111"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color w:val="auto"/>
        </w:rPr>
        <w:t>The randomized, placebo-controlled portion of our Phase 2 program was followed by an ongoing OLE, which we designed to evaluate the safety and efficacy of long-term treatment with ESK-001 in patients with PsO. As is typical for open label extensions, the ongoing OLE was not powered for statistical significance. Patients who</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19" w:name="page120"/>
    <w:bookmarkEnd w:id="11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3" w:lineRule="auto"/>
        <w:rPr>
          <w:sz w:val="20"/>
          <w:szCs w:val="20"/>
          <w:color w:val="auto"/>
        </w:rPr>
      </w:pPr>
      <w:r>
        <w:rPr>
          <w:rFonts w:ascii="Times New Roman" w:cs="Times New Roman" w:eastAsia="Times New Roman" w:hAnsi="Times New Roman"/>
          <w:sz w:val="12"/>
          <w:szCs w:val="12"/>
          <w:color w:val="auto"/>
        </w:rPr>
        <w:t>completed the randomized placebo-controlled part of the trial were eligible to participate in the OLE, and 95% of all eligible patients opted to participate. Treatment relevant baseline characteristics and clinical response rates at week 12 were similar between the overall STRIDE population and the subset enrolled in the OLE. Patients in the Czech Republic (25) did not participate in the OLE because local regulatory requirements would not have been consistent with the global protocol and five patients did not meet the OLE inclusion criteria.</w:t>
      </w:r>
    </w:p>
    <w:p>
      <w:pPr>
        <w:spacing w:after="0" w:line="216"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Patients were assigned to receive oral doses of ESK-001 at one of two open-label dose levels (40 mg QD or 40 mg BID). Patients, investigators and site staff remained blinded to the treatment assignment in the parent trial. As of March 2024, we amended the protocol to provide that all patients are to receive the 40 mg BID dose going forward as we determined this dose to represent the optimal risk benefit.</w:t>
      </w:r>
    </w:p>
    <w:p>
      <w:pPr>
        <w:spacing w:after="0" w:line="71"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Interim results from the OLE are presented below and represent a data cut as of March 1, 2024 by which all patients in the study had reached 28 weeks of treatment. Data are presented both “as observed” ​(AO) and after applying a modified non-responder imputation (mNRI) where patients who discontinued study due to adverse event or inadequate response were imputed as non-responders for all time points after study drug discontinuation, and for patients who discontinued study for all other reasons the last observation was carried forward. mNRI analysis is performed only for those time points where all patients on study have reached at the time of the data cut. Additional data cuts will be generated in the future as the study progresses. We expect PsO OLE data updates in the fourth quarter of 2024 and also in 2025.</w:t>
      </w:r>
    </w:p>
    <w:p>
      <w:pPr>
        <w:spacing w:after="0" w:line="77" w:lineRule="exact"/>
        <w:rPr>
          <w:sz w:val="20"/>
          <w:szCs w:val="20"/>
          <w:color w:val="auto"/>
        </w:rPr>
      </w:pPr>
    </w:p>
    <w:p>
      <w:pPr>
        <w:jc w:val="both"/>
        <w:ind w:left="1720" w:right="1739"/>
        <w:spacing w:after="0" w:line="255" w:lineRule="auto"/>
        <w:rPr>
          <w:sz w:val="20"/>
          <w:szCs w:val="20"/>
          <w:color w:val="auto"/>
        </w:rPr>
      </w:pPr>
      <w:r>
        <w:rPr>
          <w:rFonts w:ascii="Times New Roman" w:cs="Times New Roman" w:eastAsia="Times New Roman" w:hAnsi="Times New Roman"/>
          <w:sz w:val="12"/>
          <w:szCs w:val="12"/>
          <w:color w:val="auto"/>
        </w:rPr>
        <w:t>As shown in the figure below, as of the March 1, 2024 data cut, PASI 75, PASI 90 and PASI 100 responses continued to increase over time such that by Week 28 of the OLE, in the AO group over 90% of patients had achieved PASI 75, over 70% had achieved PASI 90 response, and 35% had achieved PASI 100 based on AO data. This data confirms the dose-dependence relationship observed in our Phase 2 STRIDE trial, with the highest response rates and maximal TYK2 inhibition achieved at the highest dose of 40 mg BID.</w:t>
      </w:r>
    </w:p>
    <w:p>
      <w:pPr>
        <w:spacing w:after="0" w:line="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i w:val="1"/>
          <w:iCs w:val="1"/>
          <w:color w:val="auto"/>
        </w:rPr>
        <w:t>OLE ESK-001 40 mg BID Cohort</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As Observed (AO) and modified Non-Responder Imputation (mNRI) Analyses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75565</wp:posOffset>
            </wp:positionV>
            <wp:extent cx="3437255" cy="19538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37255" cy="195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color w:val="auto"/>
        </w:rPr>
        <w:t>mNRI: modified Non-Responder Imputation</w:t>
      </w:r>
    </w:p>
    <w:p>
      <w:pPr>
        <w:spacing w:after="0" w:line="88"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In order to better assess the potential impact of ESK-001, excluding the washout period, we analyzed the PASI 75 response rates by parent study dose for patients rolling into the 40 mg BID OLE cohort (see figure below). This analysis revealed that patients reached very high proportions of PASI 75 responses irrespective of which dose they were assigned to in the randomized controlled parent study. Focusing on the PASI 75 response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20" w:name="page121"/>
    <w:bookmarkEnd w:id="12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rates of patients who initially received placebo in the parent study treatment cohort demonstrates that these patients were able to achieve PASI 75 score of 75% by week 12, 86% by week 16 and 100% by week 28 of the OLE trial. This demonstrates ESK-001’s ability to deliver sustained increases in PASI responses over time, particularly beyond week 12.</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As Observed PASI 75 Responses for the 40 mg BID Cohort in the OLE by Parent Study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84455</wp:posOffset>
            </wp:positionV>
            <wp:extent cx="3326765" cy="16344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26765" cy="163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To compare the clinical outcome of maximal vs. incomplete TYK2 inhibition, patients in the second cohort in the OLE trial were assigned to receive a lower dose (40 mg QD), which provides high but incomplete TYK2 inhibition. Patients who received this lower dose also had increasing response rates over time, up to 73% at week 28 of the OLE trial. However, peak response rates were substantially below those observed with the 40 mg BID dose, demonstrating that maximal inhibition of TYK2 throughout the entire dose interval is essential to achieve optimal efficacy.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As Observed PASI Responses in the OLE 40 mg QD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26670</wp:posOffset>
            </wp:positionV>
            <wp:extent cx="3332480" cy="16167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32480" cy="161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ESK-001 continued to be well tolerated at both doses in the OLE. A summary of the adverse events as of the March 1, 2024 data cut is shown in the table below including the most frequent TEAEs (in three or more patients) observed in any treatment arm. The proportion of patients reporting any treatment-emergent AE was 50% in the 40 mg QD group, and 55% in the 40 mg BID group. The most common AEs were upper respiratory tract infections, nasopharyngitis and headaches.</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21" w:name="page122"/>
    <w:bookmarkEnd w:id="121"/>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Summary of Treatment Emergent Adverse Events (TEAE) in OLE as of March 1, 2024 Data Cut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102235</wp:posOffset>
            </wp:positionV>
            <wp:extent cx="3297555" cy="19596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97555" cy="1959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1720" w:right="1739"/>
        <w:spacing w:after="0" w:line="268" w:lineRule="auto"/>
        <w:rPr>
          <w:sz w:val="20"/>
          <w:szCs w:val="20"/>
          <w:color w:val="auto"/>
        </w:rPr>
      </w:pPr>
      <w:r>
        <w:rPr>
          <w:rFonts w:ascii="Times New Roman" w:cs="Times New Roman" w:eastAsia="Times New Roman" w:hAnsi="Times New Roman"/>
          <w:sz w:val="12"/>
          <w:szCs w:val="12"/>
          <w:color w:val="auto"/>
        </w:rPr>
        <w:t>As of May 31, 2024, there have been six SAEs in the OLE trial. Two SAEs were considered potentially related: a case of wrist arthritis (40mg QD) in a patient with a history of gout and osteoarthritis; and a case of peritonsillar abscess (40mg BID) following COVID-19 infection that required treatment with antibiotics. Four additional SAEs were considered unrelated by the investigator, by us, or by both: a case of sepsis in a patient with diabetic leg ulcers (40mg BID); a case of dyspnea (40mg QD); a case of EGFR-positive, adenocarcinoma of the lung (40mg QD) in a patient with a strong familial history of lung cancer; and a case of advanced renal cell carcinoma (40mg BID) which, due to its large size and the slow-growing nature of renal cell carcinomas, very likely preceded exposure to ESK-001. In both cases of malignancy, the investigator could not definitively rule out relationship to ESK-001 but in our assessment, both cases were unrelated to ESK-001 treatment. Additionally, the adenocarcinoma of the lung (NSCLC) occurred after four weeks from the last dose and therefore is considered non-treatment-emergent and not shown in the table above.</w:t>
      </w:r>
    </w:p>
    <w:p>
      <w:pPr>
        <w:spacing w:after="0" w:line="228"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In summary, our STRIDE Phase 2 clinical trial and open label extension trial in PsO demonstrated that ESK-001 at a dose of 40 mg BID was generally well tolerated and showed clinical benefits. The PASI response was closely linked to the degree of TYK2 inhibition achieved, such that maximal target inhibition led to a significant increase in PASI response, whereas incomplete target inhibition led to a significant step down in PASI response. We believe this data supports advancement of ESK-001 into Phase 3 trials in PsO.</w:t>
      </w:r>
    </w:p>
    <w:p>
      <w:pPr>
        <w:spacing w:after="0" w:line="70" w:lineRule="exact"/>
        <w:rPr>
          <w:sz w:val="20"/>
          <w:szCs w:val="20"/>
          <w:color w:val="auto"/>
        </w:r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color w:val="auto"/>
        </w:rPr>
        <w:t>We further assessed the degree of TYK2 inhibition utilizing blood and skin biomarkers. We measured a panel of biomarkers in whole blood using RNA-seq, and within skin biopsies obtained from a subset of STRIDE patients before treatment with ESK-001 (baseline) and at various time points after the treatment with ESK-001 or placebo. The figure below shows increasingly deep suppression of the type I IFN signature with increasing doses of ESK-001. This inhibition occurred within 2 weeks of initiating treatment and was reversed when treatment was discontinued during the washout period (reflected in the pink bars in the figure below). These blood and skin biopsy biomarker data confirm the maximal target inhibition at the 40 mg BID dose, as demonstrated by the plateau of inhibition of the type I IFN signature, and a return to non-lesional levels of additional TYK2 pathway and disease relevant markers in skin.</w:t>
      </w: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22" w:name="page123"/>
    <w:bookmarkEnd w:id="12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STRIDE Trial: Inhibition of the Type I IFN Signature at Trough in Patient Whole Blood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90805</wp:posOffset>
            </wp:positionV>
            <wp:extent cx="3483610" cy="140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83610" cy="140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1720" w:right="1739"/>
        <w:spacing w:after="0" w:line="235" w:lineRule="auto"/>
        <w:rPr>
          <w:sz w:val="20"/>
          <w:szCs w:val="20"/>
          <w:color w:val="auto"/>
        </w:rPr>
      </w:pPr>
      <w:r>
        <w:rPr>
          <w:rFonts w:ascii="Times New Roman" w:cs="Times New Roman" w:eastAsia="Times New Roman" w:hAnsi="Times New Roman"/>
          <w:sz w:val="10"/>
          <w:szCs w:val="10"/>
          <w:color w:val="auto"/>
        </w:rPr>
        <w:t>Note: Blood samples collected at trough. All patients on study with available samples included in analysis. Far right shaded columns for each dose reflect samples from the end of the 4-week washout period.</w:t>
      </w:r>
    </w:p>
    <w:p>
      <w:pPr>
        <w:spacing w:after="0" w:line="79"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We also wanted to characterize the target inhibition in the relevant tissue, the skin. We obtained skin biopsies from a subset of the patients in the STRIDE study and measured the mRNA in various key TYK2 pathways as well as in known disease biomarkers of PsO (see figure below). Lesional and non-lesional skin biopsy samples were probed for the expression of certain cytokines and disease-related biomarkers using RNA-seq. Paired lesional and non-lesional biopsy samples were obtained at baseline (shown in the middle and on the left of each plot chart on the figure below) and a lesional sample was obtained after 12 weeks of treatment with ESK-001 (shown on the right of the plot chart). This analysis demonstrated that for most analytes, increased expression of inflammatory cytokines and disease biomarkers returned to non-lesional levels after treatment with ESK-001, except for patients who received the placebo.</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STRIDE Trial: Expression of Inflammatory Cytokines and Disease Biomarkers in PsO Skin Biopsies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90170</wp:posOffset>
            </wp:positionV>
            <wp:extent cx="3524250" cy="16109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524250" cy="161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color w:val="auto"/>
        </w:rPr>
        <w:t>Note: ESK-001 Psoriasis Phase 2 Skin biopsy RNA-seq.</w:t>
      </w:r>
    </w:p>
    <w:p>
      <w:pPr>
        <w:spacing w:after="0" w:line="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color w:val="auto"/>
        </w:rPr>
        <w:t>Skin biopsies collected in subset of patients, all available skin biopsy samples with valid RNAseq data included in analysis.</w:t>
      </w:r>
    </w:p>
    <w:p>
      <w:pPr>
        <w:spacing w:after="0" w:line="1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Proposed Phase 3 Clinical Trials of ESK-001 in PsO</w:t>
      </w:r>
    </w:p>
    <w:p>
      <w:pPr>
        <w:spacing w:after="0" w:line="111" w:lineRule="exact"/>
        <w:rPr>
          <w:sz w:val="20"/>
          <w:szCs w:val="20"/>
          <w:color w:val="auto"/>
        </w:rPr>
      </w:pPr>
    </w:p>
    <w:p>
      <w:pPr>
        <w:jc w:val="both"/>
        <w:ind w:left="1720" w:right="1739"/>
        <w:spacing w:after="0" w:line="273" w:lineRule="auto"/>
        <w:rPr>
          <w:sz w:val="20"/>
          <w:szCs w:val="20"/>
          <w:color w:val="auto"/>
        </w:rPr>
      </w:pPr>
      <w:r>
        <w:rPr>
          <w:rFonts w:ascii="Times New Roman" w:cs="Times New Roman" w:eastAsia="Times New Roman" w:hAnsi="Times New Roman"/>
          <w:sz w:val="12"/>
          <w:szCs w:val="12"/>
          <w:color w:val="auto"/>
        </w:rPr>
        <w:t>Our Phase 3 development program includes two identical, global, randomized, double-blind, placebo-controlled 24-week trials to evaluate the efficacy and safety of ESK-001 in adult patients with PsO. We plan to</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23" w:name="page124"/>
    <w:bookmarkEnd w:id="123"/>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conduct these trials in North America, Europe, Latin America, Australia and Asia. Comparators will include placebo (though Week 16) and Otezla (through Week 24). Otezla was selected as a comparator for multiple reasons, including without limitation: (i) Otezla is the benchmark comparator for evaluating PASI efficacy and was the comparator on which Sotyktu was approved; (ii) placebo is not an appropriate comparator past Week 16 due to ethical concerns of administering placebo beyond that point without rescue options, which options would introduce confounding statistical complications; (iii) using Otezla as a comparator allows our trials to have an active comparator out to Week 24; (iv) Otezla is one of the most widely used psoriasis oral drugs with a well-recognized and established safety and efficacy profile on which to compare ESK-001; and (v) Otezla’s established safety and efficacy profile allows accurate statistical powering of our Phase 3 clinical trials.</w:t>
      </w:r>
    </w:p>
    <w:p>
      <w:pPr>
        <w:spacing w:after="0" w:line="219"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The co-primary endpoints will be PASI 75 and sPGA 0/1 at Week 16. Key secondary endpoints will include PASI 90, PASI 100, and sPGA 0 measured at Weeks 16 and Week 24. In addition, patient-reported outcomes including quality of life measures and pruritus will be captured. Patients completing Week 24 will have the opportunity to participate in a 52-week long-term extension (LTE) trial that will evaluate durability and maintenance of response and long-term safety for inclusion in the NDA submission. In addition, we are considering conducting other active comparator trials. These trials are not expected to be part of the NDA submission in the United States.</w:t>
      </w:r>
    </w:p>
    <w:p>
      <w:pPr>
        <w:spacing w:after="0" w:line="218" w:lineRule="exact"/>
        <w:rPr>
          <w:sz w:val="20"/>
          <w:szCs w:val="20"/>
          <w:color w:val="auto"/>
        </w:rPr>
      </w:pPr>
    </w:p>
    <w:p>
      <w:pPr>
        <w:jc w:val="both"/>
        <w:ind w:left="1720" w:right="1739"/>
        <w:spacing w:after="0" w:line="255" w:lineRule="auto"/>
        <w:rPr>
          <w:sz w:val="20"/>
          <w:szCs w:val="20"/>
          <w:color w:val="auto"/>
        </w:rPr>
      </w:pPr>
      <w:r>
        <w:rPr>
          <w:rFonts w:ascii="Times New Roman" w:cs="Times New Roman" w:eastAsia="Times New Roman" w:hAnsi="Times New Roman"/>
          <w:sz w:val="12"/>
          <w:szCs w:val="12"/>
          <w:color w:val="auto"/>
        </w:rPr>
        <w:t>We have received and incorporated into our proposed Phase 3 program feedback from the FDA aligning on the sufficiency to support an NDA submission to the FDA with 24 week data from our two pivotal Phase 3 trials, and from the Committee for Medicinal Products for Human Use (CHMP) in Europe, which provided comments on the length of our two pivotal 24-week Phase 3 trials, which we plan to address with our comparator trials, and regulatory feedback from the PMDA in Japan has been requested.</w:t>
      </w:r>
    </w:p>
    <w:p>
      <w:pPr>
        <w:spacing w:after="0" w:line="73"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Enrollment in our two Phase 3 pivotal trials is expected to commence in the second half of 2024, and top line results are expected in 2026.</w:t>
      </w:r>
    </w:p>
    <w:p>
      <w:pPr>
        <w:spacing w:after="0" w:line="13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auto"/>
        </w:rPr>
        <w:t>ESK-001 for the treatment of Systemic Lupus Erythematosus (SLE)</w:t>
      </w:r>
    </w:p>
    <w:p>
      <w:pPr>
        <w:spacing w:after="0" w:line="2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SLE Overview</w:t>
      </w:r>
    </w:p>
    <w:p>
      <w:pPr>
        <w:spacing w:after="0" w:line="102"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SLE is a chronic autoimmune disease predominantly affecting women at childbearing age. Clinical manifestations are highly heterogeneous, and the disease typically waxes and wanes, with flares and periods of relative remission. Certain loss-of-function variants of TYK2 significantly decrease the risk of SLE.</w:t>
      </w:r>
    </w:p>
    <w:p>
      <w:pPr>
        <w:spacing w:after="0" w:line="67"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While mortality in SLE has decreased since the mid -20th century as a result of improved treatments, the disease remains associated with increased disability and loss of social and occupational functioning and high utilization of health care resources.</w:t>
      </w:r>
    </w:p>
    <w:p>
      <w:pPr>
        <w:spacing w:after="0" w:line="67"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Treatment for SLE varies and, in general, is proportional to the severity of the disease manifestations. Hydroxychloroquine or other antimalarials are widely used along with corticosteroids and immunosuppressives/immunomodulators for moderate to severe SLE and are responsible for significant long-term toxicity and excess mortality. Causes of death in SLE patients are primarily related to infection, as well as accelerated cardiovascular disease or end organ failure.</w:t>
      </w:r>
    </w:p>
    <w:p>
      <w:pPr>
        <w:spacing w:after="0" w:line="1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Overview of the SLE Market</w:t>
      </w:r>
    </w:p>
    <w:p>
      <w:pPr>
        <w:spacing w:after="0" w:line="111"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Over 240,000 people have SLE in the United States (and approximately 3.4 million globally), with an annual growth rate of 1%. 68% of these U.S. SLE patients have moderate-to-severe SLE, and 72% of moderate-to-severe SLE patients are drug treated in the United States. Over 72,000 people in the United States have SLE with lupus nephritis, a serious complication of SLE. Approximately 90% of lupus nephritis patients with Class III and above disease are drug treated in the United States.</w:t>
      </w:r>
    </w:p>
    <w:p>
      <w:pPr>
        <w:spacing w:after="0" w:line="75"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The pharmaceutical drug market for SLE was approximately $1.8 billion in the United States in 2023 (and approximately $ 2 billion globally), and is forecasted to increase to approximately $2.7 billion by 2030 (and over $4 billion globally) due to the increase in SLE patient population and the development of new therapies for SLE.</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24" w:name="page125"/>
    <w:bookmarkEnd w:id="12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74" w:lineRule="auto"/>
        <w:rPr>
          <w:sz w:val="20"/>
          <w:szCs w:val="20"/>
          <w:color w:val="auto"/>
        </w:rPr>
      </w:pPr>
      <w:r>
        <w:rPr>
          <w:rFonts w:ascii="Times New Roman" w:cs="Times New Roman" w:eastAsia="Times New Roman" w:hAnsi="Times New Roman"/>
          <w:sz w:val="12"/>
          <w:szCs w:val="12"/>
          <w:color w:val="auto"/>
        </w:rPr>
        <w:t>The therapies available for the treatment of SLE include anti-malarial therapies, corticosteroids, immunosuppressive agents and biologic therapies. There are currently only two targeted therapies approved for SLE in the United States—Benlysta and Saphnelo. There remains a strong unmet need for more effective and safe therapies to treat SLE, as these are the only two therapies approved since the 1950s and oral corticosteroids with or without broad immunosuppressants are still widely used, and such biologics treatment is only effective in a subset of patients.</w:t>
      </w:r>
    </w:p>
    <w:p>
      <w:pPr>
        <w:spacing w:after="0" w:line="1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Rationale for Targeting TYK2 in the Treatment of SLE</w:t>
      </w:r>
    </w:p>
    <w:p>
      <w:pPr>
        <w:spacing w:after="0" w:line="111"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The importance of the type I IFN pathway is well established in SLE. Type I IFN regulated genes and proteins are elevated in SLE patient serum, skin, joints, and kidneys, driving disease activity and flares. The type I IFN receptor signals through TYK2 to drive T-cell activation, enhanced natural killer (NK) cell activity, dendritic cell maturation and neutrophil extracellular traps formation. The IL-23/IL-12 pathways are less well characterized in SLE compared to psoriasis. IL-23 levels have been shown to be higher in active as compared to inactive SLE biopsy samples, and glomerular IL-23 appears to correlate with severity of kidney inflammation.</w:t>
      </w:r>
    </w:p>
    <w:p>
      <w:pPr>
        <w:spacing w:after="0" w:line="225" w:lineRule="exact"/>
        <w:rPr>
          <w:sz w:val="20"/>
          <w:szCs w:val="20"/>
          <w:color w:val="auto"/>
        </w:rPr>
      </w:pPr>
    </w:p>
    <w:p>
      <w:pPr>
        <w:jc w:val="both"/>
        <w:ind w:left="1720" w:right="1739"/>
        <w:spacing w:after="0" w:line="269" w:lineRule="auto"/>
        <w:rPr>
          <w:sz w:val="20"/>
          <w:szCs w:val="20"/>
          <w:color w:val="auto"/>
        </w:rPr>
      </w:pPr>
      <w:r>
        <w:rPr>
          <w:rFonts w:ascii="Times New Roman" w:cs="Times New Roman" w:eastAsia="Times New Roman" w:hAnsi="Times New Roman"/>
          <w:sz w:val="12"/>
          <w:szCs w:val="12"/>
          <w:color w:val="auto"/>
        </w:rPr>
        <w:t>Sotyktu has been studied in a 48-week Phase 2 clinical trial in adults (n=363) with active SLE. The primary endpoint was the SLE Responder Index 4 (SRI-4) at Week 32 across four groups randomized 1:1:1:1 to receive Sotyktu 3 mg twice daily, 6 mg twice daily, 12 mg once daily, or placebo. This study met its primary and several secondary and exploratory endpoints. Sotyktu showed higher response rates relative to placebo at all dose levels, but there did not appear to be a clear dose response relationship. Overall rates of AEs were similar across groups, except for higher rates of infections and cutaneous events, including rash and acne, with Sotyktu treatment. Patient drop-out rates were higher at higher doses. Rates of SAEs were comparable across dose cohorts, with no deaths, opportunistic infections, tuberculosis infections, major adverse cardiovascular events or thrombotic events reported.</w:t>
      </w:r>
    </w:p>
    <w:p>
      <w:pPr>
        <w:spacing w:after="0" w:line="1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Ongoing Phase 2b LUMUS trial of ESK-001 in SLE</w:t>
      </w:r>
    </w:p>
    <w:p>
      <w:pPr>
        <w:spacing w:after="0" w:line="111" w:lineRule="exact"/>
        <w:rPr>
          <w:sz w:val="20"/>
          <w:szCs w:val="20"/>
          <w:color w:val="auto"/>
        </w:rPr>
      </w:pPr>
    </w:p>
    <w:p>
      <w:pPr>
        <w:jc w:val="both"/>
        <w:ind w:left="1720" w:right="1739"/>
        <w:spacing w:after="0" w:line="277" w:lineRule="auto"/>
        <w:rPr>
          <w:sz w:val="20"/>
          <w:szCs w:val="20"/>
          <w:color w:val="auto"/>
        </w:rPr>
      </w:pPr>
      <w:r>
        <w:rPr>
          <w:rFonts w:ascii="Times New Roman" w:cs="Times New Roman" w:eastAsia="Times New Roman" w:hAnsi="Times New Roman"/>
          <w:sz w:val="12"/>
          <w:szCs w:val="12"/>
          <w:color w:val="auto"/>
        </w:rPr>
        <w:t>We are currently conducting LUMUS, a Phase 2b, 48-week, global, placebo-controlled, double-blind, randomized, clinical trial evaluating ESK-001 in patients with moderate-to-severe active SLE, in the United States, Europe, the UK, Latin America and APAC countries. Subsequently, we plan to conduct a confirmatory Phase 3 clinical trial prior to seeking regulatory approval.</w:t>
      </w:r>
    </w:p>
    <w:p>
      <w:pPr>
        <w:spacing w:after="0" w:line="68"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The trial is enrolling patients with autoantibody positive SLE diagnosed per the 2019 EULAR/ACR criteria more than six months prior to screening, and with evidence of active disease per both Systemic Lupus Erythematosus Disease Activity Index—2K (SLEDAI-2K) and British Isles Lupus Assessment Group index (BILAG) (both validated composite outcome measures of lupus disease activity), despite current treatment with corticosteroids and/or any of the following: antimalarials, methotrexate, azathioprine, or a combination of these treatments.</w:t>
      </w:r>
    </w:p>
    <w:p>
      <w:pPr>
        <w:spacing w:after="0" w:line="235" w:lineRule="exact"/>
        <w:rPr>
          <w:sz w:val="20"/>
          <w:szCs w:val="20"/>
          <w:color w:val="auto"/>
        </w:rPr>
      </w:pPr>
    </w:p>
    <w:p>
      <w:pPr>
        <w:jc w:val="both"/>
        <w:ind w:left="1720" w:right="1739"/>
        <w:spacing w:after="0" w:line="269" w:lineRule="auto"/>
        <w:rPr>
          <w:sz w:val="20"/>
          <w:szCs w:val="20"/>
          <w:color w:val="auto"/>
        </w:rPr>
      </w:pPr>
      <w:r>
        <w:rPr>
          <w:rFonts w:ascii="Times New Roman" w:cs="Times New Roman" w:eastAsia="Times New Roman" w:hAnsi="Times New Roman"/>
          <w:sz w:val="12"/>
          <w:szCs w:val="12"/>
          <w:color w:val="auto"/>
        </w:rPr>
        <w:t>We plan to enroll 338 patients in three active dose arms and a placebo arm with randomization ratio of 1:1:1:1. The trial is designed to test the efficacy, safety and optimal dose regimen of ESK-001 in patients with active SLE. The primary endpoint is BICLA response (a validated composite measure of lupus disease activity) at Week 48. The trial is designed to potentially serve as the first of two pivotal trials. It is accompanied by an open label extension trial. An extensive array of biomarker samples is being collected in order to help identify biomarkers associated with response or non-response, potentially enabling future stratification and/or selection of patients most likely to respond. A schematic of the trial design is shown in the figure below.</w:t>
      </w:r>
    </w:p>
    <w:p>
      <w:pPr>
        <w:spacing w:after="0" w:line="2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We expect to report data in 2026.</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LUMUS Phase 2b Trial Design in SLE</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25" w:name="page126"/>
    <w:bookmarkEnd w:id="125"/>
    <w:p>
      <w:pPr>
        <w:ind w:left="8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386080</wp:posOffset>
            </wp:positionV>
            <wp:extent cx="3477895" cy="802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77895" cy="802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Potential Additional Indications of Interest</w:t>
      </w:r>
    </w:p>
    <w:p>
      <w:pPr>
        <w:spacing w:after="0" w:line="102"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Crohn’s disease (CD) impacts approximately 700,000 people in the United States (and over 1.5 million people globally), with an annual growth rate of approximately 1%. 63% of patients have moderate-to-severe/fulminant CD, and over 84% of moderate-to-severe CD patients are drug treated. The pharmaceutical drug market for CD was approximately $8.1 billion in the United States in 2023 (and approximately $10.1 billion globally), and is forecasted to increase to over $10.8 billion by 2030 (and over $13 billion globally) due to the increase in CD patient population and the development of new therapies for CD. There are a number of therapies available for the treatment of CD, including steroids, tumor necrosis factor (TNF) inhibitors, interleukin inhibitors, anti-integrin biologics, a JAK inhibitor and other systemic therapies. Humira and Entyvio are the most used biologics in their categories. There is currently one oral therapy approved for CD in the United States—Rinvoq. Rinvoq is an oral JAK inhibitor, which carries a black box warning for JAK-related AEs, and is advised for use after a TNF inhibitor.</w:t>
      </w:r>
    </w:p>
    <w:p>
      <w:pPr>
        <w:spacing w:after="0" w:line="217"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Ulcerative colitis (UC) impacts over 618,000 people in the United States (and over 1.9 million people globally), with an annual growth rate of approximately 1%. Over 70% of patients have moderate-to-severe/fulminant UC, and over 80% of moderate-to-severe UC patients are drug treated. The pharmaceutical drug market for UC was approximately $5.3 billion in the United States in 2023 (and approximately $7.7 billion globally), and is forecasted to increase substantially to approximately $6.1 billion by 2030 (and over $9 billion globally) due to the increase in UC patient population and the development of new therapies for UC. There are a number of therapies available for the treatment of UC, including steroids, TNF inhibitors, interleukin inhibitors, anti-integrin biologics, JAK inhibitors, an S1P1 receptor and other systemic therapies. Humira and Entyvio are the most used biologics in their categories. There are three oral therapies approved for UC in the United States—Xeljanz,​ Rinvoq and Zeposia. Xeljanz and Rinvoq are oral JAK inhibitors, which carry a black box warning for JAK-related AEs, and are advised for use after a TNF inhibitor. Zeposia is an S1P modulator approved in 2021.</w:t>
      </w:r>
    </w:p>
    <w:p>
      <w:pPr>
        <w:spacing w:after="0" w:line="221"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Psoriatic arthritis (PsA) impacts over 623,000 people in the United States (and over 1.4 million people globally), with an annual growth rate of 1%. 68% of patients have moderate-to-severe PsA, and over 53% of moderate-to-severe PsA patients are drug treated. The pharmaceutical drug market for PsA was approximately $6.3 billion in the United States in 2023 (and approximately $8.1 billion globally), and is forecasted to increase substantially to approximately $7.2 billion by 2030 (and over $9 billion globally) due to the increase in PsA patient population and the development of new therapies for PsA. There are a number of therapies available for the treatment of PsA, including TNF inhibitors, interleukin inhibitors, biologic therapies, JAK inhibitors and other systemic therapies. Humira is the most used TNF inhibitor among moderate- to-severe PsA patients. Stelara is the most used biologic in the anti-IL-12/23 category. There are three oral therapies for PsA approved in the United States—Xeljanz, Rinvoq and Otezla. Xeljanz and Rinvoq are oral JAK inhibitors, which carry a black box warning for JAK-related AEs, and are advised for use after a TNF inhibitor.</w:t>
      </w:r>
    </w:p>
    <w:p>
      <w:pPr>
        <w:spacing w:after="0" w:line="29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auto"/>
        </w:rPr>
        <w:t>Once daily oral formulation of ESK-001</w:t>
      </w:r>
    </w:p>
    <w:p>
      <w:pPr>
        <w:spacing w:after="0" w:line="183"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We are currently developing a once daily modified release (MR) oral formulation of ESK-001 that can replace our current immediate release (IR) oral formulation that is dosed twice daily. Our target profile is an MR product that has comparable pharmacokinetic (PK) and pharmacodynamic (PD) behavior to the 40 mg IR twice daily dose utilized in our Phase 2 clinical trials to date. We plan to initiate human studies in order to identify the best MR formulation. We plan to use this formulation to advance our clinical programs and to introduce it between the time of PsO approval or via a supplemental NDA within the first year post approval.</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26" w:name="page127"/>
    <w:bookmarkEnd w:id="12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auto"/>
        </w:rPr>
        <w:t>A-005: Our CNS-Penetrant Allosteric TYK2 Inhibitor</w:t>
      </w:r>
    </w:p>
    <w:p>
      <w:pPr>
        <w:spacing w:after="0" w:line="109"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 xml:space="preserve">The second clinical product candidate in our TYK2 franchise, A-005, is a highly differentiated, CNS-penetrant, allosteric TYK2 inhibitor that has potential applications in multiple sclerosis (MS) and other neurological diseases. A loss-of-function mutation in the TYK2 gene has been shown to have a protective effect in MS. In preclinical studies, A-005 has recapitulated the protective effects reported with the TYK2 genetic loss-of-function in prophylactic and therapeutic </w:t>
      </w:r>
      <w:r>
        <w:rPr>
          <w:rFonts w:ascii="Times New Roman" w:cs="Times New Roman" w:eastAsia="Times New Roman" w:hAnsi="Times New Roman"/>
          <w:sz w:val="12"/>
          <w:szCs w:val="12"/>
          <w:i w:val="1"/>
          <w:iCs w:val="1"/>
          <w:color w:val="auto"/>
        </w:rPr>
        <w:t>in vivo</w:t>
      </w:r>
      <w:r>
        <w:rPr>
          <w:rFonts w:ascii="Times New Roman" w:cs="Times New Roman" w:eastAsia="Times New Roman" w:hAnsi="Times New Roman"/>
          <w:sz w:val="12"/>
          <w:szCs w:val="12"/>
          <w:color w:val="auto"/>
        </w:rPr>
        <w:t xml:space="preserve"> EAE models of neuroinflammation. We have completed investigational new drug (IND) enabling studies of A-005. In April 2024, we initiated a randomized, double-blind, placebo-controlled, multi-cohort Phase 1 study to assess the safety, PK, and PD of single ascending doses (SAD) and multiple ascending doses (MAD) of orally administered A-005. The study’s primary endpoint is the safety and tolerability of SAD and MAD administration of A-005 in healthy volunteers. Each healthy volunteer in the SAD cohorts will receive a single oral dose of A-005 or placebo. Each healthy volunteer in the MAD cohorts will receive a QD or BID oral dose of A-005 or placebo for 14 days. If we meet the primary endpoint and PK data have been demonstrated in the SAD cohorts, we intend to include an open-label, one-cohort, single-dose study to assess the penetration of orally administered A-005 into the cerebrospinal fluid (CSF). We expect to report initial results by the end of 2024. We are targeting MS as our initial indication. Assuming favorable results in this study, we believe we can quickly establish proof of concept of A-005 for future Phase 2 study in MS given its potential to potently target neuroinflammatory processes.</w:t>
      </w:r>
    </w:p>
    <w:p>
      <w:pPr>
        <w:spacing w:after="0" w:line="27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Role of TYK2 in neuroinflammatory and neurodegenerative diseases.</w:t>
      </w:r>
    </w:p>
    <w:p>
      <w:pPr>
        <w:spacing w:after="0" w:line="111"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TYK2 pathways are active in CNS-resident immune cells and may play a localized role in the CNS contributing to the pathology of several CNS inflammatory disorders, including MS. Genome-wide association studies have shown the loss-of-function TYK2 genetic variant, P1104A, has a protective effect for the development of MS. An additional missense variant in TYK2, Rs35018800, has the largest effect on MS risk of any variant outside the MHC/HLA region discovered to date. In addition to its genetic association with MS, TYK2 is known to be expressed and functionally active in CNS-resident microglia. Microglia express IL-23 and interferon receptors and IL-23/IL-12 cytokines have been shown to localize to MS lesions. Activated microglia are associated with disease worsening in MS, and TYK2 inhibitors with adequate CNS exposure provide an opportunity to target neuroinflammation and neurodegeneration. We believe TYK2 inhibition has the potential to treat the neuroinflammatory component of other neurodegenerative diseases where activated microglia and/or TYK2 proinflammatory cytokines including interferon are implicated such as Alzheimer’s disease, ALS, optic neuritis, neuromyelitis optica, and Parkinson’s disease.</w:t>
      </w:r>
    </w:p>
    <w:p>
      <w:pPr>
        <w:spacing w:after="0" w:line="22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auto"/>
        </w:rPr>
        <w:t>A-005 for the treatment of Multiple Sclerosis</w:t>
      </w:r>
    </w:p>
    <w:p>
      <w:pPr>
        <w:spacing w:after="0" w:line="109"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MS is a chronic immune-mediated disease of the central nervous system. This condition causes a wide range of physical and cognitive challenges for those afflicted, often resulting in neurological symptoms and disabilities. Despite available treatments to manage symptoms and slow diseases progression, treatments are limited for progressive disease and a definitive cure remains elusive. Agents directly targeting the CNS pathology and CNS resident cells, including activated microglia, are of increasing interest as these are thought to impact progressive neurological impairment. The unmet need lies in finding safe and more effective targeted therapies that can halt or reverse the disease progression, alleviating the burden on patients and their families and improving their overall quality of life.</w:t>
      </w:r>
    </w:p>
    <w:p>
      <w:pPr>
        <w:spacing w:after="0" w:line="77"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MS afflicts approximately 800,000 patients in the United States (and approximately 2.9 million people worldwide), with an annual growth rate of approximately 1%.</w:t>
      </w:r>
    </w:p>
    <w:p>
      <w:pPr>
        <w:spacing w:after="0" w:line="50"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The global market size for MS is approximately $20 billion and is forecasted to increase substantially to over $30 billion by 2030 due to the increase in MS patient population, the development of new therapies for MS and projected increase in treatment rate.</w:t>
      </w:r>
    </w:p>
    <w:p>
      <w:pPr>
        <w:spacing w:after="0" w:line="71"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There are several therapies available for the treatment of relapsing forms of MS, including interferon beta regulators, monoclonal antibodies, synthetic immunomodulatory drugs and S1P receptor modulators. Few therapies exist for the progressive form of MS. Ocrevus (ocrelizumab), a CD20 antibody, is the most used injectable therapy in the United States for relapsing MS and is the only approved treatment option shown to</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27" w:name="page128"/>
    <w:bookmarkEnd w:id="12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306" w:lineRule="auto"/>
        <w:rPr>
          <w:sz w:val="20"/>
          <w:szCs w:val="20"/>
          <w:color w:val="auto"/>
        </w:rPr>
      </w:pPr>
      <w:r>
        <w:rPr>
          <w:rFonts w:ascii="Times New Roman" w:cs="Times New Roman" w:eastAsia="Times New Roman" w:hAnsi="Times New Roman"/>
          <w:sz w:val="12"/>
          <w:szCs w:val="12"/>
          <w:color w:val="auto"/>
        </w:rPr>
        <w:t>slow progression of primary progressive multiple sclerosis (PPMS). There continues to be a high unmet need for a safe and efficacious oral therapies for progressive forms of MS.</w:t>
      </w:r>
    </w:p>
    <w:p>
      <w:pPr>
        <w:spacing w:after="0" w:line="17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A-005 Preclinical Validation</w:t>
      </w:r>
    </w:p>
    <w:p>
      <w:pPr>
        <w:spacing w:after="0" w:line="175" w:lineRule="exact"/>
        <w:rPr>
          <w:sz w:val="20"/>
          <w:szCs w:val="20"/>
          <w:color w:val="auto"/>
        </w:r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color w:val="auto"/>
        </w:rPr>
        <w:t>In our preclinical studies, A-005 was shown to bind to the TYK2 allosteric domain (JH2 domain) with picomolar binding affinity and potently inhibit receptor-mediated activation of pSTAT pathways downstream of IL-23, IL-12 and type I IFN receptor signaling in whole blood, PBMCs and microglial cells. As shown in the figure below, A-005 is highly potent and intrinsically selective for the TYK2 JH2 domain over all other protein kinases for which A-005 showed limited activity in a broad kinase screening panel, including the JAK family members. While potent in TYK2 pathways (IFNα, IL-12 or IL-23 stimulus), A-005 is devoid of JAK pharmacology in non-TYK2 driven (IL-2 and TPO stimulus) in immune cell assays. A-005 has a projected low QD dose, with an approximately 12 hour projected half-life.</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Profile of A-005 Inhibition in Biochemical and Immune Cell Assays Demonstrates Potent and Selective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Inhibition of TYK2 with no JAK-related Pharmacology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99060</wp:posOffset>
            </wp:positionV>
            <wp:extent cx="2925445" cy="12560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925445" cy="1256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color w:val="auto"/>
        </w:rPr>
        <w:t>*Eurofins kinase panel hits &gt;90% at 1 µM A-005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81915</wp:posOffset>
            </wp:positionV>
            <wp:extent cx="2931160" cy="8083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931160" cy="808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color w:val="auto"/>
        </w:rPr>
        <w:t>Note: TPO: thrombopoietin; pSTAT: phosphorylated signal transducer and activator of transcription</w:t>
      </w:r>
    </w:p>
    <w:p>
      <w:pPr>
        <w:spacing w:after="0" w:line="97" w:lineRule="exact"/>
        <w:rPr>
          <w:sz w:val="20"/>
          <w:szCs w:val="20"/>
          <w:color w:val="auto"/>
        </w:r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color w:val="auto"/>
        </w:rPr>
        <w:t>We believe A-005 can potently target neuroinflammatory processes systemically and within the CNS. Our preclinical studies have shown that microglia express TYK2 and respond to TYK2 signaling cytokines such as IFNa and IL-23. A-005 can substantially inhibit TYK2 microglial responses in primary microglia derived from human induced pluripotent stem cell (iPSC) achieving maximal inhibition of IFNα induced pSTAT activation, returning to baseline non-stimulated levels with increasing A-005 concentration (see figure below). These results are similar to those observed with immune PBMCs.</w:t>
      </w: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28" w:name="page129"/>
    <w:bookmarkEnd w:id="12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A-005 Maximally Inhibits Activation of Human iPSC-Derived Microglia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102235</wp:posOffset>
            </wp:positionV>
            <wp:extent cx="3413760" cy="15062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13760" cy="150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color w:val="auto"/>
        </w:rPr>
        <w:t>When administered orally once a day, A-005 was protective in rodent models of EAE, which are commonly used to evaluate mechanisms of neuroinflammation. When administered prophylactically in an EAE model, A-005 showed a significant dose response and prevented disease at higher doses. A-005 disease reduction surpassed that of fingolimod, which is commonly used as a positive control in this model. In a therapeutic dosing EAE model, A-005 administered after disease onset resulted in significant suppression of established disease with once daily treatments again exceeding the benefit observed with fingolimod.</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Prophylactic CNS EAE Model: Complete Suppression Achieved with Once Daily A-005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102235</wp:posOffset>
            </wp:positionV>
            <wp:extent cx="3373120" cy="16402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73120" cy="164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720" w:right="1739"/>
        <w:spacing w:after="0" w:line="269" w:lineRule="auto"/>
        <w:rPr>
          <w:sz w:val="20"/>
          <w:szCs w:val="20"/>
          <w:color w:val="auto"/>
        </w:rPr>
      </w:pPr>
      <w:r>
        <w:rPr>
          <w:rFonts w:ascii="Times New Roman" w:cs="Times New Roman" w:eastAsia="Times New Roman" w:hAnsi="Times New Roman"/>
          <w:sz w:val="10"/>
          <w:szCs w:val="10"/>
          <w:color w:val="auto"/>
        </w:rPr>
        <w:t>Note: Once daily oral dosing initiated 1 day prior to EAE induction. Mann-Whitney U-test vs vehicle, p&lt;0.05 for 1mg/kg (day 20-28); 3 mg/kg (day 20-28); 10 mg/kg (day 14-28); 30 mg/kg (day 14-28)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29" w:name="page130"/>
    <w:bookmarkEnd w:id="12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i w:val="1"/>
          <w:iCs w:val="1"/>
          <w:color w:val="auto"/>
        </w:rPr>
        <w:t>Therapeutic CNS EAE Model: Dose-Dependent Suppression of Established Disease with Once Daily A-005</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Treatment Initiated After Disease Onset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99060</wp:posOffset>
            </wp:positionV>
            <wp:extent cx="3384550" cy="16516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84550" cy="165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0"/>
          <w:szCs w:val="10"/>
          <w:color w:val="auto"/>
        </w:rPr>
        <w:t>Note: Once daily oral dosing initiated at the onset of EAE clinical signs (# enrollment period, days 10 -13). Experiment continued until each mouse had been dosed for at least 21 days (day 34). Mann-Whitney U-test vs vehicle, p&lt;0.05 for 10 mg/kg (day 21, 25-27, 29-32, 34), 30 mg/kg (day 18-34).</w:t>
      </w:r>
    </w:p>
    <w:p>
      <w:pPr>
        <w:spacing w:after="0" w:line="83" w:lineRule="exact"/>
        <w:rPr>
          <w:sz w:val="20"/>
          <w:szCs w:val="20"/>
          <w:color w:val="auto"/>
        </w:rPr>
      </w:pPr>
    </w:p>
    <w:p>
      <w:pPr>
        <w:jc w:val="both"/>
        <w:ind w:left="1720" w:right="1739"/>
        <w:spacing w:after="0" w:line="278" w:lineRule="auto"/>
        <w:rPr>
          <w:sz w:val="20"/>
          <w:szCs w:val="20"/>
          <w:color w:val="auto"/>
        </w:rPr>
      </w:pPr>
      <w:r>
        <w:rPr>
          <w:rFonts w:ascii="Times New Roman" w:cs="Times New Roman" w:eastAsia="Times New Roman" w:hAnsi="Times New Roman"/>
          <w:sz w:val="12"/>
          <w:szCs w:val="12"/>
          <w:color w:val="auto"/>
        </w:rPr>
        <w:t>We assessed the ability of A-005 to transit across the blood brain barrier in rodents by comparing levels of A-005 present in the plasma with levels in the cerebrospinal fluid (CSF) and within the brain tissues at specified timepoints after oral administration. As shown in the figure below, near equivalent levels of A-005 were confirmed in the CSF and within the brain compared to measured free drug plasma levels adjusted for protein binding.</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High CNS Penetration Confirmed with Oral Dosing of A-005 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96520</wp:posOffset>
            </wp:positionV>
            <wp:extent cx="3507105" cy="13785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507105" cy="137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First in human study</w:t>
      </w:r>
    </w:p>
    <w:p>
      <w:pPr>
        <w:spacing w:after="0" w:line="111" w:lineRule="exact"/>
        <w:rPr>
          <w:sz w:val="20"/>
          <w:szCs w:val="20"/>
          <w:color w:val="auto"/>
        </w:r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color w:val="auto"/>
        </w:rPr>
        <w:t>In April 2024, we initiated a randomized, double-blind, placebo-controlled, multi-cohort investigation under a U.S. IND to assess the safety, PK, and PD of single ascending doses (SAD) and multiple ascending doses (MAD) of orally administered A-005 in healthy volunteers. As part of the study we intend to include an open-label, single-dose cohort to assess the penetration of orally administered A-005 into the human CSF and expect to report initial results by the end of 2024.</w:t>
      </w: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30" w:name="page131"/>
    <w:bookmarkEnd w:id="13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Enrollment in our MS Phase 2 pivotal trials is expected to commence in 2025, and top line results are expected in 2026.</w:t>
      </w:r>
    </w:p>
    <w:p>
      <w:pPr>
        <w:spacing w:after="0" w:line="10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Our Discovery Programs</w:t>
      </w:r>
    </w:p>
    <w:p>
      <w:pPr>
        <w:spacing w:after="0" w:line="111"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We are building a pipeline of molecules with the potential to address a broad range of immune-mediated diseases. We pursue drug targets that have been previously validated by strong human genetic evidence or human clinical data. Our drug discovery efforts for our selected targets take advantage of structure-guided approaches built from public or proprietary crystallographic structures to enable use of advanced computational methods. These approaches enable optimization of traditional protein modulators, protein degraders, and targeted covalent inhibitors as appropriate. In addition, we have chosen targets that could be complementary for use in combination with our existing TYK2 franchise and to each other.</w:t>
      </w:r>
    </w:p>
    <w:p>
      <w:pPr>
        <w:spacing w:after="0" w:line="80"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For example, interferon regulatory factor 5 (IRF5) is a transcription factor that mediates signaling of several cytokines including type I IFN, IL-6, IL-12, IL-23, and TNF. It is a genetically supported target across multiple immune indications with known functional roles in both innate and adaptive immunity. IRF5 has been implicated in macrophage polarization, cell growth regulation, and apoptosis. It acts on innate immune responses via recognition of upstream self-nucleic acid-containing immune complexes and pathogens by toll like receptors (TLR), specifically: TLR7, TLR8 and TLR9 in the endosome via MyD88. Translocation of IRF5 to the nucleus following phosphorylation by IKKβ is critical to the pathogenesis of many immune mediate diseases. Genome-wide association studies have identified several functional genetic variants in IRF5 that predispose patients to immune-mediated diseases including, but not limited to SLE, systemic sclerosis, and primary sclerosing cholangitis.</w:t>
      </w:r>
    </w:p>
    <w:p>
      <w:pPr>
        <w:spacing w:after="0" w:line="74"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We are actively engaged in lead generation activities to identify small molecules that can precisely bind and block IRF5 function. These efforts are aided by our proprietary crystal structure of our compounds bound to IRF5, which enables computational approaches to optimize binders for either IRF5 inhibition or degradation. We have developed several proprietary assays including a biochemical dimerization assay that has been used in conjunction with high-throughput screening to identify leads. In addition, we have applied an orthogonal method to identify small-molecule binders that may target allosteric pockets providing inhibition directly or as a component in a PROTAC. We will pursue multiple mechanisms of inhibition and use our extensive pharmacology expertise to guide the final selection of clinical candidates.</w:t>
      </w:r>
    </w:p>
    <w:p>
      <w:pPr>
        <w:spacing w:after="0" w:line="1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Foresite Labs Services Agreement</w:t>
      </w:r>
    </w:p>
    <w:p>
      <w:pPr>
        <w:spacing w:after="0" w:line="111"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Foresite Labs was an original shareholder in, and actively involved in our incubation. We and Foresite Labs have had an ongoing services agreement since our inception, with Foresite Labs originally providing incubation services, development assistance and oversight, and data analytics services; currently, Foresite Labs provides data analytics services related to our TYK2 franchise, our discovery programs and to our business development activities. The original Services Agreement between us and Foresite Labs was entered into in January 2021, was amended and restated in August 2021, was amended and restated for a second time in December 2023, and expires in December 2026, unless terminated earlier by the parties. Work under the Services Agreement is memorialized in a series of Statements of Work and we pay Foresite Labs for the estimated costs of its services in advance on a quarterly basis, with a true-up to actuals at the end of each quarter.</w:t>
      </w:r>
    </w:p>
    <w:p>
      <w:pPr>
        <w:spacing w:after="0" w:line="27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Intellectual Property</w:t>
      </w:r>
    </w:p>
    <w:p>
      <w:pPr>
        <w:spacing w:after="0" w:line="111"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We strive to protect and enhance the proprietary technology, inventions and improvements that are commercially important to our business, including by seeking, maintaining, enforcing and defending patent rights. Our policy is to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and may in the future rely on in-licensing opportunities, to develop, strengthen and maintain our proprietary position in our field. Our commercial success will depend in part on our ability to obtain and maintain patent and other proprietary protection for our technology, inventions and</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1" w:name="page132"/>
    <w:bookmarkEnd w:id="131"/>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improvements; to preserve the confidentiality of our trade secrets; to obtain and maintain any future licenses to use intellectual property owned by third parties; and to defend and enforce our proprietary rights, including our patent rights.</w:t>
      </w:r>
    </w:p>
    <w:p>
      <w:pPr>
        <w:spacing w:after="0" w:line="67"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As of March 31, 2024, our solely owned patent portfolio included two issued U.S. patents, three pending U.S. provisional patent applications, five pending non-provisional U.S. patent applications, over 40 pending foreign patent applications, and eight pending Patent Cooperation Treaty (PCT) patent applications.</w:t>
      </w:r>
    </w:p>
    <w:p>
      <w:pPr>
        <w:spacing w:after="0" w:line="1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ESK-001 and A-005</w:t>
      </w:r>
    </w:p>
    <w:p>
      <w:pPr>
        <w:spacing w:after="0" w:line="111"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In regard to ESK-001 and A-005, we own one patent family that includes two issued U.S. patents, three pending U.S. patent applications and over 20 foreign patent applications pending in various jurisdictions, such as Europe, Brazil, Canada, China, Australia, Japan, India, Israel, Singapore and Vietnam. Not accounting for any patent term adjustment or extensions or terminal disclaimers, and assuming that all applicable annuity and/or maintenance fees are paid timely, the issued patents, and, if granted, the pending patent applications in this family, are expected to expire in 2039. The U.S. patent and pending patent applications disclose and/or contain composition-of-matter and method of treatment claims relating to ESK-</w:t>
      </w:r>
    </w:p>
    <w:p>
      <w:pPr>
        <w:spacing w:after="0" w:line="4" w:lineRule="exact"/>
        <w:rPr>
          <w:sz w:val="20"/>
          <w:szCs w:val="20"/>
          <w:color w:val="auto"/>
        </w:rPr>
      </w:pPr>
    </w:p>
    <w:p>
      <w:pPr>
        <w:ind w:left="1720" w:right="1739"/>
        <w:spacing w:after="0" w:line="250" w:lineRule="auto"/>
        <w:tabs>
          <w:tab w:leader="none" w:pos="1952"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A-005, and disclose and/or contain claims relating to the production of ESK-001 and A-005. One pending U.S. patent application is directed to the composition of matter claims to A-005.</w:t>
      </w:r>
    </w:p>
    <w:p>
      <w:pPr>
        <w:spacing w:after="0" w:line="74"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We also own three patent families which include three pending PCT applications that disclose and/or contain claims directed to crystalline and salt forms of ESK-001. Not accounting for any patent term adjustment or extension and assuming that all applicable annuity and/or maintenance fees are paid timely, any patent applications claiming the benefit of these PCT applications, if issued, will be expected to expire in 2043.</w:t>
      </w:r>
    </w:p>
    <w:p>
      <w:pPr>
        <w:spacing w:after="0" w:line="217"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We own another patent family that includes one pending PCT application that discloses and/or contains claims directed to methods of treating a TYK2-mediated disease using ESK- 001. Not accounting for any patent term adjustment or extension and assuming that all applicable annuity and/or maintenance fees are paid timely, any patent applications claiming the benefit of this PCT application, if issued, will be expected to expire in 2043.</w:t>
      </w:r>
    </w:p>
    <w:p>
      <w:pPr>
        <w:spacing w:after="0" w:line="217"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We own two pending PCT applications and one pending U.S. provisional patent application that disclose and/or contain claims directed to methods of treating various diseases with ESK-001, such as hidradenitis suppurativa and autoimmune skin disease. Not accounting for any patent term adjustment or extension and assuming that all annuity and/or maintenance fees are paid timely, any patent applications claiming the benefit of the PCT applications, or patent applications claiming priority to the PCT applications or the provisional patent application, if issued, will be expected to expire in 2044.</w:t>
      </w:r>
    </w:p>
    <w:p>
      <w:pPr>
        <w:spacing w:after="0" w:line="75"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We continue to assess the extent to which we may seek additional patent protection for aspects of our product engine. The term of individual patents depends upon the date of filing of the patent application, date of patent issuance and the legal term of the patents in the countries in which they are obtained. In most countries in which we file, the patent term is 20 years from the earliest date of filing of the first non-provisional application to which priority is claimed. Outside of the United States, the duration of patents varies in accordance with applicable local law, but typically is also 20 years from the earliest non-provisional filing date. In the United States, patent term may be lengthened by patent term adjustment, which compensates a patentee for administrative delays by the United States Patent and Trademark Office (USPTO) in examining and granting a patent, or may be shortened if a patent is terminally disclaimed over an earlier-filed patent. Moreover, in context of approved products, there may be other additional exclusivity for the patents covering such approved product. In the United States, the term of a patent that covers an FDA-approved drug may also be eligible for a patent term extension of up to five years under the Hatch-Waxman Act, which is designed to compensate for the patent term lost during the FDA regulatory review process. The length of the patent term extension is calculated based on the length of time it takes for regulatory review. A patent term extension under the Hatch-Waxman Act cannot extend the remaining term of a patent beyond a total of 14 years from the date of product approval, only one patent applicable to an approved drug may be restored and only those claims covering the approved drug, a method for using it, or a method for manufacturing it may be extended. Moreover, a patent can only be restored once, and thus, if a single patent is applicable to multiple products, it can only be extended based on one product. Similar provisions are available in Europe and certain other foreign jurisdictions to extend the term of a patent that covers an approved drug.</w:t>
      </w: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32" w:name="page133"/>
    <w:bookmarkEnd w:id="13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5" w:lineRule="auto"/>
        <w:rPr>
          <w:sz w:val="20"/>
          <w:szCs w:val="20"/>
          <w:color w:val="auto"/>
        </w:rPr>
      </w:pPr>
      <w:r>
        <w:rPr>
          <w:rFonts w:ascii="Times New Roman" w:cs="Times New Roman" w:eastAsia="Times New Roman" w:hAnsi="Times New Roman"/>
          <w:sz w:val="12"/>
          <w:szCs w:val="12"/>
          <w:color w:val="auto"/>
        </w:rPr>
        <w:t>We intend to pursue, in the normal course of business and when possible, composition, method of use, process, dosing and formulation patent protection for the product candidates we develop and commercialize. We may also pursue patent protection with respect to manufacturing and immunotherapy development processes and technology. When available to expand market exclusivity, we intend to strategically obtain or license additional intellectual property related to current or contemplated product candidates.</w:t>
      </w:r>
    </w:p>
    <w:p>
      <w:pPr>
        <w:spacing w:after="0" w:line="73"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In some instances, we submit patent applications directly to the USPTO as provisional patent applications. Corresponding non-provisional patent applications must be filed within 12 months after the provisional application filing date. The corresponding non-provisional application may be entitled to the benefit of the earlier provisional application filing date(s), and the patent term of the finally issued patent is calculated from the later non-provisional application filing date. Provisional applications for patents were designed to provide a lower-cost first patent filing in the United States. This system allows us to obtain an early priority date, add material to the patent application(s) during the priority period, obtain a later start to the patent term and to delay prosecution costs.</w:t>
      </w:r>
    </w:p>
    <w:p>
      <w:pPr>
        <w:spacing w:after="0" w:line="220"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The PCT system allows a single application to be filed within 12 months of the original priority date of the patent application, and to designate all of the PCT member states in which national or regional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or regional applications prior to having to incur the filing fees and prosecution costs. Although a PCT application does not issue as a patent, it allows the applicant to seek protection in any of the member states through national/regional-phase applications. At the end of the period of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Organisation. The PCT system delays expenses, allows a limited evaluation of the chances of success for national/regional patent applications and enables substantial savings where applications are abandoned within the first two and a half years of filing. We intend to file U.S. nonprovisional applications and PCT applications that claim the benefit of the priority date of earlier filed provisional applications, when applicable.</w:t>
      </w:r>
    </w:p>
    <w:p>
      <w:pPr>
        <w:spacing w:after="0" w:line="80"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For all patent applications, we determine claiming strategy on a case-by-case basis. Advice of counsel, country-specific patent laws and our business model and needs are always considered. We may file patents containing claims for protection of all useful applications of our proprietary product candidates, as well as all new applications and/or uses we discover for existing product candidates, assuming these are strategically valuable. We continuously reassess the number and type of patent applications in our portfolio, as well as the pending and issued patent claims, to help ensure that maximum coverage and value are obtained for our processes, and compositions, given existing patent office rules and regulations. Further, claims may be modified during patent prosecution, to the extent allowed, to meet our intellectual property and business needs.</w:t>
      </w:r>
    </w:p>
    <w:p>
      <w:pPr>
        <w:spacing w:after="0" w:line="219"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There can be no assurance that we will be able to obtain, maintain, enforce and defend all patents and other intellectual property rights necessary to conduct our business. The patents that issue from our patent applications or any that we may in-license in the future, if any, may be challenged by third parties, may not effectively prevent third parties from commercializing competitive technologies or may not otherwise provide us with a competitive advantage.</w:t>
      </w:r>
    </w:p>
    <w:p>
      <w:pPr>
        <w:spacing w:after="0" w:line="75"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We may also rely on trade secrets relating to our product candidates and technology, and seek to protect and maintain the confidentiality of proprietary information to protect aspects of our business that are not amenable to, or that we do not consider appropriate for, patent protection. However, trade secrets are difficult to protect and may provide us with only limited protection. It is our policy and practice to require our employees, consultants, outside scientific collaborators, sponsored researchers and other advisors to execute confidentiality agreements upon the commencement of employment or consulting relationships with us, and for employees and consultants to enter into invention assignment agreements with us. These agreements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us, and as such, will become our property. There can be no assurance, however, that these agreements will provide meaningful protection or adequate remedies for our trade secrets in the event of unauthorized use or disclosure of such information.</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33" w:name="page134"/>
    <w:bookmarkEnd w:id="133"/>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ind w:left="1720" w:right="1759"/>
        <w:spacing w:after="0" w:line="291" w:lineRule="auto"/>
        <w:rPr>
          <w:sz w:val="20"/>
          <w:szCs w:val="20"/>
          <w:color w:val="auto"/>
        </w:rPr>
      </w:pPr>
      <w:r>
        <w:rPr>
          <w:rFonts w:ascii="Times New Roman" w:cs="Times New Roman" w:eastAsia="Times New Roman" w:hAnsi="Times New Roman"/>
          <w:sz w:val="12"/>
          <w:szCs w:val="12"/>
          <w:color w:val="auto"/>
        </w:rPr>
        <w:t>For more information regarding the risks related to our intellectual property, see section titled “Risk Factors — Risks Related to Intellectual Property.”</w:t>
      </w:r>
    </w:p>
    <w:p>
      <w:pPr>
        <w:spacing w:after="0" w:line="9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Sales and Marketing</w:t>
      </w:r>
    </w:p>
    <w:p>
      <w:pPr>
        <w:spacing w:after="0" w:line="111"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Given our stage of development, we have not yet established a full commercial organization or distribution capabilities. We have stage -appropriate commercial capabilities we intend to build a commercial infrastructure to support sales of any approved products and intend to continue evaluating opportunities to work with partners that enhance our capabilities with respect to the development and commercialization of ESK-001 and A -005, if approved. In addition, we intend to commercialize our product candidates, if approved, in key markets in the United States, the European Union, and APAC, either alone or with partners in order to maximize the worldwide commercial potential of our programs.</w:t>
      </w:r>
    </w:p>
    <w:p>
      <w:pPr>
        <w:spacing w:after="0" w:line="1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Manufacturing</w:t>
      </w:r>
    </w:p>
    <w:p>
      <w:pPr>
        <w:spacing w:after="0" w:line="111" w:lineRule="exact"/>
        <w:rPr>
          <w:sz w:val="20"/>
          <w:szCs w:val="20"/>
          <w:color w:val="auto"/>
        </w:rPr>
      </w:pPr>
    </w:p>
    <w:p>
      <w:pPr>
        <w:jc w:val="both"/>
        <w:ind w:left="1720" w:right="1739"/>
        <w:spacing w:after="0" w:line="245" w:lineRule="auto"/>
        <w:rPr>
          <w:sz w:val="20"/>
          <w:szCs w:val="20"/>
          <w:color w:val="auto"/>
        </w:rPr>
      </w:pPr>
      <w:r>
        <w:rPr>
          <w:rFonts w:ascii="Times New Roman" w:cs="Times New Roman" w:eastAsia="Times New Roman" w:hAnsi="Times New Roman"/>
          <w:sz w:val="12"/>
          <w:szCs w:val="12"/>
          <w:color w:val="auto"/>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To date, we have obtained active pharmaceutical ingredients (API) for ESK-001 and A-005 for our preclinical and clinical testing from different third-party API manufacturers and bulk drug product from other third-party manufacturers. We obtain our preclinical and clinical supplies from these manufacturers on a purchase order basis and currently do not have long-term supply arrangements in place. Our principal suppliers of raw materials are Aragen Life Sciences Private Limited (formerly known as GVK Biosciences Private Limited) (located in India) and SCI Pharmtech, Inc. (located in Taiwan). We are in the process of implementing a redundant supply chain for ESK-001 API, drug product and critical raw material. For all our product candidates, we intend to identify and qualify redundant manufacturers, including entering into long-term agreements, to provide the API and drug product and prior to submission of the NDA to the FDA and/or a marketing authorization application to the European Medicines Agency (EMA) and/or other health authorities. ESK-001 and A-005 are compounds of low molecular weight, generally called small molecules. ESK-001 can be manufactured in reliable and reproducible processes from readily available starting materials. A-005 has been produced in small quantities to support our preclinical studies and is currently being manufactured at larger quantities for clinical testing. The chemistries for ESK-001 and A-005 are amenable to scale-up and do not require unusual equipment in the manufacturing process. Additional contract manufacturers are used to package, label, and distribute investigational drug products. This strategy allows us to maintain a more efficient infrastructure, avoid depending on our own manufacturing facility and equipment while simultaneously enabling us to focus our expertise on developing our products. We expect to continue to develop product candidates that can be produced cost-effectively at contract manufacturing facilities.</w:t>
      </w:r>
    </w:p>
    <w:p>
      <w:pPr>
        <w:spacing w:after="0" w:line="200" w:lineRule="exact"/>
        <w:rPr>
          <w:sz w:val="20"/>
          <w:szCs w:val="20"/>
          <w:color w:val="auto"/>
        </w:rPr>
      </w:pPr>
    </w:p>
    <w:p>
      <w:pPr>
        <w:spacing w:after="0" w:line="2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111"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The biopharmaceutical industry is characterized by intense competition and rapid innovation. Our potential competitors include large pharmaceutical and biotechnology companies, specialty pharmaceutical companies and generic drug companies. Many of our potential competitors have greater financial and technical human resources than we do, as well as equal or greater experience in the discovery and development of product candidates, obtaining FDA and other regulatory approvals of products and the commercialization of those products. Accordingly, our potential competitors may be more successful than us in achieving regulatory approvals and commercializing their drugs. We anticipate that we will face intense and increasing competition from existing, approved drugs, as well as new drugs entering the market and emerging technologies that become available. Finally, the development of new treatment methods for the diseases we are targeting could render our product candidates non-competitive or obsolete.</w:t>
      </w:r>
    </w:p>
    <w:p>
      <w:pPr>
        <w:spacing w:after="0" w:line="76"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We believe the key competitive factors that will affect the development and commercial success of our product candidates, if approved, will be efficacy, safety, tolerability profile, convenience of dosing, price and coverage by governmental and third-party payors.</w:t>
      </w:r>
    </w:p>
    <w:p>
      <w:pPr>
        <w:spacing w:after="0" w:line="70"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We are currently developing ESK-001 for the treatment of PsO and SLE, with multiple other potential indications to follow. Other emerging and established life sciences companies have been focused on similar therapeutics. If approved, ESK-001 would compete with several currently approved or late-stage oral clinical</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4" w:name="page135"/>
    <w:bookmarkEnd w:id="13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therapeutics, including Otezla (marketed by Amgen Inc.), Sotyktu (marketed by Bristol Myers Squibb Company (BMS)), TAK-279 (in development by Takeda Pharmaceutical Company), VTX-958 (in development by Ventyx Biosciences, Inc.), JNJ-2113 (in development by Johnson &amp; Johnson), DC-806 (in development by Eli Lilly and Company), as well as new early-stage therapeutic companies that may develop competing molecules. Additional TYK2 agents are under development by BMS, Galapagos NV, Innocare, and Priovant Therapeutics, Inc.</w:t>
      </w:r>
    </w:p>
    <w:p>
      <w:pPr>
        <w:spacing w:after="0" w:line="224"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Our second TYK2 product candidate, A-005, is a highly differentiated CNS-penetrant allosteric TYK2 inhibitor that has a potential application in multiple sclerosis (MS) and other neuroinflammatory diseases. In MS, there are a large number of therapies available for the treatment of relapsing forms of MS, including interferon beta regulators, monoclonal antibodies, synthetic immunomodulatory drugs, S1P receptor modulators. Ocrevus, a CD20 antibody marketed by Genentech, Inc., is the only current therapy approved for PPMS for slowing disease progression. We are aware that Biohaven is developing a CNS-penetrant TYK2/JAK1 inhibitor BHV-8000, for which they expect to initiate Phase 2 clinical trials in 2H 2024 in MS as well as Alzheimer’s Disease and Parkinson’s Disease. BMS has reported that they have a CNS-penetrant TYK2 inhibitor (BMS-986465) positioned for neuroinflammation diseases that will initiate first in human clinical studies soon. Sudo has reported a CNS TYK2 inhibitor (SUDO-550) that is in advanced preclinical studies and Neuron 23 also has disclosed that they have a TYK2 inhibitor program targeting neuroinflammation and MS.</w:t>
      </w:r>
    </w:p>
    <w:p>
      <w:pPr>
        <w:spacing w:after="0" w:line="27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Coverage and Reimbursement</w:t>
      </w:r>
    </w:p>
    <w:p>
      <w:pPr>
        <w:spacing w:after="0" w:line="111"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Successful sales of approved drug products in the U.S. market will depend, in part, on the extent to which such drugs will be covered by third-party payors, such as government health programs or private health insurance (including managed care plans). Patients who are provided with prescriptions as part of their medical treatment generally rely on such third-party payors to reimburse all or part of the costs associated with their prescriptions and therefore adequate coverage and reimbursement from such third-party payors are critical to new and ongoing product acceptance. 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of determining coverage and reimbursement is often time consuming and costly. Further, third-party payors are increasingly reducing reimbursements for medical drugs and services and implementing measures to control utilization of drugs (such as requiring prior authorization for coverage).</w:t>
      </w:r>
    </w:p>
    <w:p>
      <w:pPr>
        <w:spacing w:after="0" w:line="218"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Additionally, the containment of healthcare costs has become a priority of federal, state and foreign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or expansion of price controls and cost-containment measures could further limit manufacturers’ net revenue and results. Decreases in third-party reimbursement for a manufacturer’s drug products or a decision by a third-party payor to not cover its drug products could have a material adverse effect on the manufacturer’s sales, results of operations and financial condition.</w:t>
      </w:r>
    </w:p>
    <w:p>
      <w:pPr>
        <w:spacing w:after="0" w:line="77"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color w:val="auto"/>
        </w:rPr>
        <w:t>General legislative cost control measures may also affect reimbursement for drug products. Manufacturers that obtain approval to market a drug candidate in the United States may be subject to spending reductions affecting Medicare, Medicaid or other publicly funded or subsidized health programs and/or any significant taxes or fees.</w:t>
      </w:r>
    </w:p>
    <w:p>
      <w:pPr>
        <w:spacing w:after="0" w:line="26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Government Regulation</w:t>
      </w:r>
    </w:p>
    <w:p>
      <w:pPr>
        <w:spacing w:after="0" w:line="111"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35" w:name="page136"/>
    <w:bookmarkEnd w:id="135"/>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U.S. Drug Development Process</w:t>
      </w:r>
    </w:p>
    <w:p>
      <w:pPr>
        <w:spacing w:after="0" w:line="111"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In the United States, pharmaceutical products are subject to extensive regulation by the U.S. Food and Drug Administration (FDA) under the Federal Food, Drug, and Cosmetic Act (FDCA) and its implementing regulations. The process required by the FDA before a drug may be marketed in the United States generally involves the following:</w:t>
      </w:r>
    </w:p>
    <w:p>
      <w:pPr>
        <w:spacing w:after="0" w:line="43" w:lineRule="exact"/>
        <w:rPr>
          <w:sz w:val="20"/>
          <w:szCs w:val="20"/>
          <w:color w:val="auto"/>
        </w:rPr>
      </w:pPr>
    </w:p>
    <w:p>
      <w:pPr>
        <w:ind w:left="2080" w:right="1739" w:hanging="116"/>
        <w:spacing w:after="0" w:line="291" w:lineRule="auto"/>
        <w:tabs>
          <w:tab w:leader="none" w:pos="208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completion of nonclinical laboratory tests, animal studies and formulation studies in accordance with Good Laboratory Practice regulations (GLPs) and other applicable regulations;</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submission to the FDA of an Investigational New Drug application (IND), which must become effective before human clinical trials may begin;</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approval by an independent institutional review board (IRB) or ethics committee at each clinical site before each trial may be initiated;</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performance of adequate and well-controlled human clinical trials in accordance with Good Clinical Practice regulations (GCPs) to evaluate the safety and efficacy of the drug for its intended use;</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submission to the FDA of a New Drug Application (NDA);</w:t>
      </w:r>
    </w:p>
    <w:p>
      <w:pPr>
        <w:spacing w:after="0" w:line="72" w:lineRule="exact"/>
        <w:rPr>
          <w:rFonts w:ascii="Times New Roman" w:cs="Times New Roman" w:eastAsia="Times New Roman" w:hAnsi="Times New Roman"/>
          <w:sz w:val="12"/>
          <w:szCs w:val="12"/>
          <w:color w:val="auto"/>
        </w:rPr>
      </w:pPr>
    </w:p>
    <w:p>
      <w:pPr>
        <w:jc w:val="both"/>
        <w:ind w:left="2080" w:right="1739" w:hanging="116"/>
        <w:spacing w:after="0" w:line="265" w:lineRule="auto"/>
        <w:tabs>
          <w:tab w:leader="none" w:pos="208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satisfactory completion of an FDA inspection of the manufacturing facility or facilities at which the drug is produced to assess compliance with current Good Manufacturing Practice requirements (cGMPs) to assure that the facilities, methods and controls are adequate to preserve the drug’s identity, strength, quality and purity, and of inspection of selected clinical investigation sites to assess compliance with GCPs; and</w:t>
      </w:r>
    </w:p>
    <w:p>
      <w:pPr>
        <w:spacing w:after="0" w:line="196"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FDA review and approval of the NDA to permit commercial marketing of the product for particular indications for use in the United States.</w:t>
      </w:r>
    </w:p>
    <w:p>
      <w:pPr>
        <w:spacing w:after="0" w:line="59"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Nonclinical tests include laboratory evaluation of product chemistry, formulation and toxicity, as well as animal trials to assess the characteristics and potential safety and efficacy of the product. The conduct of the nonclinical tests must comply with federal regulations and requirements, including GLPs, where applicable. The results of nonclinical testing are submitted to the FDA as part of an IND along with other information, including information about product chemistry, manufacturing and controls (CMC), and a proposed clinical trial protocol. Long-term preclinical tests, such as animal tests of reproductive toxicity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w:t>
      </w:r>
    </w:p>
    <w:p>
      <w:pPr>
        <w:spacing w:after="0" w:line="76"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Clinical trials involve the administration of the investigational drug to healthy volunteers or patients under the supervision of a qualified investigator. Clinical trials must be conducted: (i) in compliance with federal regulations; (ii) in compliance with GCPs, which are standards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75"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IRB for approval before a clinical trial commences at the relevant institution. An IRB may also require the clinical trial at the site to be halted, either temporarily or permanently, for failure to comply with the IRB’s requirements, or may impose other conditions on the conduct of the study.</w:t>
      </w:r>
    </w:p>
    <w:p>
      <w:pPr>
        <w:spacing w:after="0" w:line="75"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Human clinical trials are typically conducted in three sequential phases, but the phases may overlap. In Phase 1, the initial introduction of the drug into healthy subjects or patients, the drug is tested to assess safety, dosage tolerance, metabolism, pharmacokinetics, pharmacological actions, side effects associated with drug exposure and, if possible, to gain early evidence on effectiveness. Phase 2 usually involves trials in a limited patient</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6" w:name="page137"/>
    <w:bookmarkEnd w:id="13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population with the specified disease or conditions to evaluate the effectiveness of the drug for a particular indication, to determine optimal dose and regimen, and to identify common AEs and safety risks. If preliminary evidence of effectiveness and an acceptable safety profile is obtained in Phase 2 evaluations, Phase 3 trails are conducted. Phase 3 trials are undertaken to obtain additional information about clinical efficacy and safety in an expanded patient population, typically at geographically dispersed clinical trial sites, to permit the FDA to evaluate the overall benefit-risk relationship of the drug and to provide adequate information for the labeling of the drug.</w:t>
      </w:r>
    </w:p>
    <w:p>
      <w:pPr>
        <w:spacing w:after="0" w:line="218"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In most cases, the FDA requires two adequate and well-controlled Phase 3 clinical trials to demonstrate the safety and efficacy of a novel drug product. A single Phase 3 trial may be sufficient in rare instances, including (1)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when the single trial is supported by confirmatory evidence.</w:t>
      </w:r>
    </w:p>
    <w:p>
      <w:pPr>
        <w:spacing w:after="0" w:line="218"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71"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The manufacturing process must be capable of consistently producing quality batches of the drug and, among other things, the manufacturer must develop methods for testing the identity, strength, quality and purity of the final drug. In addition, appropriate packaging must be selected and tested, and stability studies must be conducted to demonstrate that the drug does not undergo unacceptable deterioration over its shelf life.</w:t>
      </w:r>
    </w:p>
    <w:p>
      <w:pPr>
        <w:spacing w:after="0" w:line="1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U.S. Review and Approval Process</w:t>
      </w:r>
    </w:p>
    <w:p>
      <w:pPr>
        <w:spacing w:after="0" w:line="111"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After completion of the required clinical testing, the sponsor prepares and submits an NDA to the FDA. FDA approval of the NDA is required before marketing and distribution of the product may begin in the United States. The NDA must include, among other information, the results of all nonclinical, clinical, and other testing along with descriptions of the manufacturing process, analytical tests conducted on the chemistry of the drug, and proposed labeling. The cost of preparing and submitting an NDA is substantial. The submission of most NDAs is additionally subject to a substantial application user fee. Under an approved NDA, the applicant is also subject to an annual program fee. These fees are typically increased annually.</w:t>
      </w:r>
    </w:p>
    <w:p>
      <w:pPr>
        <w:spacing w:after="0" w:line="220"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The FDA has 60 days from its receipt of an NDA to determine whether the application will be accepted for filing based on the FDA’s threshold determination that it is sufficiently complete to permit substantive review. Once the submission is filed, the FDA begins an in-depth review. Under the Prescription Drug User Fee Act, as amended (PDUFA), the FDA has agreed to certain performance goals in its review of NDAs. For new molecular entity (NME) NDAs that are granted Standard Review, the FDA’s goal is to review and act on the NDA within ten months of the date the FDA files the application. For NME NDAs granted a Priority Review, the FDA’s goal is to review the NDA within six months of the date the FDA files the application. The FDA may extend its PDUFA goal date for reviewing both standard and priority-review NDAs for three additional months to allow the FDA to consider certain late-submitted information or information intended to clarify information already provided in the NDA submission.</w:t>
      </w:r>
    </w:p>
    <w:p>
      <w:pPr>
        <w:spacing w:after="0" w:line="83"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The FDA may also refer applications for novel drugs, as well as drugs that present difficult questions of safety or efficacy, to an advisory committee—typically a panel that includes clinicians and other experts— for review, evaluation and a recommendation as to whether the NDA should be approved. The FDA is not bound by the recommendation of an advisory committee, but it generally follows such recommendations.</w:t>
      </w:r>
    </w:p>
    <w:p>
      <w:pPr>
        <w:spacing w:after="0" w:line="75"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Before approving an NDA, the FDA will typically inspect one or more clinical sites to assure compliance with GCP. Additionally, the FDA will generally inspect the facility or the facilities at which the drug is manufactured. The FDA will not approve a drug unless the facility at which the drug is manufactured has a satisfactory cGMP compliance status.</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7" w:name="page138"/>
    <w:bookmarkEnd w:id="13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After the FDA evaluates the NDA and completes any clinical and manufacturing site inspections, it issues either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generally outlines the deficiencies in the NDA and may require substantial additional testing or information that must be provided in order for the FDA to reconsider the NDA for approval. If, or when, those deficiencies have been addressed to the FDA’s satisfaction in a resubmission of the NDA, the FDA will issue an approval letter. The FDA has committed to reviewing such NDA resubmissions in two or six months from the date of receipt, depending on the type of information included.</w:t>
      </w:r>
    </w:p>
    <w:p>
      <w:pPr>
        <w:spacing w:after="0" w:line="79"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As a condition of NDA approval, the FDA may require a risk evaluation and mitigation strategy (REMS) to help ensure that the benefits of the drug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the FDA may require substantial post-approval testing and surveillance to monitor the drug’s safety or efficacy.</w:t>
      </w:r>
    </w:p>
    <w:p>
      <w:pPr>
        <w:spacing w:after="0" w:line="1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FDA Expedited Development and Review Programs</w:t>
      </w:r>
    </w:p>
    <w:p>
      <w:pPr>
        <w:spacing w:after="0" w:line="111"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The FDA has a number of programs intended to expedite the development or review of a marketing application for an investigational drug product. For example, the Fast Track designation program is intended to expedite or facilitate the process for developing and reviewing drug products that meet certain criteria. Specifically, investigational drugs are eligible for Fast Track designation if they are intended to treat a serious or life-threatening disease or condition and demonstrate the potential to address unmet medical needs for the disease or condition. The sponsor of a Fast Track drug candidate has opportunities for more frequent interactions with the applicable FDA review team during product development and, once an NDA is submitted, the application may be eligible for priority review. With regard to a Fast Track drug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70"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A drug intended to treat a serious or life-threatening disease or condition may also be eligible for Breakthrough Therapy designation to expedite its development and review. An investigational drug can receive Breakthrough Therapy designation if preliminary clinical evidence indicates that the drug,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drug, including involvement of senior managers.</w:t>
      </w:r>
    </w:p>
    <w:p>
      <w:pPr>
        <w:spacing w:after="0" w:line="228"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Any drug product submitted to the FDA for approval, including a drug with a Fast Track designation or Breakthrough Therapy Designation, may also be eligible for other types of FDA programs intended to expedite development and review, such as Priority Review. An NDA is eligible for Priority Review if the applicable drug is designed to treat a serious condition, and if approved, would provide a significant improvement in safety or efficacy compared to available therapies. The FDA will attempt to direct additional resources to the evaluation of an NDA for a drug designated for priority review in an effort to facilitate the review. The FDA endeavors to review NDAs for NMEs with Priority Review designations within six months of the filing date as compared to ten months for Standard Review NDAs under its current PDUFA review goals.</w:t>
      </w:r>
    </w:p>
    <w:p>
      <w:pPr>
        <w:spacing w:after="0" w:line="228"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Fast Track designation, Breakthrough Therapy designation, and Priority Review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38" w:name="page139"/>
    <w:bookmarkEnd w:id="13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Disclosure of Clinical Trial Information</w:t>
      </w:r>
    </w:p>
    <w:p>
      <w:pPr>
        <w:spacing w:after="0" w:line="185"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Sponsors of clinical trials of FDA-regulated products, including investigational drugs, are required to register and disclose certain clinical trial information on ClinicalTrials.gov. Information related to the product, patient population, phase of investigation, study sites and investigators, and other aspects of the clinical trial is then made public as part of the registration. Sponsors are also obligated to disclose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9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Pediatric Information</w:t>
      </w:r>
    </w:p>
    <w:p>
      <w:pPr>
        <w:spacing w:after="0" w:line="185"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Under the Pediatric Research Equity Act, NDAs or supplements to NDAs must contain data to assess the safety and effectiveness of the drug for the claimed indications in all relevant pediatric subpopulations and to support dosing and administration for each pediatric subpopulation for which the drug is determined by the FDA to be safe and effective. The FDA may grant full or partial waivers or deferrals for submission of data.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submit a request for approval of a pediatric formulation.</w:t>
      </w:r>
    </w:p>
    <w:p>
      <w:pPr>
        <w:spacing w:after="0" w:line="219"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The Best Pharmaceuticals for Children Act (BPCA) provides NDA holders a six-month extension of any exclusivity—patent or nonpatent—for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Applications or supplements to an approved application that propose a labeling change as a result of pediatric studies conducted pursuant to the BPCA are treated as priority applications or supplements, with all of the benefits that designation confers.</w:t>
      </w:r>
    </w:p>
    <w:p>
      <w:pPr>
        <w:spacing w:after="0" w:line="19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Post-Approval Requirements</w:t>
      </w:r>
    </w:p>
    <w:p>
      <w:pPr>
        <w:spacing w:after="0" w:line="185"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many changes to the approved product, such as adding new indications, certain manufacturing changes and additional labeling claims, are subject to further FDA review and approval.</w:t>
      </w:r>
    </w:p>
    <w:p>
      <w:pPr>
        <w:spacing w:after="0" w:line="224" w:lineRule="exact"/>
        <w:rPr>
          <w:sz w:val="20"/>
          <w:szCs w:val="20"/>
          <w:color w:val="auto"/>
        </w:rPr>
      </w:pPr>
    </w:p>
    <w:p>
      <w:pPr>
        <w:jc w:val="both"/>
        <w:ind w:left="1720" w:right="1739"/>
        <w:spacing w:after="0" w:line="261" w:lineRule="auto"/>
        <w:rPr>
          <w:sz w:val="20"/>
          <w:szCs w:val="20"/>
          <w:color w:val="auto"/>
        </w:rPr>
      </w:pPr>
      <w:r>
        <w:rPr>
          <w:rFonts w:ascii="Times New Roman" w:cs="Times New Roman" w:eastAsia="Times New Roman" w:hAnsi="Times New Roman"/>
          <w:sz w:val="12"/>
          <w:szCs w:val="12"/>
          <w:color w:val="auto"/>
        </w:rPr>
        <w:t>Drug manufacturers and certain of their subcontractors are required to register their establishments with the FDA and certain state agencies. Registration with the FDA subjects entities to periodic unannounced inspections by the FDA, during which the FDA inspects manufacturing facilities to assess compliance with cGMP. Changes to the manufacturing process are strictly regulated, and, depending on the significance of the change, may require prior FDA approval before being implemented. Accordingly, manufacturers must continue to expend time, money and effort in the areas of production and quality-control to maintain compliance with cGMP.</w:t>
      </w:r>
    </w:p>
    <w:p>
      <w:pPr>
        <w:spacing w:after="0" w:line="217"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The FDA may withdraw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39" w:name="page140"/>
    <w:bookmarkEnd w:id="13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ind w:left="2080" w:right="1739" w:hanging="116"/>
        <w:spacing w:after="0" w:line="291" w:lineRule="auto"/>
        <w:tabs>
          <w:tab w:leader="none" w:pos="208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the marketing or manufacturing of the product, complete withdrawal of the product from the market or product recalls;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warning or untitled letters;</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clinical holds on clinical studies;</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refusal of the FDA to approve pending applications or supplements to approved applications, or suspension or revocation of product approvals;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 seizure or detention, or refusal to permit the import or export of products;</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65" w:lineRule="auto"/>
        <w:tabs>
          <w:tab w:leader="none" w:pos="208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consent decrees, corporate integrity agreements, debarment or exclusion from federal healthcare programs;</w:t>
      </w:r>
    </w:p>
    <w:p>
      <w:pPr>
        <w:spacing w:after="0" w:line="204" w:lineRule="exact"/>
        <w:rPr>
          <w:rFonts w:ascii="Times New Roman" w:cs="Times New Roman" w:eastAsia="Times New Roman" w:hAnsi="Times New Roman"/>
          <w:sz w:val="12"/>
          <w:szCs w:val="12"/>
          <w:color w:val="auto"/>
        </w:rPr>
      </w:pPr>
    </w:p>
    <w:p>
      <w:pPr>
        <w:ind w:left="2080" w:right="1739" w:hanging="116"/>
        <w:spacing w:after="0" w:line="265" w:lineRule="auto"/>
        <w:tabs>
          <w:tab w:leader="none" w:pos="208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mandated modification of promotional materials and labeling and the issuance of corrective information;</w:t>
      </w:r>
    </w:p>
    <w:p>
      <w:pPr>
        <w:spacing w:after="0" w:line="21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issuance of safety alerts, Dear Healthcare Provider letters, press releases and other communications containing warnings or other safety information about the product; or</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injunctions, fines or the imposition of civil or criminal penalties.</w:t>
      </w:r>
    </w:p>
    <w:p>
      <w:pPr>
        <w:spacing w:after="0" w:line="109"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The FDA strictly regulates marketing, labeling, advertising and promotion of drugs that are placed on the market. Advertising and promotion of drugs must be in compliance with the FDCA and its implementing regulations and only for the approved indications and in a manner consistent with the approved labeling. The FDA and other agencies actively enforce the laws and regulations prohibiting the promotion of off-label uses, and a company that is found to have improperly promoted off-label uses may be subject to significant liability, including investigation by federal and state authorities.</w:t>
      </w:r>
    </w:p>
    <w:p>
      <w:pPr>
        <w:spacing w:after="0" w:line="65"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In addition to regulations in the United States, we will be subject to a variety of regulations in other jurisdictions governing, among other things, clinical trials, authorization,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Many countries outside of the United States have a process similar to that in the United States that requires the submission of a clinical trial application (CTA) much like the IND prior to the commencement of human clinical trials.</w:t>
      </w:r>
    </w:p>
    <w:p>
      <w:pPr>
        <w:spacing w:after="0" w:line="75"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Although in countries outside of the EU, such as countries in Eastern Europe, Latin America or Asia, the requirements governing the conduct of clinical trials, product licensing, pricing and reimbursement vary from country to country in all cases, the clinical trials must be conducted in accordance with GCP and the applicable regulatory requirements and the ethical principles that have their origin in the Declaration of Helsinki.</w:t>
      </w:r>
    </w:p>
    <w:p>
      <w:pPr>
        <w:spacing w:after="0" w:line="217"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If we or our potential collaborators fail to comply with applicable foreign regulatory requirements, we may be subject to, among other things, fines, suspension, variation or withdrawal of regulatory approvals, product recalls, seizure of products, operating restrictions and criminal prosecution.</w:t>
      </w:r>
    </w:p>
    <w:p>
      <w:pPr>
        <w:spacing w:after="0" w:line="1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Clinical Trials in the EU</w:t>
      </w:r>
    </w:p>
    <w:p>
      <w:pPr>
        <w:spacing w:after="0" w:line="102"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Similarly to the United States, the various phases of non-clinical and clinical research in the EU are subject to significant regulatory controls.</w:t>
      </w:r>
    </w:p>
    <w:p>
      <w:pPr>
        <w:spacing w:after="0" w:line="59"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color w:val="auto"/>
        </w:rPr>
        <w:t>The regulatory landscape related to clinical trials in the EU has been subject to recent changes. In the EU, clinical trials are governed by the Clinical Trials Regulation (EU) No 536/2014, or CTR, which entered into application on January 31, 2022 repealing and replacing the former Clinical Trials Directive 2001/20, or CTD.</w:t>
      </w:r>
    </w:p>
    <w:p>
      <w:pPr>
        <w:spacing w:after="0" w:line="221" w:lineRule="exact"/>
        <w:rPr>
          <w:sz w:val="20"/>
          <w:szCs w:val="20"/>
          <w:color w:val="auto"/>
        </w:rPr>
      </w:pPr>
    </w:p>
    <w:p>
      <w:pPr>
        <w:jc w:val="both"/>
        <w:ind w:left="1720" w:right="1739"/>
        <w:spacing w:after="0" w:line="261" w:lineRule="auto"/>
        <w:rPr>
          <w:sz w:val="20"/>
          <w:szCs w:val="20"/>
          <w:color w:val="auto"/>
        </w:rPr>
      </w:pPr>
      <w:r>
        <w:rPr>
          <w:rFonts w:ascii="Times New Roman" w:cs="Times New Roman" w:eastAsia="Times New Roman" w:hAnsi="Times New Roman"/>
          <w:sz w:val="12"/>
          <w:szCs w:val="12"/>
          <w:color w:val="auto"/>
        </w:rPr>
        <w:t>The CTR is intended to harmonize and streamline CTA, simplify adverse-event reporting procedures, improve the supervision of clinical trials and increase transparency. Specifically, the Regulation, which is directly applicable in all EU member states, introduces a streamlined application procedure through a single-entry point, the “EU portal”; the Clinical Trials Information System, or CTIS; a single set of documents to be prepared and submitted for the application; as well as simplified reporting procedures for clinical trial sponsors. A harmonized procedure for the assessment of applications for clinical trials has been introduced and is</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40" w:name="page141"/>
    <w:bookmarkEnd w:id="14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divided into two parts. Part I assessment is led by the competent authorities of a reference member state selected by the trial sponsor and relates to clinical trial aspects that are considered to be scientifically harmonized across EU member states. This assessment is then submitted to the competent authorities of all concerned member states in which the trial is to be conducted for their review. Part II is assessed separately by the competent authorities and ethics committees in each concerned EU member state i.e. all EU member states in which a clinical trial is to be conducted. Individual EU member states retain the power to authorize the conduct of clinical trials on their territory.</w:t>
      </w:r>
    </w:p>
    <w:p>
      <w:pPr>
        <w:spacing w:after="0" w:line="75"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The extent to which on-going clinical trials will be governed by the CTR will depend on the duration of the individual clinical trial. Clinical trials for which an application for approval was made on the basis of the CTD (i) before January 31, 2022 or (ii) between January 31, 2022 and January 31, 2023 and for which the sponsor has opted for the application of CTD, remain governed by the CTD until January 31, 2025. By that date, all ongoing trials will become subject to the provisions of the CTR. The CTR will apply to clinical trials from an earlier date if the related clinical trial application was made on the basis of the CTR or if the clinical trial has already transitioned to the CTR framework before January 31, 2025.</w:t>
      </w:r>
    </w:p>
    <w:p>
      <w:pPr>
        <w:spacing w:after="0" w:line="75"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Medicinal products used in clinical trials must be manufactured in accordance with the guidelines on GMP and in a GMP certified facility, which is subject to GMP inspections.</w:t>
      </w:r>
    </w:p>
    <w:p>
      <w:pPr>
        <w:spacing w:after="0" w:line="9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Review and approval process of medicinal products in the EU</w:t>
      </w:r>
    </w:p>
    <w:p>
      <w:pPr>
        <w:spacing w:after="0" w:line="111"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In the EU, medicinal products can only be commercialized after a related marketing authorization, or MA, has been granted. To obtain an MA for a medicinal product in the EU, an applicant must submit a Marketing Authorization Application, or MAA, either in accordance with a centralized procedure administered by the European Medicines Agency, or EMA, or one of the procedures administered by the competent authorities of EU member states (decentralized procedure, national procedure or mutual recognition procedure). An MA may be granted only to an applicant established in the EU.</w:t>
      </w:r>
    </w:p>
    <w:p>
      <w:pPr>
        <w:spacing w:after="0" w:line="75"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A successful application in accordance with the centralized procedure results in the grant of a single MA by the European Commission that is valid throughout the EU. Pursuant to Regulation (EC) No 726/2004, the centralized procedure is compulsory for specific products, including for (i) medicinal products derived from biotechnological processes, (ii) products designated as orphan medicinal products, (iii) advanced therapy medicinal products, or ATMPs, and (iv) products with a new active substance indicated for the treatment of HIV/AIDS, cancer, neurodegenerative diseases, diabetes, auto-immune and other immune dysfunctions and viral diseases. For products with a new active substance indicated for the treatment of other diseases and products that are highly innovative or for which a centralized process is in the interest of patients, authorization through the centralized procedure is optional on related approval.</w:t>
      </w:r>
    </w:p>
    <w:p>
      <w:pPr>
        <w:spacing w:after="0" w:line="76"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In accordance with the centralized procedure, the EMA’s Committee for Medicinal Products for Human Use, or CHMP, conducts the initial assessment of an application for authorization of a medicinal product. The CHMP is also responsible for several post-authorization and maintenance activities, such as the assessment of variations or extensions to an existing MA. The maximum timeframe for the evaluation of an MAA under the centralized procedure is 210 days, excluding clock stops during which additional information or written or oral explanations are provided by the applicant in response to questions of the CHMP. Accelerated assessment may be granted by the CHMP in exceptional cases, when a medicinal product that targets an unmet medical need is expected to be of major interest from the point of view of public health and, in particular, from the viewpoint of therapeutic innovation. If the CHMP accepts a request for accelerated assessment, the time limit of 210 days will be reduced to 150 days (excluding clock stops). The CHMP can, however, revert to the standard time limit for the centralized procedure if it considers that it is no longer appropriate to conduct an accelerated assessment.</w:t>
      </w:r>
    </w:p>
    <w:p>
      <w:pPr>
        <w:spacing w:after="0" w:line="221"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Unlike the centralized authorization procedure, the decentralized MA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MAA. The resulting assessment report is submitted to the concerned EU member states who, within 90 days of receipt, must decide whether to approve the assessment report and related materials. If a concerned EU member state</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1" w:name="page142"/>
    <w:bookmarkEnd w:id="141"/>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cannot approve the assessment report and related materials due to concerns relating to a potential serious risk to public health, disputed elements may be referred to the Heads of Medicines Agencies’ Coordination Group for Mutual Recognition and Decentralized Procedures — Human, or CMDh, for review. The subsequent decision of the European Commission is binding on all EU member states.</w:t>
      </w:r>
    </w:p>
    <w:p>
      <w:pPr>
        <w:spacing w:after="0" w:line="71"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The mutual recognition procedure allows companies that have a medicinal product already authorized in one EU member state to apply for this authorization to be recognized by the competent authorities in other EU member states. Like the decentralized procedure, the mutual recognition procedure is based on the acceptance by the competent authorities of the EU member states of the MA granted in relation to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75"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An MA has, in principle, an initial validity of five years. The MA may be renewed after five years on the basis of a re-evaluation of the risk-benefit balance by the EMA or by the competent authority of the EU member state in which the original MA was granted. To support the application, the MA holder must provide the EMA or the competent authority with a consolidated version of the Common Technical Document providing up-to- date data concerning the quality, safety and efficacy of the product, including all variations introduced since the MA was granted, at least nine months before the MA ceases to be valid. The European Commission or the competent authorities of the EU member states may decide on justified grounds relating to pharmacovigilance, to proceed with one further five year renewal period for the MA. Once subsequently definitively renewed, the MA shall be valid for an unlimited period. Any authorization which is not followed by the actual placing of the medicinal product on the EU market (for a centralized MA) or on the market of the authorizing EU member state within three years after authorization ceases to be valid (the so-called sunset clause) unless, in justified circumstances, authorization is extended.</w:t>
      </w:r>
    </w:p>
    <w:p>
      <w:pPr>
        <w:spacing w:after="0" w:line="75"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U.S. PRIME is a voluntary scheme aimed at enhancing the EMA’s support for the development of medicinal products that target unmet medical needs. Eligible products must target conditions for which there is an unmet medical need; i.e., where there is no satisfactory method of diagnosis, prevention or treatment in the EU or, if there is, the new medicinal product will bring a major therapeutic advantage. The products must demonstrate the potential to address the unmet medical need by introducing new methods of therapy or improving existing ones.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spacing w:after="0" w:line="221"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In the EU, a “conditional” MA may be granted in cases where all the required safety and efficacy data are not yet available. The European Commission may grant a conditional MA for a medicinal product if it is demonstrated that all of the following criteria are met: (i) the benefit-risk balance of the medicinal product is positive; (ii) it is likely that the applicant will be able to provide comprehensive data post-authorization;</w:t>
      </w:r>
    </w:p>
    <w:p>
      <w:pPr>
        <w:spacing w:after="0" w:line="1" w:lineRule="exact"/>
        <w:rPr>
          <w:sz w:val="20"/>
          <w:szCs w:val="20"/>
          <w:color w:val="auto"/>
        </w:rPr>
      </w:pPr>
    </w:p>
    <w:p>
      <w:pPr>
        <w:jc w:val="both"/>
        <w:ind w:left="1720" w:right="1739"/>
        <w:spacing w:after="0" w:line="246" w:lineRule="auto"/>
        <w:tabs>
          <w:tab w:leader="none" w:pos="1954"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medicinal product fulfils an unmet medical need; and (iv) the benefit of the immediate availability to patients of the medicinal product is greater than the risk inherent in the fact that additional data are still required. The conditional MA is subject to conditions to be fulfilled for generating the missing data or ensuring increased safety measures. It is valid for one year and must be renewed annually until all related conditions have been fulfilled. Once any pending studies are provided, the conditional MA can be converted into a standard MA. However, if the conditions are not fulfilled within the timeframe set by the EMA and approved by the European Commission, the MA will cease to be renewed.</w:t>
      </w:r>
    </w:p>
    <w:p>
      <w:pPr>
        <w:spacing w:after="0" w:line="78"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2" w:name="page143"/>
    <w:bookmarkEnd w:id="14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5" w:lineRule="auto"/>
        <w:rPr>
          <w:sz w:val="20"/>
          <w:szCs w:val="20"/>
          <w:color w:val="auto"/>
        </w:rPr>
      </w:pPr>
      <w:r>
        <w:rPr>
          <w:rFonts w:ascii="Times New Roman" w:cs="Times New Roman" w:eastAsia="Times New Roman" w:hAnsi="Times New Roman"/>
          <w:sz w:val="12"/>
          <w:szCs w:val="12"/>
          <w:color w:val="auto"/>
        </w:rPr>
        <w:t>the applicant does not hold a complete data set that is required for the grant of a standard MA. However, unlike the conditional MA, an applicant for authorization in exceptional circumstances is not subsequently required to provide the missing data. Although the MA “under exceptional circumstances” is granted definitively, the risk-benefit balance of the medicinal product is reviewed annually, and the MA will be withdrawn if the risk-benefit ratio is no longer favorable.</w:t>
      </w:r>
    </w:p>
    <w:p>
      <w:pPr>
        <w:spacing w:after="0" w:line="1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Pediatric Development in the EU</w:t>
      </w:r>
    </w:p>
    <w:p>
      <w:pPr>
        <w:spacing w:after="0" w:line="111"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In the EU, Regulation (EC) No 1901/2006 provides that all MAAs for new medicinal products must include the results of trials conducted in the pediatric population, in compliance with a pediatric investigation plan, or PIP, agreed with the EMA’s Pediatric Committee, or PDCO. The PIP sets out the timing and measures proposed to generate data to support a pediatric indication of the medicinal product for which MA is being sought. The PDCO can grant a deferral of the obligation to implement some or all of the measures provided in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EU member states and study results are included in the product information, even when negative, the product is eligible for a six-month extension to the Supplementary Protection Certificate, or SPC, if any is in effect at the time of authorization or, in the case of orphan medicinal products, a two-year extension of orphan market exclusivity.</w:t>
      </w:r>
    </w:p>
    <w:p>
      <w:pPr>
        <w:spacing w:after="0" w:line="2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Data and Market Exclusivity in the EU</w:t>
      </w:r>
    </w:p>
    <w:p>
      <w:pPr>
        <w:spacing w:after="0" w:line="111"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The EU provides opportunities for data and market exclusivity related to MAs. Upon receipt of an MA, innovative medicinal products (i.e., reference products) are generally entitled to benefit from eight years of data exclusivity and an additional two years of market exclusivity. Data exclusivity, if granted, prevents generic and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MA of the reference product in the EU. The overall ten-year market exclusivity period may, occasionally, be extended for a further year to a maximum of 11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spacing w:after="0" w:line="222"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 Guidelines from the EMA detail the type of quantity of supplementary data to be provided for different types of biological product.</w:t>
      </w:r>
    </w:p>
    <w:p>
      <w:pPr>
        <w:spacing w:after="0" w:line="26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Manufacturing Regulation in the EU</w:t>
      </w:r>
    </w:p>
    <w:p>
      <w:pPr>
        <w:spacing w:after="0" w:line="111"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In addition to an MA, various other requirements apply to the manufacture and placing on the EU market of medicinal products. The manufacture of medicinal products in the EU requires a manufacturing authorization. Moreover, import of medicinal products into the EU requires a manufacturing authorization allowing for import. The holder of a manufacturing authorization must comply with various requirements set out in the applicable EU laws, regulations and guidance, including GMP standards. Similarly, the distribution of medicinal products within the EU is subject to compliance with applicable EU laws, regulations and guidelines, including the requirement to hold appropriate authorizations for distribution granted by the competent authorities of EU member states. MA holders and/or manufacturing and import authorization, or MA holders and/or distribution authorization holders may be subject to civil, criminal or administrative sanctions,</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43" w:name="page144"/>
    <w:bookmarkEnd w:id="143"/>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including suspension of manufacturing authorization, in case of non-compliance with the EU or EU member states’ requirements applicable to the manufacturing of medicinal products.</w:t>
      </w:r>
    </w:p>
    <w:p>
      <w:pPr>
        <w:spacing w:after="0" w:line="10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Post-authorization Requirements in the EU</w:t>
      </w:r>
    </w:p>
    <w:p>
      <w:pPr>
        <w:spacing w:after="0" w:line="111"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Where an MA is granted in relation to a medicinal product in the EU, the holder of the MA is required to comply with a range of regulatory requirements applicable to the manufacture, marketing, promotion and sale of medicinal products. 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228"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 minimization measures or post-authorization obligations may include additional safety monitoring, more frequent submission of PSURs, or the conduct of additional clinical trials or post-authorization safety studies.</w:t>
      </w:r>
    </w:p>
    <w:p>
      <w:pPr>
        <w:spacing w:after="0" w:line="215"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General requirements for advertising and promotion of medicinal products, such as direct-to-consumer advertising of prescription medicinal products are established in EU law. However,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or SmPC, which may require approval by the competent national authorities in connection with an MA. The SmPC is the document that provides information to physicians concerning the safe and effective use of the product. Promotional activity that does not comply with the SmPC is considered off-label and is prohibited in the EU.</w:t>
      </w:r>
    </w:p>
    <w:p>
      <w:pPr>
        <w:spacing w:after="0" w:line="229"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The aforementioned EU rules are generally applicable in the EEA (which is comprised of the 27 EU member states plus Norway, Iceland and Liechtenstein).</w:t>
      </w:r>
    </w:p>
    <w:p>
      <w:pPr>
        <w:spacing w:after="0" w:line="59"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Pricing, Coverage and Reimbursement in the EU</w:t>
      </w:r>
    </w:p>
    <w:p>
      <w:pPr>
        <w:spacing w:after="0" w:line="102"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In the EU, pricing and reimbursement schemes vary widely from country to country. Some EU member states may approve a specific price for a product, or they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w:t>
      </w:r>
    </w:p>
    <w:p>
      <w:pPr>
        <w:spacing w:after="0" w:line="77"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In addition, some EU member states may require the completion of additional studies that compare the cost-effectiveness of a particular medicinal product candidate to currently available therapies. This Health Technology Assessment, or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4" w:name="page145"/>
    <w:bookmarkEnd w:id="14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specific medicinal products will often influence the pricing and reimbursement status granted to these medicinal products by the competent authorities of individual EU member states.</w:t>
      </w:r>
    </w:p>
    <w:p>
      <w:pPr>
        <w:spacing w:after="0" w:line="50"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On December 13, 2021, Regulation No 2021/2282 on HTA amending Directive 2011/24/EU, was adopted in the EU.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and provide the basis for cooperation at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spacing w:after="0" w:line="26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United Kingdom Regulation</w:t>
      </w:r>
    </w:p>
    <w:p>
      <w:pPr>
        <w:spacing w:after="0" w:line="111"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Since the end of the Brexit transition period on January 1, 2021, Great Britain (England, Scotland and Wales) has not been directly subject to EU laws, however under the terms of the Ireland/Northern Ireland Protocol, EU laws generally apply to Northern Ireland. It is currently unclear to what extent the UK Government will seek to align its regulations with those of the EU. The EU laws that have been transposed into UK law through secondary legislation remain applicable in Great Britain. However, EU legislation which has taken effect post-Brexit, such as the (EU) CTR, is not applicable in Great Britain.</w:t>
      </w:r>
    </w:p>
    <w:p>
      <w:pPr>
        <w:spacing w:after="0" w:line="75"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The UK regulatory framework in relation to clinical trials is derived from the (EU) CTD (as implemented into UK law, through secondary legislation). On January 17, 2022, the UK Medicines and Healthcare products Regulatory Agency, or MHRA, launched an eight-week consultation on reframing the UK legislation for clinical trials with specific aims to streamline clinical trials approvals, enable innovation, enhance clinical trials transparency, enable greater risk proportionality, and promote patient and public involvement in clinical trials. The MHRA published its consultation outcome on March 21, 2023 in which it confirmed that it would update the existing legislation. The resulting legislative changes will ultimately determine the extent to which the UK regulations align with the CTR.</w:t>
      </w:r>
    </w:p>
    <w:p>
      <w:pPr>
        <w:spacing w:after="0" w:line="27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Japanese Regulation</w:t>
      </w:r>
    </w:p>
    <w:p>
      <w:pPr>
        <w:spacing w:after="0" w:line="102"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Manufacturers and sellers of drugs, quasi-drugs, cosmetics, medical devices and regenerative medical products (Designated Products) in Japan are subject to the supervision of Japan’s Ministry of Health, Labour and Welfare (MHLW) primarily under the Act on Securing Quality, Efficacy and Safety of Pharmaceuticals, Medical Devices, Regenerative and Cellular Therapy Products, Gene Therapy Products, and Cosmetics of Japan (PMDA or PMD Act). Under the PMD Act, the relevant licenses must be obtained from the MHLW in order to conduct the business of manufacturing, marketing or selling Designated Products.</w:t>
      </w:r>
    </w:p>
    <w:p>
      <w:pPr>
        <w:spacing w:after="0" w:line="74"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Applications for the approval of new products are made through the PMDA. The clinical trial data and other pertinent data must be attached to the application for approval. If the drugs, medical devices or regenerative medical products under application are of types designated by ministerial ordinance of the MHLW, the attached data mentioned above must be obtained in compliance with the standards established by the minister of the MHLW (Minister), such as the Good Laboratory Practice (GLP) and the Good Clinical Practice (GCP). Once an application for approval is submitted, a review team is formed, which consists of specialized officials of the PMDA, including experts on chemistry/manufacturing, non-clinical, clinical, and biostatistics. Team evaluation results are passed to the PMDA’s external experts, who then report back to the PMDA. After a further team evaluation, a report is provided to the Minister; the Minister makes a final determination for approval and refers this to the Council on Drugs and Foods Sanitation, which then advises the MHLW on final approvability. Marketing and distribution approvals require a review to determine whether or not the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5" w:name="page146"/>
    <w:bookmarkEnd w:id="145"/>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product in the application is suitable as a drug to be manufactured and distributed with which a manufacturing and distribution business license for the type of drug concerned has been obtained, and to confirm that the product has been manufactured in a plant compliant with the GMP.</w:t>
      </w:r>
    </w:p>
    <w:p>
      <w:pPr>
        <w:spacing w:after="0" w:line="67"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Once the MHLW has approved the application, the company can make the new drug available for physicians to prescribe. After that, the MHLW lists its National Health Insurance price within 60 days (or 90 days at the latest) from the approval, and physicians can obtain reimbursement. For some medications, the MHLW requires additional post marketing studies (Phase 4) to further evaluate safety and/or to gather information concerning the quality, efficacy, and safety of the product under specified conditions, in addition to post marketing surveillance including Early Post-marketing Phase Vigilance (EPPV) based on the risk management plan (RMP) for all new medications. The MHLW also requires the drug’s sponsor to submit periodic safety update reports. Within three months from the specified re-examination period, which is designated at the time of the approval of the application for the new product, the company must submit a re-examination application to enable the drug’s quality, efficacy, and safety to be reassessed against approved labeling by the PMDA.</w:t>
      </w:r>
    </w:p>
    <w:p>
      <w:pPr>
        <w:spacing w:after="0" w:line="229"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The PMD Act also provides for special regulations applicable to drugs, quasi-drugs, cosmetics and medical devices made of biological raw materials. These regulations impose various obligations on manufacturers and other persons in relation to manufacturing facilities, explanation to patients, labeling on products, record-keeping and reporting to the Minister.</w:t>
      </w:r>
    </w:p>
    <w:p>
      <w:pPr>
        <w:spacing w:after="0" w:line="66"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color w:val="auto"/>
        </w:rPr>
        <w:t>Under the PMD Act, the Minister may take various measures to supervise manufacturing and marketing license holders of Designated Products. The Minister has the authority to order manufacturing and marketing license holders to temporarily suspend the marketing, leasing or providing of the Designated Products to prevent risks or increases in risks to the public health. Also, the Minister may revoke a license or approval granted to a manufacturing and marketing license holder or order a temporary business suspension under certain limited circumstances such as violation of laws relating to drugs.</w:t>
      </w:r>
    </w:p>
    <w:p>
      <w:pPr>
        <w:spacing w:after="0" w:line="12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The Hatch-Waxman Amendments</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Orange Book Listing</w:t>
      </w:r>
    </w:p>
    <w:p>
      <w:pPr>
        <w:spacing w:after="0" w:line="185"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color w:val="auto"/>
        </w:rPr>
        <w:t>Under the Drug Price Competition and Patent Term Restoration Act of 1984, commonly referred to as the Hatch Waxman Amendments, NDA applicants are required to identify to FDA each patent whose claims cover the applicant’s drug or approved method of using the drug. Upon approval of a drug, the applicant must update its listing of patents to the NDA in timely fashion and each of the patents listed in the application for the drug is then published in the FDA’s Approved Drug Products with Therapeutic Equivalence Evaluations, commonly known as the Orange Book.</w:t>
      </w:r>
    </w:p>
    <w:p>
      <w:pPr>
        <w:spacing w:after="0" w:line="76"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Drugs listed in the Orange Book can, in turn, be cited by potential generic competitors in support of approval of an abbreviated new drug application (ANDA).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w:t>
      </w:r>
    </w:p>
    <w:p>
      <w:pPr>
        <w:spacing w:after="0" w:line="217" w:lineRule="exact"/>
        <w:rPr>
          <w:sz w:val="20"/>
          <w:szCs w:val="20"/>
          <w:color w:val="auto"/>
        </w:rPr>
      </w:pPr>
    </w:p>
    <w:p>
      <w:pPr>
        <w:jc w:val="both"/>
        <w:ind w:left="1720" w:right="1739"/>
        <w:spacing w:after="0" w:line="261" w:lineRule="auto"/>
        <w:rPr>
          <w:sz w:val="20"/>
          <w:szCs w:val="20"/>
          <w:color w:val="auto"/>
        </w:rPr>
      </w:pPr>
      <w:r>
        <w:rPr>
          <w:rFonts w:ascii="Times New Roman" w:cs="Times New Roman" w:eastAsia="Times New Roman" w:hAnsi="Times New Roman"/>
          <w:sz w:val="12"/>
          <w:szCs w:val="12"/>
          <w:color w:val="auto"/>
        </w:rPr>
        <w:t>The ANDA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w:t>
      </w:r>
    </w:p>
    <w:p>
      <w:pPr>
        <w:spacing w:after="0" w:line="2" w:lineRule="exact"/>
        <w:rPr>
          <w:sz w:val="20"/>
          <w:szCs w:val="20"/>
          <w:color w:val="auto"/>
        </w:rPr>
      </w:pPr>
    </w:p>
    <w:p>
      <w:pPr>
        <w:jc w:val="both"/>
        <w:ind w:left="1720" w:right="1739"/>
        <w:spacing w:after="0" w:line="258" w:lineRule="auto"/>
        <w:tabs>
          <w:tab w:leader="none" w:pos="1953"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For patents listed that claim an approved method of use, under certain circumstances the ANDA applicant may also elect to submit a section viii statement certifying that its proposed</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46" w:name="page147"/>
    <w:bookmarkEnd w:id="14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ANDA label does not contain (or carves out) any language regarding the patented method-of-use rather than certify to a listed method-of-use patent.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NDA-holder and patentee(s) once the ANDA has been received by the FDA for review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until the earlier of 30 months from the date the notice letter is received, expiration of the patent, the date of a settlement order or consent decree signed and entered by the court stating that the patent that is the subject of the certification is invalid or not infringed, or a decision in the patent case that is favorable to the ANDA applicant.</w:t>
      </w:r>
    </w:p>
    <w:p>
      <w:pPr>
        <w:spacing w:after="0" w:line="227"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The ANDA application also will not be approved until any applicable non-patent exclusivity listed in the Orange Book for the referenced product has expired. In some instances, an ANDA applicant may receive approval prior to expiration of certain non-patent exclusivity if the applicant seeks, and FDA permits, the omission of such exclusivity-protected information from the ANDA prescribing information.</w:t>
      </w:r>
    </w:p>
    <w:p>
      <w:pPr>
        <w:spacing w:after="0" w:line="19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Hatch-Waxman Exclusivity</w:t>
      </w:r>
    </w:p>
    <w:p>
      <w:pPr>
        <w:spacing w:after="0" w:line="185"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Market exclusivity provisions under the FDCA can delay the submission or the approval of certain marketing applications. For example, upon NDA approval of a new chemical entity (NCE), which is a drug that contains no active moiety that has been approved by FDA in any other NDA, that drug receives five years of non-patent data exclusivity during which FDA cannot receive (1) any ANDA seeking approval of a generic version of that drug or (2) an NDA submitted under Section 505(b)(2) of the FDCA (505(b)(2) NDA) by another company for another drug based on the same active moiety, regardless of whether the drug is intended for the same indication as the original innovative drug or for another indication. However, an ANDA or a 505(b)(2) NDA may be submitted after four years if it contains a certification of patent invalidity or non-infringement to one of the patents listed with the FDA by the innovator NDA holder (i.e., a Paragraph IV certification).</w:t>
      </w:r>
    </w:p>
    <w:p>
      <w:pPr>
        <w:spacing w:after="0" w:line="217"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moiety for any other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w:t>
      </w:r>
    </w:p>
    <w:p>
      <w:pPr>
        <w:spacing w:after="0" w:line="34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Patent Term Extension</w:t>
      </w:r>
    </w:p>
    <w:p>
      <w:pPr>
        <w:spacing w:after="0" w:line="185"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The Hatch Waxman Amendments permit a patent term extension as compensation for patent term lost during the FDA regulatory review process. Patent term extension, however, cannot extend the remaining term of a patent beyond a total of 14 years from the product’s approval date. After NDA approval, owners of relevant drug patents may apply for the extension. The allowable patent term extension is calculated as half of the drug’s testing phase (the time between IND application and NDA submission) and all of the review phase (the time between NDA submission and approval) up to a maximum of five years. The time can be reduced for any time FDA determines that the applicant did not pursue approval with due diligence.</w:t>
      </w:r>
    </w:p>
    <w:p>
      <w:pPr>
        <w:spacing w:after="0" w:line="80"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The United States Patent and Trademark Office (USPTO) in consultation with the FDA, reviews and approves the application for any patent term extension or restoration. However, the USPTO may not grant an extension because of, for example, failing to exercise due diligence during the testing phase or regulatory review process, failing to apply within applicable deadlines, failing to apply prior to expiration of relevant patents or otherwise</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7" w:name="page148"/>
    <w:bookmarkEnd w:id="14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failing to satisfy applicable requirements. Moreover, the applicable time period or the scope of patent protection afforded could be less than requested.</w:t>
      </w:r>
    </w:p>
    <w:p>
      <w:pPr>
        <w:spacing w:after="0" w:line="50"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The total patent term after the extension may not exceed 14 years, and only one patent can be extended. The application for the extension must be submitted prior to the expiration of the patent, and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26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Other U.S. Regulatory Matters</w:t>
      </w:r>
    </w:p>
    <w:p>
      <w:pPr>
        <w:spacing w:after="0" w:line="102" w:lineRule="exact"/>
        <w:rPr>
          <w:sz w:val="20"/>
          <w:szCs w:val="20"/>
          <w:color w:val="auto"/>
        </w:rPr>
      </w:pPr>
    </w:p>
    <w:p>
      <w:pPr>
        <w:jc w:val="both"/>
        <w:ind w:left="1720" w:right="1739"/>
        <w:spacing w:after="0" w:line="227" w:lineRule="auto"/>
        <w:rPr>
          <w:sz w:val="20"/>
          <w:szCs w:val="20"/>
          <w:color w:val="auto"/>
        </w:rPr>
      </w:pPr>
      <w:r>
        <w:rPr>
          <w:rFonts w:ascii="Times New Roman" w:cs="Times New Roman" w:eastAsia="Times New Roman" w:hAnsi="Times New Roman"/>
          <w:sz w:val="12"/>
          <w:szCs w:val="12"/>
          <w:color w:val="auto"/>
        </w:rPr>
        <w:t>Manufacturing, sales, promotion and other activities following drug approval are also subject to regulation by numerous regulatory authorities in addition to the FDA, including, in the United States, the Centers for</w:t>
      </w:r>
    </w:p>
    <w:p>
      <w:pPr>
        <w:jc w:val="both"/>
        <w:ind w:left="1720" w:right="1739"/>
        <w:spacing w:after="0" w:line="221" w:lineRule="auto"/>
        <w:rPr>
          <w:sz w:val="20"/>
          <w:szCs w:val="20"/>
          <w:color w:val="auto"/>
        </w:rPr>
      </w:pPr>
      <w:r>
        <w:rPr>
          <w:rFonts w:ascii="Times New Roman" w:cs="Times New Roman" w:eastAsia="Times New Roman" w:hAnsi="Times New Roman"/>
          <w:sz w:val="12"/>
          <w:szCs w:val="12"/>
          <w:color w:val="auto"/>
        </w:rPr>
        <w:t>Medicare &amp; Medicaid Services (CMS), other divisions of the Department of Health and Human Services, the Consumer Product Safety Commission, the Federal Trade Commission, the Occupational Safety &amp; Health Administration, the Environmental Protection Agency and state and local governments.</w:t>
      </w:r>
    </w:p>
    <w:p>
      <w:pPr>
        <w:spacing w:after="0" w:line="72"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The failure to comply with regulatory requirements subjects manufacturers to possible legal or regulatory action.</w:t>
      </w:r>
    </w:p>
    <w:p>
      <w:pPr>
        <w:spacing w:after="0" w:line="27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Data Privacy and Security Laws</w:t>
      </w:r>
    </w:p>
    <w:p>
      <w:pPr>
        <w:spacing w:after="0" w:line="111" w:lineRule="exact"/>
        <w:rPr>
          <w:sz w:val="20"/>
          <w:szCs w:val="20"/>
          <w:color w:val="auto"/>
        </w:rPr>
      </w:pPr>
    </w:p>
    <w:p>
      <w:pPr>
        <w:jc w:val="both"/>
        <w:ind w:left="1720" w:right="1739"/>
        <w:spacing w:after="0" w:line="245" w:lineRule="auto"/>
        <w:rPr>
          <w:sz w:val="20"/>
          <w:szCs w:val="20"/>
          <w:color w:val="auto"/>
        </w:rPr>
      </w:pPr>
      <w:r>
        <w:rPr>
          <w:rFonts w:ascii="Times New Roman" w:cs="Times New Roman" w:eastAsia="Times New Roman" w:hAnsi="Times New Roman"/>
          <w:sz w:val="12"/>
          <w:szCs w:val="12"/>
          <w:color w:val="auto"/>
        </w:rPr>
        <w:t>Numerous state, federal and foreign laws, regulations and standards govern the collection, use, access to, confidentiality and security of health-related and other personal information.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For example, the federal Health Insurance Portability and Accountability Act of 1996 (HIPAA), as amended by the Health Information Technology for Economic and Clinical Health Act of 2009 (HITECH) and their respective implementing regulations, impose privacy, security and breach notification obligations on certain health care providers, health plans, and health care clearinghouses, known as covered entities, as well as their business associates that perform certain services that involve creating, receiving, maintaining or transmitting individually identifiable health information for or on behalf of such covered entities. Entities that are found to be in violation of HIPAA may be subject to significant civil, criminal and administrative fines and penalties, and/or additional reporting and oversight obligations if required to enter into a resolution agreement and corrective action plan with HHS to settle allegations of HIPAA non-compliance. Further, entities that knowingly obtain, use, or disclose individually identifiable health information maintained by a HIPAA covered entity in a manner that is not authorized or permitted by HIPAA may be subject to criminal penalties. In addition, certain state laws govern the privacy and security of personal information, including health-related information, in certain circumstances. Failure to comply with these laws, where applicable, can result in the imposition of significant civil and/or criminal penalties and private litigation. For example, the California Consumer Privacy Act, which went into effect on January 1, 2020, created new data privacy obligations for covered companies and provides new privacy rights to California residents. On January 1, 2023, the California Privacy Rights Act, which substantially amends the CCPA, went into effect. The CCPA and CPRA provide for unlimited civil penalties for violations, as well as a private right of action for data breaches that is expected to increase data breach litigation. Other states have also enacted, proposed, or are considering proposing, data privacy laws.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00" w:lineRule="exact"/>
        <w:rPr>
          <w:sz w:val="20"/>
          <w:szCs w:val="20"/>
          <w:color w:val="auto"/>
        </w:rPr>
      </w:pPr>
    </w:p>
    <w:p>
      <w:pPr>
        <w:spacing w:after="0" w:line="2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Other U.S. Healthcare Laws</w:t>
      </w:r>
    </w:p>
    <w:p>
      <w:pPr>
        <w:spacing w:after="0" w:line="111"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Pharmaceutical manufacturers are subject to numerous federal and state laws and regulations including, without limitation, state and federal anti-kickback, fraud and abuse, false claims and transparency laws, such as the following:</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8" w:name="page149"/>
    <w:bookmarkEnd w:id="14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2080" w:right="1739" w:hanging="116"/>
        <w:spacing w:after="0" w:line="262" w:lineRule="auto"/>
        <w:tabs>
          <w:tab w:leader="none" w:pos="208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federal Anti-Kickback Statute, which prohibit, among other things, persons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A person or entity does not need to have actual knowledge of the statute or specific intent to violate it in order to have committed a violation;</w:t>
      </w:r>
    </w:p>
    <w:p>
      <w:pPr>
        <w:spacing w:after="0" w:line="48" w:lineRule="exact"/>
        <w:rPr>
          <w:rFonts w:ascii="Times New Roman" w:cs="Times New Roman" w:eastAsia="Times New Roman" w:hAnsi="Times New Roman"/>
          <w:sz w:val="12"/>
          <w:szCs w:val="12"/>
          <w:color w:val="auto"/>
        </w:rPr>
      </w:pPr>
    </w:p>
    <w:p>
      <w:pPr>
        <w:jc w:val="both"/>
        <w:ind w:left="2080" w:right="1739" w:hanging="116"/>
        <w:spacing w:after="0" w:line="262" w:lineRule="auto"/>
        <w:tabs>
          <w:tab w:leader="none" w:pos="208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federal false claims laws, including the False Claim Act and the Civil Monetary Penalties Law, which prohibit, among other things, individuals or entities from knowingly presenting, or causing to be presented, information or claims for payment from Medicare, Medicaid, or other third-party payers that are false or fraudulent. In addition, a claim including items or services resulting from a violation of the U.S. federal Anti-Kickback Statute constitutes a false or fraudulent claim for purposes of the federal civil False Claims Act;</w:t>
      </w:r>
    </w:p>
    <w:p>
      <w:pPr>
        <w:spacing w:after="0" w:line="48" w:lineRule="exact"/>
        <w:rPr>
          <w:rFonts w:ascii="Times New Roman" w:cs="Times New Roman" w:eastAsia="Times New Roman" w:hAnsi="Times New Roman"/>
          <w:sz w:val="12"/>
          <w:szCs w:val="12"/>
          <w:color w:val="auto"/>
        </w:rPr>
      </w:pPr>
    </w:p>
    <w:p>
      <w:pPr>
        <w:jc w:val="both"/>
        <w:ind w:left="2080" w:right="1739" w:hanging="116"/>
        <w:spacing w:after="0" w:line="265" w:lineRule="auto"/>
        <w:tabs>
          <w:tab w:leader="none" w:pos="208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HIPAA, which prohibits, among other things, executing or attempting to execute a scheme to defraud any healthcare benefit program (including private health plans)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96"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FDCA, which among other things, strictly regulates drug product and medical device marketing, prohibits manufacturers from marketing such products prior to approval or for off-label use and regulates the distribution of samples;</w:t>
      </w:r>
    </w:p>
    <w:p>
      <w:pPr>
        <w:spacing w:after="0" w:line="43"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43" w:lineRule="exact"/>
        <w:rPr>
          <w:rFonts w:ascii="Times New Roman" w:cs="Times New Roman" w:eastAsia="Times New Roman" w:hAnsi="Times New Roman"/>
          <w:sz w:val="12"/>
          <w:szCs w:val="12"/>
          <w:color w:val="auto"/>
        </w:rPr>
      </w:pPr>
    </w:p>
    <w:p>
      <w:pPr>
        <w:jc w:val="both"/>
        <w:ind w:left="2080" w:right="1739" w:hanging="116"/>
        <w:spacing w:after="0" w:line="260" w:lineRule="auto"/>
        <w:tabs>
          <w:tab w:leader="none" w:pos="208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 and</w:t>
      </w:r>
    </w:p>
    <w:p>
      <w:pPr>
        <w:spacing w:after="0" w:line="52" w:lineRule="exact"/>
        <w:rPr>
          <w:rFonts w:ascii="Times New Roman" w:cs="Times New Roman" w:eastAsia="Times New Roman" w:hAnsi="Times New Roman"/>
          <w:sz w:val="12"/>
          <w:szCs w:val="12"/>
          <w:color w:val="auto"/>
        </w:rPr>
      </w:pPr>
    </w:p>
    <w:p>
      <w:pPr>
        <w:jc w:val="both"/>
        <w:ind w:left="2080" w:right="1739" w:hanging="116"/>
        <w:spacing w:after="0" w:line="263" w:lineRule="auto"/>
        <w:tabs>
          <w:tab w:leader="none" w:pos="208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state law equivalents of the above federal laws, such as anti-kickback and false claims laws, which may apply to items or services reimbursed by any third-party payer, including private insurers, state transparency laws, and state laws limiting interactions between pharmaceutical manufacturers and members of the healthcare industry, many of which differ from each other in significant ways and may not have the same effect, and often are not preempted by HIPAA.</w:t>
      </w:r>
    </w:p>
    <w:p>
      <w:pPr>
        <w:spacing w:after="0" w:line="1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U.S. Healthcare Reform</w:t>
      </w:r>
    </w:p>
    <w:p>
      <w:pPr>
        <w:spacing w:after="0" w:line="111"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color w:val="auto"/>
        </w:rPr>
        <w:t>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in March 2010, the Affordable Care Act (the ACA) was passed which substantially changed the way healthcare is financed by both the government and private insurers and continues to significantly impact the U.S. pharmaceutical industry.</w:t>
      </w:r>
    </w:p>
    <w:p>
      <w:pPr>
        <w:spacing w:after="0" w:line="76"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Several healthcare reform proposals recently culminated in the enactment of the Inflation Reduction Act (IRA) in August 2022, which, among other things, allows the Department of Health and Human Services (HHS) to directly negotiate the selling price of a statutorily specified number of drugs and biologics each year that CMS reimburses under Medicare Part B and Part D. Only high-expenditure single-source drugs that have been approved for at least 7 years (11 years for biologics) can be selected by CMS for negotiation, with the negotiated price taking effect two years after the selection year. Negotiations for Medicare Part D products take place in 2024 with the negotiated price taking effect in 2026, and negotiations for Medicare Part B products will begin in 2026 with the negotiated price taking effect in 2028. In August 2023, HHS announced</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9" w:name="page150"/>
    <w:bookmarkEnd w:id="14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67" w:lineRule="auto"/>
        <w:rPr>
          <w:sz w:val="20"/>
          <w:szCs w:val="20"/>
          <w:color w:val="auto"/>
        </w:rPr>
      </w:pPr>
      <w:r>
        <w:rPr>
          <w:rFonts w:ascii="Times New Roman" w:cs="Times New Roman" w:eastAsia="Times New Roman" w:hAnsi="Times New Roman"/>
          <w:sz w:val="12"/>
          <w:szCs w:val="12"/>
          <w:color w:val="auto"/>
        </w:rPr>
        <w:t>the ten Medicare Part D drugs and biologics that it selected for negotiations. HHS will announce the negotiated maximum fair prices by September 1, 2024, and this price cap, which cannot exceed a statutory ceiling price, will go into effect on January 1, 2026. A drug or biological product that has an orphan drug designation for only one rare disease or condition will be excluded from the IRA’s price negotiation requirements, but will lose that exclusion if it receives designations for more than one rare disease or condition, or if is approved for an indication that is not within that single designated rare disease or condition, unless such additional designation or such disqualifying approvals are withdrawn by the time CMS evaluates the drug for selection for negotiation. The IRA also imposes rebates on Medicare Part B and Part D drugs whose prices have increased at a rate greater than the rate of inflation. The IRA also extends enhanced subsidies for individuals purchasing health insurance coverage in ACA marketplaces through plan year 2025. The IRA permits the Secretary of HHS to implement many of these provisions through guidance, as opposed to regulation, for the initial years. Manufacturers that fail to comply with the IRA may be subject to various penalties, including significant civil monetary penalties. These provisions have been and may continue to be subject to legal challenges. For example, the provisions related to the negotiation of selling prices of high-expenditure single-source drugs and biologics have been challenged in multiple lawsuits brought by pharmaceutical manufacturers. Thus, while it is unclear how the IRA will be implemented, it will likely have a significant impact on the biopharmaceutical industry and the pricing of prescription drug products.</w:t>
      </w:r>
    </w:p>
    <w:p>
      <w:pPr>
        <w:spacing w:after="0" w:line="200" w:lineRule="exact"/>
        <w:rPr>
          <w:sz w:val="20"/>
          <w:szCs w:val="20"/>
          <w:color w:val="auto"/>
        </w:rPr>
      </w:pPr>
    </w:p>
    <w:p>
      <w:pPr>
        <w:spacing w:after="0" w:line="2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Employees and Human Capital Resources</w:t>
      </w:r>
    </w:p>
    <w:p>
      <w:pPr>
        <w:spacing w:after="0" w:line="111" w:lineRule="exact"/>
        <w:rPr>
          <w:sz w:val="20"/>
          <w:szCs w:val="20"/>
          <w:color w:val="auto"/>
        </w:rPr>
      </w:pPr>
    </w:p>
    <w:p>
      <w:pPr>
        <w:jc w:val="both"/>
        <w:ind w:left="1720" w:right="1739"/>
        <w:spacing w:after="0" w:line="280" w:lineRule="auto"/>
        <w:rPr>
          <w:sz w:val="20"/>
          <w:szCs w:val="20"/>
          <w:color w:val="auto"/>
        </w:rPr>
      </w:pPr>
      <w:r>
        <w:rPr>
          <w:rFonts w:ascii="Times New Roman" w:cs="Times New Roman" w:eastAsia="Times New Roman" w:hAnsi="Times New Roman"/>
          <w:sz w:val="12"/>
          <w:szCs w:val="12"/>
          <w:color w:val="auto"/>
        </w:rPr>
        <w:t>As of March 31, 2024, we had 107 full-time employees and 2 part-time employees, consisting of clinical, scientific, development, regulatory, finance and operational personnel. None of our employees is subject to a collective bargaining agreement. We consider our relationship with our employees to be good.</w:t>
      </w:r>
    </w:p>
    <w:p>
      <w:pPr>
        <w:spacing w:after="0" w:line="67"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We recognize that our culture is central to the productivity, agility, scalability and competitiveness of our operation, and is essential to our success. We are clear and consistent in our company values and we communicate and support an employee value proposition. Our proposition is centered with unique and impactful professional development opportunities within an environment of inclusive representation and diverse thinking as a unifying force and business differentiator. Our employees are critical to our long-term success and are essential to helping us meet our goals. Among other things, we support and incentivize our employees in the following ways:</w:t>
      </w:r>
    </w:p>
    <w:p>
      <w:pPr>
        <w:spacing w:after="0" w:line="223" w:lineRule="exact"/>
        <w:rPr>
          <w:sz w:val="20"/>
          <w:szCs w:val="20"/>
          <w:color w:val="auto"/>
        </w:rPr>
      </w:pPr>
    </w:p>
    <w:p>
      <w:pPr>
        <w:jc w:val="both"/>
        <w:ind w:left="2080" w:right="1739" w:hanging="116"/>
        <w:spacing w:after="0" w:line="266" w:lineRule="auto"/>
        <w:tabs>
          <w:tab w:leader="none" w:pos="208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Talent development, compensation and retention: </w:t>
      </w:r>
      <w:r>
        <w:rPr>
          <w:rFonts w:ascii="Times New Roman" w:cs="Times New Roman" w:eastAsia="Times New Roman" w:hAnsi="Times New Roman"/>
          <w:sz w:val="12"/>
          <w:szCs w:val="12"/>
          <w:color w:val="auto"/>
        </w:rPr>
        <w:t>Our human capital resources objectives include,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203" w:lineRule="exact"/>
        <w:rPr>
          <w:rFonts w:ascii="Times New Roman" w:cs="Times New Roman" w:eastAsia="Times New Roman" w:hAnsi="Times New Roman"/>
          <w:sz w:val="12"/>
          <w:szCs w:val="12"/>
          <w:color w:val="auto"/>
        </w:rPr>
      </w:pPr>
    </w:p>
    <w:p>
      <w:pPr>
        <w:jc w:val="both"/>
        <w:ind w:left="2080" w:right="1739" w:hanging="116"/>
        <w:spacing w:after="0" w:line="271" w:lineRule="auto"/>
        <w:tabs>
          <w:tab w:leader="none" w:pos="208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Health and safety: </w:t>
      </w:r>
      <w:r>
        <w:rPr>
          <w:rFonts w:ascii="Times New Roman" w:cs="Times New Roman" w:eastAsia="Times New Roman" w:hAnsi="Times New Roman"/>
          <w:sz w:val="12"/>
          <w:szCs w:val="12"/>
          <w:color w:val="auto"/>
        </w:rPr>
        <w:t>We support the health and safety of our employees by providing comprehensive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insurance benefits, an employee assistance program, company-paid holidays, a personal time-off program and other additional benefits which are intended to assist employees to manage their well-being.</w:t>
      </w:r>
    </w:p>
    <w:p>
      <w:pPr>
        <w:spacing w:after="0" w:line="210" w:lineRule="exact"/>
        <w:rPr>
          <w:rFonts w:ascii="Times New Roman" w:cs="Times New Roman" w:eastAsia="Times New Roman" w:hAnsi="Times New Roman"/>
          <w:sz w:val="12"/>
          <w:szCs w:val="12"/>
          <w:color w:val="auto"/>
        </w:rPr>
      </w:pPr>
    </w:p>
    <w:p>
      <w:pPr>
        <w:ind w:left="2080" w:right="1739" w:hanging="116"/>
        <w:spacing w:after="0" w:line="294" w:lineRule="auto"/>
        <w:tabs>
          <w:tab w:leader="none" w:pos="208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Inclusion and diversity: </w:t>
      </w:r>
      <w:r>
        <w:rPr>
          <w:rFonts w:ascii="Times New Roman" w:cs="Times New Roman" w:eastAsia="Times New Roman" w:hAnsi="Times New Roman"/>
          <w:sz w:val="12"/>
          <w:szCs w:val="12"/>
          <w:color w:val="auto"/>
        </w:rPr>
        <w:t>We are committed to efforts to increase diversity and foster an inclusive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work environment that supports our workforce.</w:t>
      </w:r>
    </w:p>
    <w:p>
      <w:pPr>
        <w:spacing w:after="0" w:line="10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Facilities</w:t>
      </w:r>
    </w:p>
    <w:p>
      <w:pPr>
        <w:spacing w:after="0" w:line="102"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Our principal executive office is located in South San Francisco, California. We entered into the lease for our principal executive office in August 2022, for approximately 55,000 square feet of combined office and laboratory space in South San Francisco, which will expire in August 2033. We believe our facilities are adequate and suitable for our current needs, and that should it be needed, suitable additional or alternative space will be available to accommodate our operations.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50" w:name="page151"/>
    <w:bookmarkEnd w:id="15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Legal Proceedings</w:t>
      </w:r>
    </w:p>
    <w:p>
      <w:pPr>
        <w:spacing w:after="0" w:line="111"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color w:val="auto"/>
        </w:rPr>
        <w:t>From time to time, we may become involved in material legal proceedings or be subject to claims arising in the ordinary course of our business. We are currently not party to any legal proceedings material to our operations or of which any of our property is the subject, nor are we aware of any such proceedings that are contemplated by a government authority. Regardless of outcome, such proceedings or claims can have an adverse impact on us because of defense and settlement costs, diversion of resources, and other factors, and there can be no assurances that favorable outcomes will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51" w:name="page152"/>
    <w:bookmarkEnd w:id="151"/>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MANAGEMENT</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Executive Officers and Directors</w:t>
      </w:r>
    </w:p>
    <w:p>
      <w:pPr>
        <w:spacing w:after="0" w:line="111"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The following table sets forth information regarding our executive officers and directors as of June 24, 2024.</w:t>
      </w:r>
    </w:p>
    <w:p>
      <w:pPr>
        <w:spacing w:after="0" w:line="153" w:lineRule="exact"/>
        <w:rPr>
          <w:sz w:val="20"/>
          <w:szCs w:val="20"/>
          <w:color w:val="auto"/>
        </w:rPr>
      </w:pPr>
    </w:p>
    <w:tbl>
      <w:tblPr>
        <w:tblLayout w:type="fixed"/>
        <w:tblInd w:w="1720" w:type="dxa"/>
        <w:tblCellMar>
          <w:top w:w="0" w:type="dxa"/>
          <w:left w:w="0" w:type="dxa"/>
          <w:bottom w:w="0" w:type="dxa"/>
          <w:right w:w="0" w:type="dxa"/>
        </w:tblCellMar>
      </w:tblPr>
      <w:tr>
        <w:trPr>
          <w:trHeight w:val="248"/>
        </w:trPr>
        <w:tc>
          <w:tcPr>
            <w:tcW w:w="2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28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 xml:space="preserve">Age </w:t>
            </w: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Position</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2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Executive Officers: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 ​</w:t>
            </w:r>
          </w:p>
        </w:tc>
        <w:tc>
          <w:tcPr>
            <w:tcW w:w="1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i w:val="1"/>
                <w:iCs w:val="1"/>
                <w:color w:val="auto"/>
              </w:rPr>
              <w:t>​ ​</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 ​ ​</w:t>
            </w:r>
          </w:p>
        </w:tc>
        <w:tc>
          <w:tcPr>
            <w:tcW w:w="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w:t>
            </w:r>
          </w:p>
        </w:tc>
      </w:tr>
      <w:tr>
        <w:trPr>
          <w:trHeight w:val="174"/>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Martin Babler</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​​59</w:t>
            </w:r>
          </w:p>
        </w:tc>
        <w:tc>
          <w:tcPr>
            <w:tcW w:w="2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 President and Chief Executive Officer, Chairman ​</w:t>
            </w:r>
          </w:p>
        </w:tc>
      </w:tr>
      <w:tr>
        <w:trPr>
          <w:trHeight w:val="174"/>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 Bradley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​​59</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 Chief Development Officer</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Jörn Drappa, M.D., Ph.D.</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​​60</w:t>
            </w:r>
          </w:p>
        </w:tc>
        <w:tc>
          <w:tcPr>
            <w:tcW w:w="2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 Chief Medical Officer</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8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David M. Goldstein, Ph.D.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​​58</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 Chief Scientific Officer</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83"/>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Roy Hardiman</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​​64</w:t>
            </w:r>
          </w:p>
        </w:tc>
        <w:tc>
          <w:tcPr>
            <w:tcW w:w="2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 Chief Business and Legal Officer</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8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John Schroer</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​​58</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 Chief Financial Officer</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83"/>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Sara Klein</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​​60</w:t>
            </w:r>
          </w:p>
        </w:tc>
        <w:tc>
          <w:tcPr>
            <w:tcW w:w="2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 General Counsel</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8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Derrick Richardson</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​​54</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 Senior Vice President of People and Culture</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256"/>
        </w:trPr>
        <w:tc>
          <w:tcPr>
            <w:tcW w:w="25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Non-Employee Directors:</w:t>
            </w:r>
          </w:p>
        </w:tc>
        <w:tc>
          <w:tcPr>
            <w:tcW w:w="1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 ​</w:t>
            </w:r>
          </w:p>
        </w:tc>
        <w:tc>
          <w:tcPr>
            <w:tcW w:w="26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 ​ ​</w:t>
            </w:r>
          </w:p>
        </w:tc>
        <w:tc>
          <w:tcPr>
            <w:tcW w:w="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w:t>
            </w:r>
          </w:p>
        </w:tc>
      </w:tr>
      <w:tr>
        <w:trPr>
          <w:trHeight w:val="18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Srinivas Akkaraju, M.D., Ph.D.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​​56</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 Director</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83"/>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Alan B. Colowick, M.D., M.P.H.</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​​62</w:t>
            </w:r>
          </w:p>
        </w:tc>
        <w:tc>
          <w:tcPr>
            <w:tcW w:w="2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 Director</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8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Patrick Machado, J.D.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​​60</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 Director</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83"/>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Sapna Srivastava, Ph.D.</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​​53</w:t>
            </w:r>
          </w:p>
        </w:tc>
        <w:tc>
          <w:tcPr>
            <w:tcW w:w="2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 Director</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8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James B. Tananbaum, M.D.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​​61</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 Director</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201"/>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Zhengbin Yao, Ph.D.</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​​58</w:t>
            </w:r>
          </w:p>
        </w:tc>
        <w:tc>
          <w:tcPr>
            <w:tcW w:w="2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 Director</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2929890</wp:posOffset>
            </wp:positionH>
            <wp:positionV relativeFrom="paragraph">
              <wp:posOffset>-1900555</wp:posOffset>
            </wp:positionV>
            <wp:extent cx="9334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-1900555</wp:posOffset>
            </wp:positionV>
            <wp:extent cx="9334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3345" cy="5715"/>
                    </a:xfrm>
                    <a:prstGeom prst="rect">
                      <a:avLst/>
                    </a:prstGeom>
                    <a:noFill/>
                  </pic:spPr>
                </pic:pic>
              </a:graphicData>
            </a:graphic>
          </wp:anchor>
        </w:drawing>
      </w:r>
    </w:p>
    <w:p>
      <w:pPr>
        <w:spacing w:after="0" w:line="9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Executive Officers</w:t>
      </w:r>
    </w:p>
    <w:p>
      <w:pPr>
        <w:spacing w:after="0" w:line="109"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b w:val="1"/>
          <w:bCs w:val="1"/>
          <w:i w:val="1"/>
          <w:iCs w:val="1"/>
          <w:color w:val="auto"/>
        </w:rPr>
        <w:t xml:space="preserve">Martin Babler </w:t>
      </w:r>
      <w:r>
        <w:rPr>
          <w:rFonts w:ascii="Times New Roman" w:cs="Times New Roman" w:eastAsia="Times New Roman" w:hAnsi="Times New Roman"/>
          <w:sz w:val="12"/>
          <w:szCs w:val="12"/>
          <w:color w:val="auto"/>
        </w:rPr>
        <w:t>has served as our President, Chief Executive, and chairman of our board of directors since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September 2021. From April 2011 until November 2020, he served as President and Chief Executive Officer at Principia Biopharma Inc., a biotechnology company acquired by Sanofi S.A. in September 2020. From December 2007 to April 2011, Mr. Babler served as President and Chief Executive Officer of Talima Therapeutics, Inc., a pharmaceutical company. From 1998 to 2007, Mr. Babler held several positions at Genentech, Inc., a biopharmaceutical company, most notably as Vice President, Immunology Sales and Marketing. Mr. Babler presently serves on the board of directors of Prelude Therapeutics Inc., a biopharmaceutical company, and Sardona Therapeutics, Inc. Mr. Babler received a Swiss Federal Diploma in pharmacy from the Federal Institute of Technology in Zurich and completed the Executive Development Program at the Kellogg Graduate School of Management at Northwestern University. We believe that Mr. Babler’s industry and leadership roles, and his knowledge of our company as Chief Executive Officer, makes him well qualified to serve on our board of directors.</w:t>
      </w:r>
    </w:p>
    <w:p>
      <w:pPr>
        <w:spacing w:after="0" w:line="79"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b w:val="1"/>
          <w:bCs w:val="1"/>
          <w:i w:val="1"/>
          <w:iCs w:val="1"/>
          <w:color w:val="auto"/>
        </w:rPr>
        <w:t xml:space="preserve">Mark Bradley </w:t>
      </w:r>
      <w:r>
        <w:rPr>
          <w:rFonts w:ascii="Times New Roman" w:cs="Times New Roman" w:eastAsia="Times New Roman" w:hAnsi="Times New Roman"/>
          <w:sz w:val="12"/>
          <w:szCs w:val="12"/>
          <w:color w:val="auto"/>
        </w:rPr>
        <w:t>has served as our Chief Development Officer since May 2021. From November 2020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March 2021, Mr. Bradley served as Senior Vice President and Site Head at The Bristol-Myers Squibb Company, a biopharmaceutical company, after its acquisition of MyoKardia, Inc., a precision medicine company focused on treating cardiovascular diseases, in November 2020. From November 2017 to November 2020, Mr. Bradley held roles of increasing responsibility at MyoKardia, most recently as Senior Vice President, Development. From 2004 to 2017, Mr. Bradley held roles of increasing responsibility at Genentech, Inc., a biopharmaceutical company, most recently as Head, Business Management gRED Clinical Operations. Mr. Bradley began his career at UCSF in public health research. Mr. Bradley received an M.A. and B.A. from University of California, Berkeley.</w:t>
      </w:r>
    </w:p>
    <w:p>
      <w:pPr>
        <w:spacing w:after="0" w:line="215" w:lineRule="exact"/>
        <w:rPr>
          <w:sz w:val="20"/>
          <w:szCs w:val="20"/>
          <w:color w:val="auto"/>
        </w:rPr>
      </w:pPr>
    </w:p>
    <w:p>
      <w:pPr>
        <w:jc w:val="both"/>
        <w:ind w:left="1720" w:right="1739"/>
        <w:spacing w:after="0" w:line="253" w:lineRule="auto"/>
        <w:rPr>
          <w:sz w:val="20"/>
          <w:szCs w:val="20"/>
          <w:color w:val="auto"/>
        </w:rPr>
      </w:pPr>
      <w:r>
        <w:rPr>
          <w:rFonts w:ascii="Times New Roman" w:cs="Times New Roman" w:eastAsia="Times New Roman" w:hAnsi="Times New Roman"/>
          <w:sz w:val="12"/>
          <w:szCs w:val="12"/>
          <w:b w:val="1"/>
          <w:bCs w:val="1"/>
          <w:i w:val="1"/>
          <w:iCs w:val="1"/>
          <w:color w:val="auto"/>
        </w:rPr>
        <w:t xml:space="preserve">Jörn Drappa, M.D., Ph.D., </w:t>
      </w:r>
      <w:r>
        <w:rPr>
          <w:rFonts w:ascii="Times New Roman" w:cs="Times New Roman" w:eastAsia="Times New Roman" w:hAnsi="Times New Roman"/>
          <w:sz w:val="12"/>
          <w:szCs w:val="12"/>
          <w:color w:val="auto"/>
        </w:rPr>
        <w:t>has served as our Chief Medical Officer and Head of Research and Development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since September 2022. From February 2018 to March 2021, Dr. Drappa served as the Chief Medical Officer and Head of Research and Development at Viela Bio, Inc., a biotechnology company. From May 2011 to February 2018, Dr. Drappa served in various roles at MedImmune, the biologics division of AstraZeneca plc,</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52" w:name="page153"/>
    <w:bookmarkEnd w:id="15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3" w:lineRule="auto"/>
        <w:rPr>
          <w:sz w:val="20"/>
          <w:szCs w:val="20"/>
          <w:color w:val="auto"/>
        </w:rPr>
      </w:pPr>
      <w:r>
        <w:rPr>
          <w:rFonts w:ascii="Times New Roman" w:cs="Times New Roman" w:eastAsia="Times New Roman" w:hAnsi="Times New Roman"/>
          <w:sz w:val="12"/>
          <w:szCs w:val="12"/>
          <w:color w:val="auto"/>
        </w:rPr>
        <w:t>including as Vice President of Clinical Development. From August 2008 to May 2011, Dr. Drappa served as Senior Medical Director for the Inflammation and Autoimmune assets at Genentech, Inc., a biopharmaceutical company. Dr. Drappa received his M.D. and a Ph.D. from the University of Cologne in Germany. He performed his postgraduate studies at Cornell Medical School/Hospital for Special Surgery, followed by residency at New York Hospital and rheumatology fellowship at the Hospital for Special Surgery.</w:t>
      </w:r>
    </w:p>
    <w:p>
      <w:pPr>
        <w:spacing w:after="0" w:line="214"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b w:val="1"/>
          <w:bCs w:val="1"/>
          <w:i w:val="1"/>
          <w:iCs w:val="1"/>
          <w:color w:val="auto"/>
        </w:rPr>
        <w:t xml:space="preserve">David M. Goldstein, Ph.D., </w:t>
      </w:r>
      <w:r>
        <w:rPr>
          <w:rFonts w:ascii="Times New Roman" w:cs="Times New Roman" w:eastAsia="Times New Roman" w:hAnsi="Times New Roman"/>
          <w:sz w:val="12"/>
          <w:szCs w:val="12"/>
          <w:color w:val="auto"/>
        </w:rPr>
        <w:t>has served as our Chief Scientific Officer since September 2021. From</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September 2020 to September 2021, Dr. Goldstein served as Site Head and Chief Scientific Officer of Principia Biopharma Inc., a biopharmaceutical company acquired by Sanofi S.A.in September 2020. From March 2016 to September 2020, Dr. Goldstein served in various roles at Principia Biopharma Inc., including as the Chief Scientific Officer from March 2016 to September 2020. From July 1994 to February 2011, Dr. Goldstein held positions of increasing responsibility at Roche Holding AG, a pharmaceutical company, most recently serving as Senior Director, Medicinal Chemistry and Head of Inflammation Chemistry. Dr. Goldstein was also previously a Consulting Assistant Professor at Stanford University. Dr. Goldstein received a Ph.D. in chemistry from the University of Virginia and a B.A. in chemistry from Franklin and Marshall College.</w:t>
      </w:r>
    </w:p>
    <w:p>
      <w:pPr>
        <w:spacing w:after="0" w:line="219"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b w:val="1"/>
          <w:bCs w:val="1"/>
          <w:i w:val="1"/>
          <w:iCs w:val="1"/>
          <w:color w:val="auto"/>
        </w:rPr>
        <w:t xml:space="preserve">Roy Hardiman </w:t>
      </w:r>
      <w:r>
        <w:rPr>
          <w:rFonts w:ascii="Times New Roman" w:cs="Times New Roman" w:eastAsia="Times New Roman" w:hAnsi="Times New Roman"/>
          <w:sz w:val="12"/>
          <w:szCs w:val="12"/>
          <w:color w:val="auto"/>
        </w:rPr>
        <w:t>has served as our Chief Business and Legal Officer since September 2021. From</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January 2015 to September 2020, Mr. Hardiman served as the Chief Business Officer of Principia Biopharma Inc., a biotechnology company acquired by Sanofi S.A. in 2020. From 2010 to 2012, Mr. Hardiman was a director of Pharmacyclics Inc., a biopharmaceutical company, and chaired the Nominating and Corporate Governance Committee of Pharmacyclics. From 1990 to 2009, Mr. Hardiman held leadership positions at Genentech, Inc., a biopharmaceutical company, including Vice President of Alliance Management, Vice President, Corporate Law and Assistant Secretary, Director and Far East Representative, Business Development. From 1987 to 1990, Mr. Hardiman was an attorney at Morrison &amp; Foerster LLP. Mr. Hardiman received his J.D. from University of California, Los Angeles School of Law, his M.A. in Biology and his B.A. in pharmacology from University of California, Santa Barbara. Mr. Hardiman serves on the Board of Trustees of the University of California, Santa Barbara Foundation.</w:t>
      </w:r>
    </w:p>
    <w:p>
      <w:pPr>
        <w:spacing w:after="0" w:line="77"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b w:val="1"/>
          <w:bCs w:val="1"/>
          <w:i w:val="1"/>
          <w:iCs w:val="1"/>
          <w:color w:val="auto"/>
        </w:rPr>
        <w:t xml:space="preserve">John Schroer </w:t>
      </w:r>
      <w:r>
        <w:rPr>
          <w:rFonts w:ascii="Times New Roman" w:cs="Times New Roman" w:eastAsia="Times New Roman" w:hAnsi="Times New Roman"/>
          <w:sz w:val="12"/>
          <w:szCs w:val="12"/>
          <w:color w:val="auto"/>
        </w:rPr>
        <w:t>has served as our Chief Financial Officer since May 2022. From February 2021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February 2022, Mr. Schroer served as Chief Financial Officer at ArsenalBio Inc., a biotechnology company. From May 2018 to December 2020, Mr. Schroer served as Chief Financial Officer and Treasurer at Translate Bio, Inc., a biotechnology company acquired by Sanofi S.A. in 2021. From January 2014 to April 2018, Mr. Schroer served as a director and sector head—healthcare at Allianz Global Investors, a global asset management company. From 2009 to December 2013, Mr. Schroer served as President and Chief Investment Officer at Schroer Capital, LP, a financial services company that he founded. Mr. Schroer received a B.S. in History and International Relations and an M.B.A. from the University of Wisconsin-Madison.</w:t>
      </w:r>
    </w:p>
    <w:p>
      <w:pPr>
        <w:spacing w:after="0" w:line="215"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b w:val="1"/>
          <w:bCs w:val="1"/>
          <w:i w:val="1"/>
          <w:iCs w:val="1"/>
          <w:color w:val="auto"/>
        </w:rPr>
        <w:t xml:space="preserve">Sara Klein </w:t>
      </w:r>
      <w:r>
        <w:rPr>
          <w:rFonts w:ascii="Times New Roman" w:cs="Times New Roman" w:eastAsia="Times New Roman" w:hAnsi="Times New Roman"/>
          <w:sz w:val="12"/>
          <w:szCs w:val="12"/>
          <w:color w:val="auto"/>
        </w:rPr>
        <w:t>has served as our General Counsel and Corporate Secretary since January 2022. Prior to joining</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us, Ms. Klein served in various roles at Principia Biopharma Inc., a biotechnology company acquired by Sanofi S.A. in September 2020, including Head of Legal from January 2021 to July 2021, Senior Vice President, Legal from December 2019 to January 2021, and Vice President, Legal from May 2018 to December 2019. From November 2001 to May 2018, Ms. Klein was in the private practice of law representing life science and technology companies. From 1993 to 1998, Ms. Klein served as corporate counsel and senior corporate counsel at Genentech, Inc., a biopharmaceutical company. From 1990 to 1993, Ms. Klein was an attorney at the law firm of Baker &amp; McKenzie LLP. Ms. Klein holds a J.D. from U.C. Hastings College of the Law and a B.A in political science and French from Middlebury College.</w:t>
      </w:r>
    </w:p>
    <w:p>
      <w:pPr>
        <w:spacing w:after="0" w:line="77"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b w:val="1"/>
          <w:bCs w:val="1"/>
          <w:i w:val="1"/>
          <w:iCs w:val="1"/>
          <w:color w:val="auto"/>
        </w:rPr>
        <w:t xml:space="preserve">Derrick Richardson </w:t>
      </w:r>
      <w:r>
        <w:rPr>
          <w:rFonts w:ascii="Times New Roman" w:cs="Times New Roman" w:eastAsia="Times New Roman" w:hAnsi="Times New Roman"/>
          <w:sz w:val="12"/>
          <w:szCs w:val="12"/>
          <w:color w:val="auto"/>
        </w:rPr>
        <w:t>has served as our Senior Vice President of People and Culture since June 2023. From</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April 2023 to June 2023, Mr. Richardson served as our Vice President of People and Culture. From January 2022 to April 2023, Mr. Richardson served as our Vice President and Head of Program and Portfolio Management. From November 2020 to December 2021, Mr. Richardson served as the Head of Cardiovascular Late-Stage Project Management at The Bristol-Myers Squibb Company, a biopharmaceutical company, after its acquisition of MyoKardia, Inc., a precision medicine company focused on treating cardiovascular diseases, in November 2020. From April 2020 to November 2020, Mr. Richardson served as Executive Director and Head of Project Management at MyoKardia, and consulted for MyoKardia from October 2018 to April 2020. From February 2016 to October 2018, Mr. Richardson served as a Consulting Project Manager at Genentech, Inc. Mr. Richardson received an M.S. in Mechanical Engineering from Cornell University and a B.S. in Product Design Engineering from Stanford University.</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53" w:name="page154"/>
    <w:bookmarkEnd w:id="153"/>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Non-Employee Directors</w:t>
      </w:r>
    </w:p>
    <w:p>
      <w:pPr>
        <w:spacing w:after="0" w:line="109"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b w:val="1"/>
          <w:bCs w:val="1"/>
          <w:i w:val="1"/>
          <w:iCs w:val="1"/>
          <w:color w:val="auto"/>
        </w:rPr>
        <w:t xml:space="preserve">Srinivas Akkaraju, M.D., Ph.D. </w:t>
      </w:r>
      <w:r>
        <w:rPr>
          <w:rFonts w:ascii="Times New Roman" w:cs="Times New Roman" w:eastAsia="Times New Roman" w:hAnsi="Times New Roman"/>
          <w:sz w:val="12"/>
          <w:szCs w:val="12"/>
          <w:color w:val="auto"/>
        </w:rPr>
        <w:t>has served as a member of our board of directors since March 2024.</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Dr. Akkaraju is a founder and managing member of Samsara BioCapital, a venture capital firm, a position he has held since March 2017. From April 2013 to February 2016, Dr. Akkaraju served as a general partner of Sofinnova Ventures, a venture capital firm. From January 2009 to April 2013, Dr. Akkaraju served as managing director of New Leaf Venture Partners, a venture capital firm. Dr. Akkaraju presently serves on the board of directors of vTv Therapeutics Inc., Scholar Rock Holding Corporation, Mineralys Therapeutics, Inc., and Syros Pharmaceuticals, Inc., and numerous private biopharmaceutical companies. During the past five years, he served as a director of Chinook Therapeutics, Inc., Jiya Acquisition Corp., Aravive, Inc. (formerly Versartis, Inc.), Intercept Pharmaceuticals, Inc., Principia Biopharma Inc., and Seattle Genetics, Inc. Dr. Akkaraju received an M.D. and a Ph.D. in Immunology from Stanford University and undergraduate degrees in Biochemistry and Computer Science from Rice University. We believe that Dr. Akkaraju’s extensive investment experience in the biopharmaceutical industry, as well as his scientific background and experience on numerous public and private company boards of directors make him well qualified to serve as a member of our board of directors.</w:t>
      </w:r>
    </w:p>
    <w:p>
      <w:pPr>
        <w:spacing w:after="0" w:line="224"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b w:val="1"/>
          <w:bCs w:val="1"/>
          <w:i w:val="1"/>
          <w:iCs w:val="1"/>
          <w:color w:val="auto"/>
        </w:rPr>
        <w:t xml:space="preserve">Alan B. Colowick, M.D., M.P.H. </w:t>
      </w:r>
      <w:r>
        <w:rPr>
          <w:rFonts w:ascii="Times New Roman" w:cs="Times New Roman" w:eastAsia="Times New Roman" w:hAnsi="Times New Roman"/>
          <w:sz w:val="12"/>
          <w:szCs w:val="12"/>
          <w:color w:val="auto"/>
        </w:rPr>
        <w:t>has served as a member of our board of directors since January 2022. Since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April 2021, Dr. Colowick has served as the Senior Managing Director of Matrix Capital Management Company. From May 2017 to January 2021, Dr. Colowick served as a private equity partner at Sofinnova Ventures. From 2010 to 2017, Dr. Colowick held various positions at Celgene Corporation, a pharmaceutical company, including Executive Vice President. From 2008 to 2010, Dr. Colowick was the Chief Executive Officer at Gloucester Pharmaceuticals, Inc., a pharmaceutical company, until its acquisition by Celgene in 2010. From 2006 to 2008, Dr. Colowick was President of Oncology for Geron Corporation, a biotechnology company, and from 2005 to 2006 was Chief Medical Officer of Threshold Pharmaceuticals, a pharmaceutical company. From 1999 to 2005, Dr. Colowick held various positions at Amgen Inc., a biopharmaceutical company. Dr. Colowick also serves as a member on the board of directors of ACELYRIN, INC. since November 2021 and mulitple private companies. Dr. Colowick completed specialty training in Hematology-Oncology at the Dana Farber Cancer Institute/Brigham and Women’s Hospital. Dr. Colowick received a M.D. from Stanford University, a M.P.H from Harvard University, and a B.S. in Molecular Biology from the University of Colorado. We believe that Dr. Colowick’s extensive professional experience, as well as financial understanding of the biotechnology industry, provide him with the qualifications and skills to serve as a member of our board of directors.</w:t>
      </w:r>
    </w:p>
    <w:p>
      <w:pPr>
        <w:spacing w:after="0" w:line="220"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b w:val="1"/>
          <w:bCs w:val="1"/>
          <w:i w:val="1"/>
          <w:iCs w:val="1"/>
          <w:color w:val="auto"/>
        </w:rPr>
        <w:t xml:space="preserve">Patrick Machado, J.D. </w:t>
      </w:r>
      <w:r>
        <w:rPr>
          <w:rFonts w:ascii="Times New Roman" w:cs="Times New Roman" w:eastAsia="Times New Roman" w:hAnsi="Times New Roman"/>
          <w:sz w:val="12"/>
          <w:szCs w:val="12"/>
          <w:color w:val="auto"/>
        </w:rPr>
        <w:t>has served as a member of our board of directors since June 2024. Mr. Machado was a</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co-founder of Medivation, Inc., a biopharmaceutical company, and served as its chief business officer from December 2009 to April 2014 and as its chief financial officer from December 2004 until his retirement in March 2014. From 1998 to 2001, Mr. Machado worked with ProDuct Health, Inc., a medical device company, as senior vice president, chief financial officer and earlier as general counsel. Upon ProDuct Health Inc.’s acquisition by Cytyc Corporation, a diagnostic and medical device company, he served as a consultant to Cytyc Corporation to assist with transitional matters from 2001 to 2002. Earlier in his career, Mr. Machado worked for Morrison &amp; Foerster LLP, an international law firm, and for the Massachusetts Supreme Judicial Court. Mr. Machado also serves as chair of the board of directors of Adverum Biotechnologies, Inc., a publicly traded company, since March 2017 and as a member of the board of directors of Arcus Biosciences, Inc., a publicly traded company, since December 2019, and Xenon Pharmaceuticals, Inc., a publicly traded company, since November 2020. Mr. Machado also serves on the board of ACELYRIN, INC., a biopharmaceutical company, since April 2021. Mr. Machado previously served on the board of directors of public traded companies such as Chimerix, Inc. from June 2014 to June 2024, Turnstone Biologics Inc. from August 2018 to April 2024, Turning Point Therapeutics, Inc. from May 2019 to September 2022, Endocyte, Inc. from February 2018 to December 2018, Axovant Sciences, Inc. from June 2017 to February 2018, SCYNEXIS, Inc. from September 2015 to June 2019, Medivation, Inc. from April 2014 to September 2016; Inotek Pharmaceuticals Corporation (now Rocket Pharmaceuticals, Inc.) from August 2016 to January 2018 and Principia Biopharma Inc. from June 2019 to September 2020; and on the board of directors of privately held companies such as Roivant Sciences, Ltd. from October 2016 to June 2022, and Therachon AG from January 2019 to July 2019. Mr. Machado received a J.D. from Harvard Law School and a B.A. in German and a B.S. in Economics from Santa Clara University. We believe that Mr. Machado’s extensive experience dealing</w:t>
      </w: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54" w:name="page155"/>
    <w:bookmarkEnd w:id="15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with the operational and financial issues of biopharmaceutical companies provide him with the qualifications and skills to serve on our board of directors.</w:t>
      </w:r>
    </w:p>
    <w:p>
      <w:pPr>
        <w:spacing w:after="0" w:line="48"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b w:val="1"/>
          <w:bCs w:val="1"/>
          <w:i w:val="1"/>
          <w:iCs w:val="1"/>
          <w:color w:val="auto"/>
        </w:rPr>
        <w:t xml:space="preserve">Sapna Srivastava, Ph.D. </w:t>
      </w:r>
      <w:r>
        <w:rPr>
          <w:rFonts w:ascii="Times New Roman" w:cs="Times New Roman" w:eastAsia="Times New Roman" w:hAnsi="Times New Roman"/>
          <w:sz w:val="12"/>
          <w:szCs w:val="12"/>
          <w:color w:val="auto"/>
        </w:rPr>
        <w:t>has served as a member of our board of directors since August 2022. From</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March 2021 to October 2021, Dr. Srivastava served as the interim Chief Financial Officer at eGenesis, Inc., a biopharmaceutical company. From September 2017 to January 2019, Dr. Srivastava served as the Chief Financial and Strategy Officer at Abide Therapeutics, Inc., a biopharmaceutical company acquired by H. Lundbeck A/S in 2019. From April 2015 to December 2016, Dr. Srivastava served as the Chief Financial and Strategy Officer at Intellia Therapeutics, Inc., a gene editing company. Previously, for nearly 15 years, Dr. Srivastava was a senior biotechnology analyst at Goldman Sachs, Morgan Stanley, and ThinkEquity Partners, LLC. Dr. Srivastava began her career as a research associate at JP Morgan. Dr. Srivastava currently serves on the board of directors of Tourmaline Bio, Inc., Aura Biosciences, Inc., a public biotechnology company, Innoviva, Inc. and Nuvalent, Inc., a public biopharmaceutical company. Dr. Srivastava holds a Ph.D. from New York University School of Medicine and a B.Sc. from St. Xavier’s College, University of Bombay. We believe that Dr. Srivastava’s experience in the pharmaceutical industry makes her well qualified to serve as a member of our board of directors.</w:t>
      </w:r>
    </w:p>
    <w:p>
      <w:pPr>
        <w:spacing w:after="0" w:line="219"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b w:val="1"/>
          <w:bCs w:val="1"/>
          <w:i w:val="1"/>
          <w:iCs w:val="1"/>
          <w:color w:val="auto"/>
        </w:rPr>
        <w:t xml:space="preserve">James B. Tananbaum, M.D. </w:t>
      </w:r>
      <w:r>
        <w:rPr>
          <w:rFonts w:ascii="Times New Roman" w:cs="Times New Roman" w:eastAsia="Times New Roman" w:hAnsi="Times New Roman"/>
          <w:sz w:val="12"/>
          <w:szCs w:val="12"/>
          <w:color w:val="auto"/>
        </w:rPr>
        <w:t>has served as a member of our board of directors since May 2021.</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Dr. Tananbaum is currently the President, Chief Executive Officer and a director of Foresite Capital Management, a U.S.-focused healthcare investment firm, which he founded in 2010. From 2000 to 2010, Dr. Tananbaum served as Co-Founder and Managing Director of Prospect Venture Partners L.P. II and III, healthcare venture partnerships. Dr. Tananbaum was also the Founder of GelTex, Inc. in 1991, an intestinal medicine pharmaceutical company acquired by Sanofi-Genzyme, and Theravance, Inc. in 1997 (now Theravance Biopharma, Inc., a diversified biopharmaceutical company focused on organ-selective medicines, and Innoviva, Inc., a respiratory-focused healthcare asset management company partnered with Glaxo Group Limited). Dr. Tananbaum presently serves on the board of directors of Kinnate Biopharma Inc., Pardes Biosciences, Inc. and Fabric Genomics, Inc., among other companies. During the past five years, Dr. Tananbaum served on the boards of directors of Quantum -SI Incorporate, Gemini Therapeutics, Inc., 10X Genomics, Inc., among other companies. Dr. Tananbaum received an M.D. and an M.B.A. from Harvard University, and a B.S. and a B.S.E.E. from Yale University in Applied Math and Computer Science. We believe Dr. Tananbaum’s significant executive leadership experience and experience in the healthcare industry make him well qualified to serve as a member of our board of directors.</w:t>
      </w:r>
    </w:p>
    <w:p>
      <w:pPr>
        <w:spacing w:after="0" w:line="218"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b w:val="1"/>
          <w:bCs w:val="1"/>
          <w:i w:val="1"/>
          <w:iCs w:val="1"/>
          <w:color w:val="auto"/>
        </w:rPr>
        <w:t xml:space="preserve">Zhengbin (Bing) Yao, Ph.D. </w:t>
      </w:r>
      <w:r>
        <w:rPr>
          <w:rFonts w:ascii="Times New Roman" w:cs="Times New Roman" w:eastAsia="Times New Roman" w:hAnsi="Times New Roman"/>
          <w:sz w:val="12"/>
          <w:szCs w:val="12"/>
          <w:color w:val="auto"/>
        </w:rPr>
        <w:t>has served as a member of our board of directors since June 2021. From</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May 2021 to the present, Dr. Yao served as the Chief Executive Officer and chairman of the board of directors of ArriVent Biopharma, a biotechnology company. From March 2018 to March 2021, Dr. Yao served as the Chief Executive Officer, President, and from January 2019 to March 2021 also as chairman of the board of directors of Viela Bio, Inc., a biotechnology company, until it was acquired by Horizon Therapeutics in March 2021. From October 2010 to February 2018, Dr. Yao served as Senior Vice President, Head of Respiratory, Inflammation, Autoimmune iMED at MedImmune, the biologics division of AstraZeneca plc and from October 2015 to February 2018 also as Senior Vice President, Head of Immuno-Oncology Franchise. From March 2008 to September 2010, Dr. Yao served as Head of PTL for Immunology, Infectious Diseases, Neuroscience, and Metabolic Disease at Genentech, Inc., a biopharmaceutical company. From October 2000 to September 2007, Dr. Yao held various leadership roles at Tanox Inc., a biopharmaceutical company, and was Vice President and Head of Research before it was acquired by Genentech, Inc. in 2007. Dr. Yao currently serves on the board of directors of NexImmune, Inc., a biopharmaceutical company. Dr. Yao received his Ph.D. in Microbiology and Immunology from the University of Iowa and M.S. in Immunology from Anhui Medical University in Anhui, China. We believe Dr. Yao’s significant experience in the biopharmaceutical industry, particularly in autoimmune disease, and his experience serving as a chief executive officer of a publicly traded biotechnology company make him well qualified to serve as a member of our board of directors.</w:t>
      </w:r>
    </w:p>
    <w:p>
      <w:pPr>
        <w:spacing w:after="0" w:line="27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Composition of Our Board of Directors</w:t>
      </w:r>
    </w:p>
    <w:p>
      <w:pPr>
        <w:spacing w:after="0" w:line="111"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color w:val="auto"/>
        </w:rPr>
        <w:t>Our business and affairs are organized under the direction of our board of directors, which currently consists of seven members, including two vacancies. We expect to set the number of authorized directors on our board of directors to seven at the closing of this offering. The primary responsibilities of our board of directors are</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55" w:name="page156"/>
    <w:bookmarkEnd w:id="155"/>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to provide oversight, strategic guidance, counseling and direction to our management. Our board of directors meets on a regular basis and additionally as required.</w:t>
      </w:r>
    </w:p>
    <w:p>
      <w:pPr>
        <w:spacing w:after="0" w:line="59"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Certain members of our board of directors were elected under the provisions of our Amended and Restated Voting Agreement entered into in March 2024 (the Voting Agreement), which will terminate upon the closing of this offering. Under the terms of our Voting Agreement, the stockholders who are party to the Voting Agreement have agreed to vote their respective shares to elect: (i) one director designated by Matrix Capital Management Master Fund, LP and its affiliates, currently Alan Colowick, M.D., M.P.H.; (ii) one director designated by BBA and its affiliates; (iii) one director designated by Foresite Capital Fund V, L.P. and its affiliates (collectively Foresite Capital Management), currently James B. Tananbaum, M.D.; (iv) one director designated by venBio Global Strategic Fund Four, L.P. and its affiliates; (v) one director designated by Samsara BioCapital, LP, currently Srinivas Akkaraju M.D., Ph.D.; (vi) one director who shall be our then-current Chief Executive Officer, currently Martin Babler; and (vii) three directors who are not our employees or affiliates, with such individuals to be designated by mutual agreement of our board of directors, currently persons who are not otherwise our affiliates or of any investor who are mutually acceptable to a majority of the directors then-serving as members of our board of directors; which individuals currently are Zhengbin (Bing) Yao, Ph.D, Sapna Srivasta, Ph.D and one vacancy. The Voting Agreement will terminate upon the closing of this offering, and upon the closing of the offering no stockholder will have any special rights regarding the election or designation of the members of our board of directors. Our current directors elected pursuant to the Voting Agreement will continue to serve as directors until their successors are duly elected and qualified by holders of our common stock. Our board of directors may establish the authorized number of directors from time to time by resolution. In accordance with our amended and restated certificate of incorporation to be filed in connection with this offering, immediately after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205" w:lineRule="exact"/>
        <w:rPr>
          <w:sz w:val="20"/>
          <w:szCs w:val="20"/>
          <w:color w:val="auto"/>
        </w:rPr>
      </w:pPr>
    </w:p>
    <w:p>
      <w:pPr>
        <w:ind w:left="2080" w:right="1739" w:hanging="116"/>
        <w:spacing w:after="0" w:line="291" w:lineRule="auto"/>
        <w:tabs>
          <w:tab w:leader="none" w:pos="208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Class I directors will be Srinivas Akkaraju and Sapna Srivastava, and their terms will expire at the annual meeting of stockholders to be held in 2025;</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Class II directors will be James Tananbaum and Zhengbin Yao, and their terms will expire at the annual meeting of stockholders to be held in 2026; and</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Class III directors will be Martin Babler, Alan Colowick and Patrick Machado, and their terms will expire at the annual meeting of stockholders to be held in 2027.</w:t>
      </w:r>
    </w:p>
    <w:p>
      <w:pPr>
        <w:spacing w:after="0" w:line="59"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Director Independence</w:t>
      </w:r>
    </w:p>
    <w:p>
      <w:pPr>
        <w:spacing w:after="0" w:line="111" w:lineRule="exact"/>
        <w:rPr>
          <w:sz w:val="20"/>
          <w:szCs w:val="20"/>
          <w:color w:val="auto"/>
        </w:rPr>
      </w:pPr>
    </w:p>
    <w:p>
      <w:pPr>
        <w:jc w:val="both"/>
        <w:ind w:left="1720" w:right="1739"/>
        <w:spacing w:after="0" w:line="283" w:lineRule="auto"/>
        <w:rPr>
          <w:sz w:val="20"/>
          <w:szCs w:val="20"/>
          <w:color w:val="auto"/>
        </w:rPr>
      </w:pPr>
      <w:r>
        <w:rPr>
          <w:rFonts w:ascii="Times New Roman" w:cs="Times New Roman" w:eastAsia="Times New Roman" w:hAnsi="Times New Roman"/>
          <w:sz w:val="12"/>
          <w:szCs w:val="12"/>
          <w:color w:val="auto"/>
        </w:rPr>
        <w:t>Under the listing requirements and rules of The Nasdaq Stock Market LLC (Nasdaq Listing Rules) independent directors must comprise a majority of our board of directors as a listed company within one year of the listing date.</w:t>
      </w:r>
    </w:p>
    <w:p>
      <w:pPr>
        <w:spacing w:after="0" w:line="206"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Our board of directors has undertaken a review of the independence of each director. Based on information provided by each director concerning her or his background, employment and affiliations, including family relationships, our board of directors has determined that none of our directors, other than Martin Babler, has any relationship that would interfere with the exercise of independent judgment in carrying out the responsibilities of a director and that each of these directors is “independent” as that term is defined under the Nasdaq Listing Rules. Our board of directors has determined that Martin Babler, by virtue of his position as our Chairman and Chief Executive Officer, is not independent under applicable rules and regulations of the U.S. Securities and Exchange Commission (the SEC) and the Nasdaq Listing Rules. In making these determinations, our board of directors considered the current and prior relationships that each non-employee director has with our company and all other facts and circumstances our board of directors deemed relevant</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56" w:name="page157"/>
    <w:bookmarkEnd w:id="15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73" w:lineRule="auto"/>
        <w:rPr>
          <w:sz w:val="20"/>
          <w:szCs w:val="20"/>
          <w:color w:val="auto"/>
        </w:rPr>
      </w:pPr>
      <w:r>
        <w:rPr>
          <w:rFonts w:ascii="Times New Roman" w:cs="Times New Roman" w:eastAsia="Times New Roman" w:hAnsi="Times New Roman"/>
          <w:sz w:val="12"/>
          <w:szCs w:val="12"/>
          <w:color w:val="auto"/>
        </w:rPr>
        <w:t>in determining their independence, including the beneficial ownership of our shares by each non-employee director and the transactions described in the section titled “Certain Relationships and Related Person Transactions.”</w:t>
      </w:r>
    </w:p>
    <w:p>
      <w:pPr>
        <w:spacing w:after="0" w:line="2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Committees of Our Board of Directors</w:t>
      </w:r>
    </w:p>
    <w:p>
      <w:pPr>
        <w:spacing w:after="0" w:line="111"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Each committee intends to adopt a written charter that satisfies the application rules and regulation of the SEC and the Nasdaq Listing Rules, which we will post to our website at www.alumis.com upon the closing of this offering. Our board of directors may establish other committees as it deems necessary or appropriate from time to time.</w:t>
      </w:r>
    </w:p>
    <w:p>
      <w:pPr>
        <w:spacing w:after="0" w:line="1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Audit Committee</w:t>
      </w:r>
    </w:p>
    <w:p>
      <w:pPr>
        <w:spacing w:after="0" w:line="111"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Our audit committee currently consists of Srinivas Akkaraju, Alan Colowick, and Patrick Machado, each of whom our board of directors has determined satisfies the independence requirements under the Nasdaq Listing Rules and Rule 10A-3(b)(1) of the Securities Exchange Act of 1934, as amended (Exchange Act). The chair of our audit committee is Patrick Machado,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the board of directors has examined each audit committee member’s scope of experience and the nature of their employment in the corporate finance sector.</w:t>
      </w:r>
    </w:p>
    <w:p>
      <w:pPr>
        <w:spacing w:after="0" w:line="77"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The primary purpose of the audit committee is to discharge the responsibilities of our board of directors with respect to our corporate accounting and financial reporting processes, systems of internal control and financial-statement audits, and to oversee our independent registered accounting firm. Specific responsibilities of our audit committee include:</w:t>
      </w:r>
    </w:p>
    <w:p>
      <w:pPr>
        <w:spacing w:after="0" w:line="43" w:lineRule="exact"/>
        <w:rPr>
          <w:sz w:val="20"/>
          <w:szCs w:val="20"/>
          <w:color w:val="auto"/>
        </w:rPr>
      </w:pPr>
    </w:p>
    <w:p>
      <w:pPr>
        <w:ind w:left="2080" w:hanging="116"/>
        <w:spacing w:after="0"/>
        <w:tabs>
          <w:tab w:leader="none" w:pos="208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helping our board of directors oversee our corporate accounting and financial reporting processes;</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managing the selection, engagement, qualifications, independence and performance of a qualified firm to serve as the independent registered public accounting firm to audit our financial statements;</w:t>
      </w:r>
    </w:p>
    <w:p>
      <w:pPr>
        <w:spacing w:after="0" w:line="31" w:lineRule="exact"/>
        <w:rPr>
          <w:rFonts w:ascii="Times New Roman" w:cs="Times New Roman" w:eastAsia="Times New Roman" w:hAnsi="Times New Roman"/>
          <w:sz w:val="12"/>
          <w:szCs w:val="12"/>
          <w:color w:val="auto"/>
        </w:rPr>
      </w:pPr>
    </w:p>
    <w:p>
      <w:pPr>
        <w:jc w:val="both"/>
        <w:ind w:left="2080" w:right="1739" w:hanging="116"/>
        <w:spacing w:after="0" w:line="283" w:lineRule="auto"/>
        <w:tabs>
          <w:tab w:leader="none" w:pos="208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discussing the scope and results of the audit with the independent registered public accounting firm, and reviewing, with management and the independent accountants, our interim and year-end operating results;</w:t>
      </w:r>
    </w:p>
    <w:p>
      <w:pPr>
        <w:spacing w:after="0" w:line="187"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developing procedures for employees to submit concerns anonymously about questionable accounting or audit matters;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related person transactions;</w:t>
      </w:r>
    </w:p>
    <w:p>
      <w:pPr>
        <w:spacing w:after="0" w:line="81"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4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approving, or, as permitted, pre-approving, audit and permissible non-audit services to be performed by the independent registered public accounting firm.</w:t>
      </w:r>
    </w:p>
    <w:p>
      <w:pPr>
        <w:spacing w:after="0" w:line="10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Compensation Committee</w:t>
      </w:r>
    </w:p>
    <w:p>
      <w:pPr>
        <w:spacing w:after="0" w:line="102"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Our compensation committee currently consists of Alan Colowick, James Tananbaum, and Zhengbin Yao. The chair of our compensation committee is Alan Colowick. Our board of directors has determined that each member of our compensation committee is independent under the Nasdaq Listing Rules.</w:t>
      </w:r>
    </w:p>
    <w:p>
      <w:pPr>
        <w:spacing w:after="0" w:line="67"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The primary purpose of our compensation committee is to discharge the responsibilities of our board of directors in overseeing our compensation policies, plans and programs and to review and determine the compensation to be paid to our executive officers and directors. Specific responsibilities of our compensation committee include:</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57" w:name="page158"/>
    <w:bookmarkEnd w:id="15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ind w:left="2080" w:right="1739" w:hanging="116"/>
        <w:spacing w:after="0" w:line="291" w:lineRule="auto"/>
        <w:tabs>
          <w:tab w:leader="none" w:pos="208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approving the compensation of our chief executive officer, other executive officers and senior management;</w:t>
      </w:r>
    </w:p>
    <w:p>
      <w:pPr>
        <w:spacing w:after="0" w:line="22"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recommending to our board of directors the compensation paid to our directors;</w:t>
      </w:r>
    </w:p>
    <w:p>
      <w:pPr>
        <w:spacing w:after="0" w:line="72"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approving the compensation arrangements with our executive officers and other senior management;</w:t>
      </w:r>
    </w:p>
    <w:p>
      <w:pPr>
        <w:spacing w:after="0" w:line="13"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administering our equity incentive plans and other benefit programs;</w:t>
      </w:r>
    </w:p>
    <w:p>
      <w:pPr>
        <w:spacing w:after="0" w:line="72"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spacing w:after="0" w:line="34"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evaluating and recommending to our board of directors succession plans for our executive officers; and</w:t>
      </w:r>
    </w:p>
    <w:p>
      <w:pPr>
        <w:spacing w:after="0" w:line="13" w:lineRule="exact"/>
        <w:rPr>
          <w:rFonts w:ascii="Times New Roman" w:cs="Times New Roman" w:eastAsia="Times New Roman" w:hAnsi="Times New Roman"/>
          <w:sz w:val="12"/>
          <w:szCs w:val="12"/>
          <w:color w:val="auto"/>
        </w:rPr>
      </w:pPr>
    </w:p>
    <w:p>
      <w:pPr>
        <w:jc w:val="both"/>
        <w:ind w:left="2080" w:right="1739" w:hanging="116"/>
        <w:spacing w:after="0" w:line="265" w:lineRule="auto"/>
        <w:tabs>
          <w:tab w:leader="none" w:pos="208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establishing general policies relating to compensation and benefits of our employees, including our overall compensation strategy, including base salary, incentive compensation and equity based grants, to assure that it promotes stockholder interests and supports our strategic and tactical objectives, and that it provides for appropriate rewards and incentives for our management and employees.</w:t>
      </w:r>
    </w:p>
    <w:p>
      <w:pPr>
        <w:spacing w:after="0" w:line="26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Nominating and Corporate Governance Committee</w:t>
      </w:r>
    </w:p>
    <w:p>
      <w:pPr>
        <w:spacing w:after="0" w:line="111"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Our nominating and corporate governance committee consists of Patrick Machado and Sapna Srivastava. The chair of our nominating and corporate governance committee is Sapna Srivastava. Our board of directors has determined that each member of the nominating and corporate governance committee is independent under the Nasdaq Listing Rules.</w:t>
      </w:r>
    </w:p>
    <w:p>
      <w:pPr>
        <w:spacing w:after="0" w:line="7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Specific responsibilities of our nominating and corporate governance committee include:</w:t>
      </w:r>
    </w:p>
    <w:p>
      <w:pPr>
        <w:spacing w:after="0" w:line="82" w:lineRule="exact"/>
        <w:rPr>
          <w:sz w:val="20"/>
          <w:szCs w:val="20"/>
          <w:color w:val="auto"/>
        </w:rPr>
      </w:pPr>
    </w:p>
    <w:p>
      <w:pPr>
        <w:ind w:left="2080" w:right="1739" w:hanging="116"/>
        <w:spacing w:after="0" w:line="291" w:lineRule="auto"/>
        <w:tabs>
          <w:tab w:leader="none" w:pos="208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identifying and evaluating candidates, including the nomination of incumbent directors for reelection and nominees recommended by stockholders, to serve on our board of directors;</w:t>
      </w:r>
    </w:p>
    <w:p>
      <w:pPr>
        <w:spacing w:after="0" w:line="1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considering and making recommendations to our board of directors regarding the composition and chairmanship of the committees of our board of directors;</w:t>
      </w:r>
    </w:p>
    <w:p>
      <w:pPr>
        <w:spacing w:after="0" w:line="22"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instituting plans or programs for the continuing education of our board of directors and orientation of new directors;</w:t>
      </w:r>
    </w:p>
    <w:p>
      <w:pPr>
        <w:spacing w:after="0" w:line="22"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developing and making recommendations to our board of directors regarding corporate governance guidelines and matters; and</w:t>
      </w:r>
    </w:p>
    <w:p>
      <w:pPr>
        <w:spacing w:after="0" w:line="1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overseeing periodic evaluations of the board of directors’ performance, including committees of the board of directors and management.</w:t>
      </w:r>
    </w:p>
    <w:p>
      <w:pPr>
        <w:spacing w:after="0" w:line="10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Code of Business Conduct and Ethics</w:t>
      </w:r>
    </w:p>
    <w:p>
      <w:pPr>
        <w:spacing w:after="0" w:line="111"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In connection with this offering, we intend to adopt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will be posted on our website at www.alumis.com upon the closing of this offering.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prospectus, and the inclusion of our website address in this prospectus is only an inactive textual reference.</w:t>
      </w:r>
    </w:p>
    <w:p>
      <w:pPr>
        <w:spacing w:after="0" w:line="2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Compensation Committee Interlocks and Insider Participation</w:t>
      </w:r>
    </w:p>
    <w:p>
      <w:pPr>
        <w:spacing w:after="0" w:line="111" w:lineRule="exact"/>
        <w:rPr>
          <w:sz w:val="20"/>
          <w:szCs w:val="20"/>
          <w:color w:val="auto"/>
        </w:rPr>
      </w:pPr>
    </w:p>
    <w:p>
      <w:pPr>
        <w:jc w:val="both"/>
        <w:ind w:left="1720" w:right="1739"/>
        <w:spacing w:after="0" w:line="273" w:lineRule="auto"/>
        <w:rPr>
          <w:sz w:val="20"/>
          <w:szCs w:val="20"/>
          <w:color w:val="auto"/>
        </w:rPr>
      </w:pPr>
      <w:r>
        <w:rPr>
          <w:rFonts w:ascii="Times New Roman" w:cs="Times New Roman" w:eastAsia="Times New Roman" w:hAnsi="Times New Roman"/>
          <w:sz w:val="12"/>
          <w:szCs w:val="12"/>
          <w:color w:val="auto"/>
        </w:rPr>
        <w:t>None of the members of the compensation committee is currently, or has been at any time, one of our executive officers or employees. None of our executive officers currently serves, or has served during the last calendar</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58" w:name="page159"/>
    <w:bookmarkEnd w:id="15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ind w:left="1720" w:right="1739"/>
        <w:spacing w:after="0" w:line="291" w:lineRule="auto"/>
        <w:rPr>
          <w:sz w:val="20"/>
          <w:szCs w:val="20"/>
          <w:color w:val="auto"/>
        </w:rPr>
      </w:pPr>
      <w:r>
        <w:rPr>
          <w:rFonts w:ascii="Times New Roman" w:cs="Times New Roman" w:eastAsia="Times New Roman" w:hAnsi="Times New Roman"/>
          <w:sz w:val="12"/>
          <w:szCs w:val="12"/>
          <w:color w:val="auto"/>
        </w:rPr>
        <w:t>year, as a member of the board of directors or compensation committee of any entity that has one or more executive officers serving as a member of our board of directors or compensation committee.</w:t>
      </w:r>
    </w:p>
    <w:p>
      <w:pPr>
        <w:spacing w:after="0" w:line="10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Non-Employee Director Compensation</w:t>
      </w:r>
    </w:p>
    <w:p>
      <w:pPr>
        <w:spacing w:after="0" w:line="111" w:lineRule="exact"/>
        <w:rPr>
          <w:sz w:val="20"/>
          <w:szCs w:val="20"/>
          <w:color w:val="auto"/>
        </w:rPr>
      </w:pPr>
    </w:p>
    <w:p>
      <w:pPr>
        <w:ind w:left="1720" w:right="1739"/>
        <w:spacing w:after="0" w:line="291" w:lineRule="auto"/>
        <w:rPr>
          <w:sz w:val="20"/>
          <w:szCs w:val="20"/>
          <w:color w:val="auto"/>
        </w:rPr>
      </w:pPr>
      <w:r>
        <w:rPr>
          <w:rFonts w:ascii="Times New Roman" w:cs="Times New Roman" w:eastAsia="Times New Roman" w:hAnsi="Times New Roman"/>
          <w:sz w:val="12"/>
          <w:szCs w:val="12"/>
          <w:color w:val="auto"/>
        </w:rPr>
        <w:t>The following table presents the compensation awarded to or earned by or paid to all individuals who served as non-employee directors during the year ended December 31, 2023.</w:t>
      </w:r>
    </w:p>
    <w:p>
      <w:pPr>
        <w:spacing w:after="0" w:line="69"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2"/>
              </w:rPr>
              <w:t>Fees Earned or</w:t>
            </w:r>
          </w:p>
        </w:tc>
        <w:tc>
          <w:tcPr>
            <w:tcW w:w="140" w:type="dxa"/>
            <w:vAlign w:val="bottom"/>
          </w:tcPr>
          <w:p>
            <w:pPr>
              <w:spacing w:after="0"/>
              <w:rPr>
                <w:sz w:val="10"/>
                <w:szCs w:val="10"/>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Option</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0"/>
        </w:trPr>
        <w:tc>
          <w:tcPr>
            <w:tcW w:w="2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jc w:val="right"/>
              <w:ind w:right="24"/>
              <w:spacing w:after="0" w:line="110" w:lineRule="exact"/>
              <w:rPr>
                <w:sz w:val="20"/>
                <w:szCs w:val="20"/>
                <w:color w:val="auto"/>
              </w:rPr>
            </w:pPr>
            <w:r>
              <w:rPr>
                <w:rFonts w:ascii="Times New Roman" w:cs="Times New Roman" w:eastAsia="Times New Roman" w:hAnsi="Times New Roman"/>
                <w:sz w:val="10"/>
                <w:szCs w:val="10"/>
                <w:b w:val="1"/>
                <w:bCs w:val="1"/>
                <w:color w:val="auto"/>
                <w:w w:val="99"/>
              </w:rPr>
              <w:t>Paid in Cash</w:t>
            </w:r>
          </w:p>
        </w:tc>
        <w:tc>
          <w:tcPr>
            <w:tcW w:w="140" w:type="dxa"/>
            <w:vAlign w:val="bottom"/>
          </w:tcPr>
          <w:p>
            <w:pPr>
              <w:spacing w:after="0"/>
              <w:rPr>
                <w:sz w:val="9"/>
                <w:szCs w:val="9"/>
                <w:color w:val="auto"/>
              </w:rPr>
            </w:pPr>
          </w:p>
        </w:tc>
        <w:tc>
          <w:tcPr>
            <w:tcW w:w="34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160" w:type="dxa"/>
            <w:vAlign w:val="bottom"/>
          </w:tcPr>
          <w:p>
            <w:pPr>
              <w:spacing w:after="0"/>
              <w:rPr>
                <w:sz w:val="9"/>
                <w:szCs w:val="9"/>
                <w:color w:val="auto"/>
              </w:rPr>
            </w:pPr>
          </w:p>
        </w:tc>
        <w:tc>
          <w:tcPr>
            <w:tcW w:w="26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0"/>
                <w:szCs w:val="10"/>
                <w:b w:val="1"/>
                <w:bCs w:val="1"/>
                <w:color w:val="auto"/>
                <w:w w:val="78"/>
              </w:rPr>
              <w:t>Total</w:t>
            </w:r>
          </w:p>
        </w:tc>
      </w:tr>
      <w:tr>
        <w:trPr>
          <w:trHeight w:val="145"/>
        </w:trPr>
        <w:tc>
          <w:tcPr>
            <w:tcW w:w="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87"/>
              </w:rPr>
              <w:t>Name</w:t>
            </w:r>
          </w:p>
        </w:tc>
        <w:tc>
          <w:tcPr>
            <w:tcW w:w="2500" w:type="dxa"/>
            <w:vAlign w:val="bottom"/>
          </w:tcPr>
          <w:p>
            <w:pPr>
              <w:spacing w:after="0"/>
              <w:rPr>
                <w:sz w:val="12"/>
                <w:szCs w:val="12"/>
                <w:color w:val="auto"/>
              </w:rPr>
            </w:pPr>
          </w:p>
        </w:tc>
        <w:tc>
          <w:tcPr>
            <w:tcW w:w="1320" w:type="dxa"/>
            <w:vAlign w:val="bottom"/>
          </w:tcPr>
          <w:p>
            <w:pPr>
              <w:ind w:left="1220"/>
              <w:spacing w:after="0"/>
              <w:rPr>
                <w:sz w:val="20"/>
                <w:szCs w:val="20"/>
                <w:color w:val="auto"/>
              </w:rPr>
            </w:pPr>
            <w:r>
              <w:rPr>
                <w:rFonts w:ascii="Times New Roman" w:cs="Times New Roman" w:eastAsia="Times New Roman" w:hAnsi="Times New Roman"/>
                <w:sz w:val="10"/>
                <w:szCs w:val="10"/>
                <w:b w:val="1"/>
                <w:bCs w:val="1"/>
                <w:color w:val="auto"/>
              </w:rPr>
              <w:t>​ ​</w:t>
            </w:r>
          </w:p>
        </w:tc>
        <w:tc>
          <w:tcPr>
            <w:tcW w:w="640" w:type="dxa"/>
            <w:vAlign w:val="bottom"/>
          </w:tcPr>
          <w:p>
            <w:pPr>
              <w:jc w:val="right"/>
              <w:ind w:right="204"/>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3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2"/>
                <w:szCs w:val="12"/>
                <w:b w:val="1"/>
                <w:bCs w:val="1"/>
                <w:color w:val="auto"/>
                <w:w w:val="85"/>
                <w:vertAlign w:val="superscript"/>
              </w:rPr>
              <w:t>(1)</w:t>
            </w:r>
          </w:p>
        </w:tc>
        <w:tc>
          <w:tcPr>
            <w:tcW w:w="42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9"/>
                <w:szCs w:val="9"/>
                <w:b w:val="1"/>
                <w:bCs w:val="1"/>
                <w:color w:val="auto"/>
              </w:rPr>
              <w:t xml:space="preserve">​ ​  </w:t>
            </w:r>
            <w:r>
              <w:rPr>
                <w:rFonts w:ascii="Times New Roman" w:cs="Times New Roman" w:eastAsia="Times New Roman" w:hAnsi="Times New Roman"/>
                <w:sz w:val="16"/>
                <w:szCs w:val="16"/>
                <w:b w:val="1"/>
                <w:bCs w:val="1"/>
                <w:color w:val="auto"/>
                <w:vertAlign w:val="superscript"/>
              </w:rPr>
              <w:t>($)</w:t>
            </w:r>
            <w:r>
              <w:rPr>
                <w:rFonts w:ascii="Times New Roman" w:cs="Times New Roman" w:eastAsia="Times New Roman" w:hAnsi="Times New Roman"/>
                <w:sz w:val="9"/>
                <w:szCs w:val="9"/>
                <w:b w:val="1"/>
                <w:bCs w:val="1"/>
                <w:color w:val="auto"/>
              </w:rPr>
              <w:t xml:space="preserve"> ​</w:t>
            </w:r>
          </w:p>
        </w:tc>
      </w:tr>
      <w:tr>
        <w:trPr>
          <w:trHeight w:val="20"/>
        </w:trPr>
        <w:tc>
          <w:tcPr>
            <w:tcW w:w="240" w:type="dxa"/>
            <w:vAlign w:val="bottom"/>
            <w:shd w:val="clear" w:color="auto" w:fill="000000"/>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Julian C. Baker</w:t>
            </w:r>
            <w:r>
              <w:rPr>
                <w:rFonts w:ascii="Times New Roman" w:cs="Times New Roman" w:eastAsia="Times New Roman" w:hAnsi="Times New Roman"/>
                <w:sz w:val="15"/>
                <w:szCs w:val="15"/>
                <w:color w:val="auto"/>
                <w:vertAlign w:val="superscript"/>
              </w:rPr>
              <w:t>(2)</w:t>
            </w:r>
          </w:p>
        </w:tc>
        <w:tc>
          <w:tcPr>
            <w:tcW w:w="13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tcBorders>
              <w:right w:val="single" w:sz="8" w:color="CCEEFF"/>
            </w:tcBorders>
            <w:shd w:val="clear" w:color="auto" w:fill="CCEEFF"/>
          </w:tcPr>
          <w:p>
            <w:pPr>
              <w:jc w:val="right"/>
              <w:ind w:right="204"/>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 ​ ​—</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Alan Colowick, M.D., M.P.H.</w:t>
            </w:r>
          </w:p>
        </w:tc>
        <w:tc>
          <w:tcPr>
            <w:tcW w:w="1320" w:type="dxa"/>
            <w:vAlign w:val="bottom"/>
          </w:tcPr>
          <w:p>
            <w:pPr>
              <w:ind w:left="122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tcPr>
          <w:p>
            <w:pPr>
              <w:jc w:val="right"/>
              <w:ind w:right="204"/>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xml:space="preserve">​ ​ ​ ​— </w:t>
            </w:r>
            <w:r>
              <w:rPr>
                <w:rFonts w:ascii="Times New Roman" w:cs="Times New Roman" w:eastAsia="Times New Roman" w:hAnsi="Times New Roman"/>
                <w:sz w:val="12"/>
                <w:szCs w:val="12"/>
                <w:b w:val="1"/>
                <w:bCs w:val="1"/>
                <w:color w:val="auto"/>
              </w:rPr>
              <w:t>​</w:t>
            </w:r>
          </w:p>
        </w:tc>
      </w:tr>
      <w:tr>
        <w:trPr>
          <w:trHeight w:val="174"/>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Sapna Srivastava, Ph.D</w:t>
            </w:r>
          </w:p>
        </w:tc>
        <w:tc>
          <w:tcPr>
            <w:tcW w:w="13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tcBorders>
              <w:right w:val="single" w:sz="8" w:color="CCEEFF"/>
            </w:tcBorders>
            <w:shd w:val="clear" w:color="auto" w:fill="CCEEFF"/>
          </w:tcPr>
          <w:p>
            <w:pPr>
              <w:jc w:val="right"/>
              <w:ind w:right="204"/>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 ​ ​—</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James B. Tananbaum, M.D.</w:t>
            </w:r>
          </w:p>
        </w:tc>
        <w:tc>
          <w:tcPr>
            <w:tcW w:w="1320" w:type="dxa"/>
            <w:vAlign w:val="bottom"/>
          </w:tcPr>
          <w:p>
            <w:pPr>
              <w:ind w:left="122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tcPr>
          <w:p>
            <w:pPr>
              <w:jc w:val="right"/>
              <w:ind w:right="204"/>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xml:space="preserve">​ ​ ​ ​— </w:t>
            </w:r>
            <w:r>
              <w:rPr>
                <w:rFonts w:ascii="Times New Roman" w:cs="Times New Roman" w:eastAsia="Times New Roman" w:hAnsi="Times New Roman"/>
                <w:sz w:val="12"/>
                <w:szCs w:val="12"/>
                <w:b w:val="1"/>
                <w:bCs w:val="1"/>
                <w:color w:val="auto"/>
              </w:rPr>
              <w:t>​</w:t>
            </w:r>
          </w:p>
        </w:tc>
      </w:tr>
      <w:tr>
        <w:trPr>
          <w:trHeight w:val="174"/>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Zhengbin Yao, Ph.D.</w:t>
            </w:r>
          </w:p>
        </w:tc>
        <w:tc>
          <w:tcPr>
            <w:tcW w:w="13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tcBorders>
              <w:right w:val="single" w:sz="8" w:color="CCEEFF"/>
            </w:tcBorders>
            <w:shd w:val="clear" w:color="auto" w:fill="CCEEFF"/>
          </w:tcPr>
          <w:p>
            <w:pPr>
              <w:jc w:val="right"/>
              <w:ind w:right="204"/>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 ​ ​—</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86995</wp:posOffset>
            </wp:positionV>
            <wp:extent cx="37211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194" w:lineRule="exact"/>
        <w:rPr>
          <w:sz w:val="20"/>
          <w:szCs w:val="20"/>
          <w:color w:val="auto"/>
        </w:rPr>
      </w:pPr>
    </w:p>
    <w:p>
      <w:pPr>
        <w:jc w:val="both"/>
        <w:ind w:left="1960" w:right="1739" w:hanging="240"/>
        <w:spacing w:after="0" w:line="235" w:lineRule="auto"/>
        <w:tabs>
          <w:tab w:leader="none" w:pos="1960" w:val="left"/>
        </w:tabs>
        <w:numPr>
          <w:ilvl w:val="0"/>
          <w:numId w:val="8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As of December 31, 2023, the aggregate number of shares underlying outstanding options to purchase shares of our Class A common stock held by our non-employee directors were: Dr. Srivastava, 29,946, and Dr. Yao, 4,278. None of our other non-employee directors held options to purchase shares of our Class A common stock as of December 31, 2023. With the exception of Dr. Yao, who held 3,921 shares of our Class A common stock subject to repurchase, none of our other non-employee directors held unvested stock awards as of December 31, 2023.</w:t>
      </w:r>
    </w:p>
    <w:p>
      <w:pPr>
        <w:spacing w:after="0" w:line="32" w:lineRule="exact"/>
        <w:rPr>
          <w:rFonts w:ascii="Times New Roman" w:cs="Times New Roman" w:eastAsia="Times New Roman" w:hAnsi="Times New Roman"/>
          <w:sz w:val="10"/>
          <w:szCs w:val="10"/>
          <w:color w:val="auto"/>
        </w:rPr>
      </w:pPr>
    </w:p>
    <w:p>
      <w:pPr>
        <w:ind w:left="1960" w:hanging="240"/>
        <w:spacing w:after="0"/>
        <w:tabs>
          <w:tab w:leader="none" w:pos="1960" w:val="left"/>
        </w:tabs>
        <w:numPr>
          <w:ilvl w:val="0"/>
          <w:numId w:val="8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Baker resigned from our board of directors effective June 7, 2024.</w:t>
      </w:r>
    </w:p>
    <w:p>
      <w:pPr>
        <w:spacing w:after="0" w:line="97"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Mr. Babler also served on our board of directors during the year ended December 31, 2023, but did not receive any additional compensation for his service as a director. See the section titled “Executive Compensation” for more information regarding the compensation earned by Mr. Babler.</w:t>
      </w:r>
    </w:p>
    <w:p>
      <w:pPr>
        <w:spacing w:after="0" w:line="71"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We have reimbursed and will continue to reimburse all of our non-employee directors for their reasonable out-of-pocket expenses incurred in attending board of directors and committee meetings.</w:t>
      </w:r>
    </w:p>
    <w:p>
      <w:pPr>
        <w:spacing w:after="0" w:line="50"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We intend to adopt a non-employee director compensation policy, pursuant to which our non-employee directors will be eligible to receive compensation for service on our board of directors and committees of our board of directors, to be effective following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59" w:name="page160"/>
    <w:bookmarkEnd w:id="159"/>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2"/>
          <w:szCs w:val="12"/>
          <w:b w:val="1"/>
          <w:bCs w:val="1"/>
          <w:color w:val="auto"/>
        </w:rPr>
        <w:t>EXECUTIVE COMPENSATION</w:t>
      </w:r>
    </w:p>
    <w:p>
      <w:pPr>
        <w:spacing w:after="0" w:line="1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Our named executive officers for the year ended December 31, 2023 were:</w:t>
      </w:r>
    </w:p>
    <w:p>
      <w:pPr>
        <w:spacing w:after="0" w:line="82" w:lineRule="exact"/>
        <w:rPr>
          <w:sz w:val="20"/>
          <w:szCs w:val="20"/>
          <w:color w:val="auto"/>
        </w:rPr>
      </w:pPr>
    </w:p>
    <w:p>
      <w:pPr>
        <w:ind w:left="2080" w:hanging="116"/>
        <w:spacing w:after="0"/>
        <w:tabs>
          <w:tab w:leader="none" w:pos="208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Martin Babler, our President, Chief Executive Officer and Chairman of the Board;</w:t>
      </w:r>
    </w:p>
    <w:p>
      <w:pPr>
        <w:spacing w:after="0" w:line="72"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David Goldstein, Ph.D., our Chief Scientific Officer; and</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Roy Hardiman, our Chief Business and Legal Officer.</w:t>
      </w:r>
    </w:p>
    <w:p>
      <w:pPr>
        <w:spacing w:after="0" w:line="109"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This discussion may contain forward-looking statements that are based on our current plans, considerations, expectations, and determinations regarding future compensation programs. Actual compensation programs that we adopt following the closing of this offering may differ materially from the currently planned programs summarized in this discussion.</w:t>
      </w:r>
    </w:p>
    <w:p>
      <w:pPr>
        <w:spacing w:after="0" w:line="11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Emerging Growth Company Status</w:t>
      </w:r>
    </w:p>
    <w:p>
      <w:pPr>
        <w:spacing w:after="0" w:line="111"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We are an “emerging growth company,” as defined in the JOBS Act. As an emerging growth company we will be exempt from certain requirements related to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 (the “Dodd-Frank Act”).</w:t>
      </w:r>
    </w:p>
    <w:p>
      <w:pPr>
        <w:spacing w:after="0" w:line="12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Summary Compensation Table</w:t>
      </w:r>
    </w:p>
    <w:p>
      <w:pPr>
        <w:spacing w:after="0" w:line="102"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The following table presents the compensation awarded to or earned by our named executive officers during the year ended December 31, 2023.</w:t>
      </w:r>
    </w:p>
    <w:p>
      <w:pPr>
        <w:spacing w:after="0" w:line="60"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Non-Equity</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0"/>
        </w:trPr>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center"/>
              <w:ind w:right="26"/>
              <w:spacing w:after="0" w:line="110" w:lineRule="exact"/>
              <w:rPr>
                <w:sz w:val="20"/>
                <w:szCs w:val="20"/>
                <w:color w:val="auto"/>
              </w:rPr>
            </w:pPr>
            <w:r>
              <w:rPr>
                <w:rFonts w:ascii="Times New Roman" w:cs="Times New Roman" w:eastAsia="Times New Roman" w:hAnsi="Times New Roman"/>
                <w:sz w:val="10"/>
                <w:szCs w:val="10"/>
                <w:b w:val="1"/>
                <w:bCs w:val="1"/>
                <w:color w:val="auto"/>
                <w:w w:val="93"/>
              </w:rPr>
              <w:t>Option</w:t>
            </w:r>
          </w:p>
        </w:tc>
        <w:tc>
          <w:tcPr>
            <w:tcW w:w="160" w:type="dxa"/>
            <w:vAlign w:val="bottom"/>
          </w:tcPr>
          <w:p>
            <w:pPr>
              <w:spacing w:after="0"/>
              <w:rPr>
                <w:sz w:val="9"/>
                <w:szCs w:val="9"/>
                <w:color w:val="auto"/>
              </w:rPr>
            </w:pPr>
          </w:p>
        </w:tc>
        <w:tc>
          <w:tcPr>
            <w:tcW w:w="58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Incentive Plan</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0"/>
        </w:trPr>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ind w:left="60"/>
              <w:spacing w:after="0" w:line="110" w:lineRule="exact"/>
              <w:rPr>
                <w:sz w:val="20"/>
                <w:szCs w:val="20"/>
                <w:color w:val="auto"/>
              </w:rPr>
            </w:pPr>
            <w:r>
              <w:rPr>
                <w:rFonts w:ascii="Times New Roman" w:cs="Times New Roman" w:eastAsia="Times New Roman" w:hAnsi="Times New Roman"/>
                <w:sz w:val="10"/>
                <w:szCs w:val="10"/>
                <w:b w:val="1"/>
                <w:bCs w:val="1"/>
                <w:color w:val="auto"/>
              </w:rPr>
              <w:t>Salary</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center"/>
              <w:ind w:right="6"/>
              <w:spacing w:after="0" w:line="110" w:lineRule="exact"/>
              <w:rPr>
                <w:sz w:val="20"/>
                <w:szCs w:val="20"/>
                <w:color w:val="auto"/>
              </w:rPr>
            </w:pPr>
            <w:r>
              <w:rPr>
                <w:rFonts w:ascii="Times New Roman" w:cs="Times New Roman" w:eastAsia="Times New Roman" w:hAnsi="Times New Roman"/>
                <w:sz w:val="10"/>
                <w:szCs w:val="10"/>
                <w:b w:val="1"/>
                <w:bCs w:val="1"/>
                <w:color w:val="auto"/>
                <w:w w:val="89"/>
              </w:rPr>
              <w:t>Awards</w:t>
            </w:r>
          </w:p>
        </w:tc>
        <w:tc>
          <w:tcPr>
            <w:tcW w:w="160" w:type="dxa"/>
            <w:vAlign w:val="bottom"/>
          </w:tcPr>
          <w:p>
            <w:pPr>
              <w:spacing w:after="0"/>
              <w:rPr>
                <w:sz w:val="9"/>
                <w:szCs w:val="9"/>
                <w:color w:val="auto"/>
              </w:rPr>
            </w:pPr>
          </w:p>
        </w:tc>
        <w:tc>
          <w:tcPr>
            <w:tcW w:w="58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3"/>
              </w:rPr>
              <w:t>Compensation</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7"/>
              </w:rPr>
              <w:t>Total</w:t>
            </w:r>
          </w:p>
        </w:tc>
        <w:tc>
          <w:tcPr>
            <w:tcW w:w="40" w:type="dxa"/>
            <w:vAlign w:val="bottom"/>
          </w:tcPr>
          <w:p>
            <w:pPr>
              <w:spacing w:after="0"/>
              <w:rPr>
                <w:sz w:val="9"/>
                <w:szCs w:val="9"/>
                <w:color w:val="auto"/>
              </w:rPr>
            </w:pPr>
          </w:p>
        </w:tc>
      </w:tr>
      <w:tr>
        <w:trPr>
          <w:trHeight w:val="145"/>
        </w:trPr>
        <w:tc>
          <w:tcPr>
            <w:tcW w:w="22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Name and Principal Position</w:t>
            </w:r>
          </w:p>
        </w:tc>
        <w:tc>
          <w:tcPr>
            <w:tcW w:w="1240" w:type="dxa"/>
            <w:vAlign w:val="bottom"/>
            <w:gridSpan w:val="4"/>
          </w:tcPr>
          <w:p>
            <w:pPr>
              <w:ind w:left="32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Year  </w:t>
            </w: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440" w:type="dxa"/>
            <w:vAlign w:val="bottom"/>
          </w:tcPr>
          <w:p>
            <w:pPr>
              <w:jc w:val="center"/>
              <w:ind w:right="6"/>
              <w:spacing w:after="0"/>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2"/>
                <w:szCs w:val="12"/>
                <w:b w:val="1"/>
                <w:bCs w:val="1"/>
                <w:color w:val="auto"/>
                <w:w w:val="85"/>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2"/>
                <w:szCs w:val="12"/>
                <w:b w:val="1"/>
                <w:bCs w:val="1"/>
                <w:color w:val="auto"/>
                <w:w w:val="85"/>
                <w:vertAlign w:val="superscript"/>
              </w:rPr>
              <w:t>(2)</w:t>
            </w:r>
          </w:p>
        </w:tc>
        <w:tc>
          <w:tcPr>
            <w:tcW w:w="20" w:type="dxa"/>
            <w:vAlign w:val="bottom"/>
          </w:tcPr>
          <w:p>
            <w:pPr>
              <w:spacing w:after="0"/>
              <w:rPr>
                <w:sz w:val="12"/>
                <w:szCs w:val="1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50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30"/>
        </w:trPr>
        <w:tc>
          <w:tcPr>
            <w:tcW w:w="1160" w:type="dxa"/>
            <w:vAlign w:val="bottom"/>
            <w:tcBorders>
              <w:top w:val="single" w:sz="8" w:color="auto"/>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Martin Babler</w:t>
            </w:r>
          </w:p>
        </w:tc>
        <w:tc>
          <w:tcPr>
            <w:tcW w:w="1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47"/>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President, Chief Executive Officer and</w:t>
            </w: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Director</w:t>
            </w:r>
          </w:p>
        </w:tc>
        <w:tc>
          <w:tcPr>
            <w:tcW w:w="204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2023​​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516,000​​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3,889,989​​ ​</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185,760</w:t>
            </w:r>
          </w:p>
        </w:tc>
        <w:tc>
          <w:tcPr>
            <w:tcW w:w="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4,591,749​</w:t>
            </w:r>
          </w:p>
        </w:tc>
        <w:tc>
          <w:tcPr>
            <w:tcW w:w="40" w:type="dxa"/>
            <w:vAlign w:val="bottom"/>
          </w:tcPr>
          <w:p>
            <w:pPr>
              <w:spacing w:after="0"/>
              <w:rPr>
                <w:sz w:val="14"/>
                <w:szCs w:val="14"/>
                <w:color w:val="auto"/>
              </w:rPr>
            </w:pPr>
          </w:p>
        </w:tc>
      </w:tr>
      <w:tr>
        <w:trPr>
          <w:trHeight w:val="150"/>
        </w:trPr>
        <w:tc>
          <w:tcPr>
            <w:tcW w:w="2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David Goldstein, Ph.D.</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0"/>
        </w:trPr>
        <w:tc>
          <w:tcPr>
            <w:tcW w:w="22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Chief Scientific Officer</w:t>
            </w:r>
          </w:p>
        </w:tc>
        <w:tc>
          <w:tcPr>
            <w:tcW w:w="1440" w:type="dxa"/>
            <w:vAlign w:val="bottom"/>
            <w:gridSpan w:val="6"/>
          </w:tcPr>
          <w:p>
            <w:pPr>
              <w:ind w:left="320"/>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2023​​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380,000​​ ​</w:t>
            </w:r>
            <w:r>
              <w:rPr>
                <w:rFonts w:ascii="Times New Roman" w:cs="Times New Roman" w:eastAsia="Times New Roman" w:hAnsi="Times New Roman"/>
                <w:sz w:val="12"/>
                <w:szCs w:val="12"/>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543,359​​ ​</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119,700</w:t>
            </w: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1,043,059​</w:t>
            </w:r>
          </w:p>
        </w:tc>
      </w:tr>
      <w:tr>
        <w:trPr>
          <w:trHeight w:val="150"/>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Roy Hardiman</w:t>
            </w: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Chief Business and Legal Officer</w:t>
            </w:r>
          </w:p>
        </w:tc>
        <w:tc>
          <w:tcPr>
            <w:tcW w:w="144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2023​​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380,000​​ ​</w:t>
            </w:r>
            <w:r>
              <w:rPr>
                <w:rFonts w:ascii="Times New Roman" w:cs="Times New Roman" w:eastAsia="Times New Roman" w:hAnsi="Times New Roman"/>
                <w:sz w:val="12"/>
                <w:szCs w:val="12"/>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543,359​​ ​</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119,700</w:t>
            </w:r>
          </w:p>
        </w:tc>
        <w:tc>
          <w:tcPr>
            <w:tcW w:w="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1,043,059​</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86995</wp:posOffset>
            </wp:positionV>
            <wp:extent cx="37211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194" w:lineRule="exact"/>
        <w:rPr>
          <w:sz w:val="20"/>
          <w:szCs w:val="20"/>
          <w:color w:val="auto"/>
        </w:rPr>
      </w:pPr>
    </w:p>
    <w:p>
      <w:pPr>
        <w:jc w:val="both"/>
        <w:ind w:left="1960" w:right="1739" w:hanging="240"/>
        <w:spacing w:after="0" w:line="235" w:lineRule="auto"/>
        <w:tabs>
          <w:tab w:leader="none" w:pos="1960" w:val="left"/>
        </w:tabs>
        <w:numPr>
          <w:ilvl w:val="0"/>
          <w:numId w:val="9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Amounts reflect the aggregate grant-date fair value of option awards granted during 2023 computed in accordance with FASB ASC Topic 718, rather than the actual economic value that may be realized by the named executive officer. See Note 11 to our consolidated financial statements included elsewhere in this prospectus for a discussion of the assumptions used in the calculation. All of the option awards were granted under the 2021 Plan, the terms of which plan are described in the subsection titled “—Equity Benefit Plans—2021 Stock Plan” below.</w:t>
      </w:r>
    </w:p>
    <w:p>
      <w:pPr>
        <w:spacing w:after="0" w:line="32" w:lineRule="exact"/>
        <w:rPr>
          <w:rFonts w:ascii="Times New Roman" w:cs="Times New Roman" w:eastAsia="Times New Roman" w:hAnsi="Times New Roman"/>
          <w:sz w:val="10"/>
          <w:szCs w:val="10"/>
          <w:color w:val="auto"/>
        </w:rPr>
      </w:pPr>
    </w:p>
    <w:p>
      <w:pPr>
        <w:jc w:val="both"/>
        <w:ind w:left="1960" w:right="1739" w:hanging="240"/>
        <w:spacing w:after="0" w:line="239" w:lineRule="auto"/>
        <w:tabs>
          <w:tab w:leader="none" w:pos="1960" w:val="left"/>
        </w:tabs>
        <w:numPr>
          <w:ilvl w:val="0"/>
          <w:numId w:val="9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amounts disclosed represent performance bonuses earned in 2023 and paid in 2024. For more information, see the description of the annual performance bonuses in the subsection titled “—Narrative to the Summary Compensation Table— Annual Performance Bonus Opportunity” below.</w:t>
      </w:r>
    </w:p>
    <w:p>
      <w:pPr>
        <w:spacing w:after="0" w:line="1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Narrative to the Summary Compensation Table</w:t>
      </w:r>
    </w:p>
    <w:p>
      <w:pPr>
        <w:spacing w:after="0" w:line="111"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Historically, our board of directors has been responsible for overseeing all aspects of our executive compensation programs. In making compensation determinations,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w:t>
      </w:r>
    </w:p>
    <w:p>
      <w:pPr>
        <w:spacing w:after="0" w:line="218"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Our board of directors has historically determined our executive officers’ compensation and has typically reviewed and discussed management’s proposed compensation with our chief executive officer for all</w:t>
      </w: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60" w:name="page161"/>
    <w:bookmarkEnd w:id="16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executives other than our chief executive officer. Based on those discussions and its discretion, our board of directors has then approved the compensation of each executive officer.</w:t>
      </w:r>
    </w:p>
    <w:p>
      <w:pPr>
        <w:spacing w:after="0" w:line="9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Annual Base Salary</w:t>
      </w:r>
    </w:p>
    <w:p>
      <w:pPr>
        <w:spacing w:after="0" w:line="111"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Base salaries for our executive officers are initially established through arm’s-length negotiations at the time of the executive officer’s hiring, taking into account such named executive officer’s qualifications, experience, the scope of his or her responsibilities and competitive market compensation paid by other companies for similar positions within the industry and geography. Base salaries are reviewed periodically, and adjusted from time to time to realign salaries with market levels after taking into account individual responsibilities, performance and experience.</w:t>
      </w:r>
    </w:p>
    <w:p>
      <w:pPr>
        <w:spacing w:after="0" w:line="7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The 2023 annual base salaries for our named executive officers are set forth in the table below.</w:t>
      </w:r>
    </w:p>
    <w:p>
      <w:pPr>
        <w:spacing w:after="0" w:line="128"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48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4"/>
              </w:rPr>
              <w:t>2023 Base</w:t>
            </w:r>
          </w:p>
        </w:tc>
      </w:tr>
      <w:tr>
        <w:trPr>
          <w:trHeight w:val="110"/>
        </w:trPr>
        <w:tc>
          <w:tcPr>
            <w:tcW w:w="240" w:type="dxa"/>
            <w:vAlign w:val="bottom"/>
          </w:tcPr>
          <w:p>
            <w:pPr>
              <w:spacing w:after="0"/>
              <w:rPr>
                <w:sz w:val="9"/>
                <w:szCs w:val="9"/>
                <w:color w:val="auto"/>
              </w:rPr>
            </w:pPr>
          </w:p>
        </w:tc>
        <w:tc>
          <w:tcPr>
            <w:tcW w:w="48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gridSpan w:val="2"/>
          </w:tcPr>
          <w:p>
            <w:pPr>
              <w:jc w:val="center"/>
              <w:ind w:right="60"/>
              <w:spacing w:after="0" w:line="110" w:lineRule="exact"/>
              <w:rPr>
                <w:sz w:val="20"/>
                <w:szCs w:val="20"/>
                <w:color w:val="auto"/>
              </w:rPr>
            </w:pPr>
            <w:r>
              <w:rPr>
                <w:rFonts w:ascii="Times New Roman" w:cs="Times New Roman" w:eastAsia="Times New Roman" w:hAnsi="Times New Roman"/>
                <w:sz w:val="10"/>
                <w:szCs w:val="10"/>
                <w:b w:val="1"/>
                <w:bCs w:val="1"/>
                <w:color w:val="auto"/>
                <w:w w:val="93"/>
              </w:rPr>
              <w:t>Salary</w:t>
            </w:r>
          </w:p>
        </w:tc>
      </w:tr>
      <w:tr>
        <w:trPr>
          <w:trHeight w:val="126"/>
        </w:trPr>
        <w:tc>
          <w:tcPr>
            <w:tcW w:w="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87"/>
              </w:rPr>
              <w:t>Name</w:t>
            </w:r>
          </w:p>
        </w:tc>
        <w:tc>
          <w:tcPr>
            <w:tcW w:w="4880" w:type="dxa"/>
            <w:vAlign w:val="bottom"/>
          </w:tcPr>
          <w:p>
            <w:pPr>
              <w:ind w:left="4760"/>
              <w:spacing w:after="0"/>
              <w:rPr>
                <w:sz w:val="20"/>
                <w:szCs w:val="20"/>
                <w:color w:val="auto"/>
              </w:rPr>
            </w:pPr>
            <w:r>
              <w:rPr>
                <w:rFonts w:ascii="Times New Roman" w:cs="Times New Roman" w:eastAsia="Times New Roman" w:hAnsi="Times New Roman"/>
                <w:sz w:val="10"/>
                <w:szCs w:val="10"/>
                <w:b w:val="1"/>
                <w:bCs w:val="1"/>
                <w:color w:val="auto"/>
              </w:rPr>
              <w:t>​ ​</w:t>
            </w:r>
          </w:p>
        </w:tc>
        <w:tc>
          <w:tcPr>
            <w:tcW w:w="40" w:type="dxa"/>
            <w:vAlign w:val="bottom"/>
          </w:tcPr>
          <w:p>
            <w:pPr>
              <w:spacing w:after="0"/>
              <w:rPr>
                <w:sz w:val="10"/>
                <w:szCs w:val="10"/>
                <w:color w:val="auto"/>
              </w:rPr>
            </w:pPr>
          </w:p>
        </w:tc>
        <w:tc>
          <w:tcPr>
            <w:tcW w:w="440" w:type="dxa"/>
            <w:vAlign w:val="bottom"/>
            <w:gridSpan w:val="2"/>
          </w:tcPr>
          <w:p>
            <w:pPr>
              <w:ind w:left="140"/>
              <w:spacing w:after="0" w:line="127" w:lineRule="exact"/>
              <w:rPr>
                <w:sz w:val="20"/>
                <w:szCs w:val="20"/>
                <w:color w:val="auto"/>
              </w:rPr>
            </w:pPr>
            <w:r>
              <w:rPr>
                <w:rFonts w:ascii="Times New Roman" w:cs="Times New Roman" w:eastAsia="Times New Roman" w:hAnsi="Times New Roman"/>
                <w:sz w:val="8"/>
                <w:szCs w:val="8"/>
                <w:b w:val="1"/>
                <w:bCs w:val="1"/>
                <w:color w:val="auto"/>
              </w:rPr>
              <w:t xml:space="preserve">($)   </w:t>
            </w:r>
            <w:r>
              <w:rPr>
                <w:rFonts w:ascii="Times New Roman" w:cs="Times New Roman" w:eastAsia="Times New Roman" w:hAnsi="Times New Roman"/>
                <w:sz w:val="14"/>
                <w:szCs w:val="14"/>
                <w:b w:val="1"/>
                <w:bCs w:val="1"/>
                <w:color w:val="auto"/>
                <w:vertAlign w:val="subscript"/>
              </w:rPr>
              <w:t>​</w:t>
            </w:r>
          </w:p>
        </w:tc>
      </w:tr>
      <w:tr>
        <w:trPr>
          <w:trHeight w:val="20"/>
        </w:trPr>
        <w:tc>
          <w:tcPr>
            <w:tcW w:w="24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1720" w:type="dxa"/>
        <w:tblCellMar>
          <w:top w:w="0" w:type="dxa"/>
          <w:left w:w="0" w:type="dxa"/>
          <w:bottom w:w="0" w:type="dxa"/>
          <w:right w:w="0" w:type="dxa"/>
        </w:tblCellMar>
      </w:tblPr>
      <w:tr>
        <w:trPr>
          <w:trHeight w:val="181"/>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Martin Babler</w:t>
            </w:r>
            <w:r>
              <w:rPr>
                <w:rFonts w:ascii="Times New Roman" w:cs="Times New Roman" w:eastAsia="Times New Roman" w:hAnsi="Times New Roman"/>
                <w:sz w:val="15"/>
                <w:szCs w:val="15"/>
                <w:color w:val="auto"/>
                <w:vertAlign w:val="superscript"/>
              </w:rPr>
              <w:t>(1)</w:t>
            </w:r>
          </w:p>
        </w:tc>
        <w:tc>
          <w:tcPr>
            <w:tcW w:w="240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516,000</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92"/>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David Goldstein, Ph.D.</w:t>
            </w:r>
            <w:r>
              <w:rPr>
                <w:rFonts w:ascii="Times New Roman" w:cs="Times New Roman" w:eastAsia="Times New Roman" w:hAnsi="Times New Roman"/>
                <w:sz w:val="15"/>
                <w:szCs w:val="15"/>
                <w:color w:val="auto"/>
                <w:vertAlign w:val="superscript"/>
              </w:rPr>
              <w:t>(2)</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380,000 </w:t>
            </w:r>
            <w:r>
              <w:rPr>
                <w:rFonts w:ascii="Times New Roman" w:cs="Times New Roman" w:eastAsia="Times New Roman" w:hAnsi="Times New Roman"/>
                <w:sz w:val="12"/>
                <w:szCs w:val="12"/>
                <w:b w:val="1"/>
                <w:bCs w:val="1"/>
                <w:color w:val="auto"/>
              </w:rPr>
              <w:t>​</w:t>
            </w:r>
          </w:p>
        </w:tc>
      </w:tr>
      <w:tr>
        <w:trPr>
          <w:trHeight w:val="19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Roy Hardiman</w:t>
            </w:r>
            <w:r>
              <w:rPr>
                <w:rFonts w:ascii="Times New Roman" w:cs="Times New Roman" w:eastAsia="Times New Roman" w:hAnsi="Times New Roman"/>
                <w:sz w:val="15"/>
                <w:szCs w:val="15"/>
                <w:color w:val="auto"/>
                <w:vertAlign w:val="superscript"/>
              </w:rPr>
              <w:t>(3)</w:t>
            </w:r>
          </w:p>
        </w:tc>
        <w:tc>
          <w:tcPr>
            <w:tcW w:w="240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380,000</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81280</wp:posOffset>
            </wp:positionV>
            <wp:extent cx="37211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185" w:lineRule="exact"/>
        <w:rPr>
          <w:sz w:val="20"/>
          <w:szCs w:val="20"/>
          <w:color w:val="auto"/>
        </w:rPr>
      </w:pPr>
    </w:p>
    <w:p>
      <w:pPr>
        <w:ind w:left="1720"/>
        <w:spacing w:after="0"/>
        <w:tabs>
          <w:tab w:leader="none" w:pos="1940" w:val="left"/>
        </w:tabs>
        <w:rPr>
          <w:sz w:val="20"/>
          <w:szCs w:val="20"/>
          <w:color w:val="auto"/>
        </w:rPr>
      </w:pPr>
      <w:r>
        <w:rPr>
          <w:rFonts w:ascii="Times New Roman" w:cs="Times New Roman" w:eastAsia="Times New Roman" w:hAnsi="Times New Roman"/>
          <w:sz w:val="10"/>
          <w:szCs w:val="10"/>
          <w:color w:val="auto"/>
        </w:rPr>
        <w:t>(1)</w:t>
        <w:tab/>
        <w:t>Mr. Babler’s base salary increased from $516,000 to $550,800 effective January 2024.</w:t>
      </w:r>
    </w:p>
    <w:p>
      <w:pPr>
        <w:spacing w:after="0" w:line="41" w:lineRule="exact"/>
        <w:rPr>
          <w:sz w:val="20"/>
          <w:szCs w:val="20"/>
          <w:color w:val="auto"/>
        </w:rPr>
      </w:pPr>
    </w:p>
    <w:p>
      <w:pPr>
        <w:ind w:left="1720"/>
        <w:spacing w:after="0"/>
        <w:tabs>
          <w:tab w:leader="none" w:pos="1940" w:val="left"/>
        </w:tabs>
        <w:rPr>
          <w:sz w:val="20"/>
          <w:szCs w:val="20"/>
          <w:color w:val="auto"/>
        </w:rPr>
      </w:pPr>
      <w:r>
        <w:rPr>
          <w:rFonts w:ascii="Times New Roman" w:cs="Times New Roman" w:eastAsia="Times New Roman" w:hAnsi="Times New Roman"/>
          <w:sz w:val="10"/>
          <w:szCs w:val="10"/>
          <w:color w:val="auto"/>
        </w:rPr>
        <w:t>(2)</w:t>
        <w:tab/>
        <w:t>Dr. Goldstein’s base salary increased from $380,000 to $424,400 effective January 2024.</w:t>
      </w:r>
    </w:p>
    <w:p>
      <w:pPr>
        <w:spacing w:after="0" w:line="41" w:lineRule="exact"/>
        <w:rPr>
          <w:sz w:val="20"/>
          <w:szCs w:val="20"/>
          <w:color w:val="auto"/>
        </w:rPr>
      </w:pPr>
    </w:p>
    <w:p>
      <w:pPr>
        <w:ind w:left="1720"/>
        <w:spacing w:after="0"/>
        <w:tabs>
          <w:tab w:leader="none" w:pos="1940" w:val="left"/>
        </w:tabs>
        <w:rPr>
          <w:sz w:val="20"/>
          <w:szCs w:val="20"/>
          <w:color w:val="auto"/>
        </w:rPr>
      </w:pPr>
      <w:r>
        <w:rPr>
          <w:rFonts w:ascii="Times New Roman" w:cs="Times New Roman" w:eastAsia="Times New Roman" w:hAnsi="Times New Roman"/>
          <w:sz w:val="10"/>
          <w:szCs w:val="10"/>
          <w:color w:val="auto"/>
        </w:rPr>
        <w:t>(3)</w:t>
        <w:tab/>
        <w:t>Mr. Hardiman’s base salary increased from $380,000 to $423,600 effective January 2024.</w:t>
      </w:r>
    </w:p>
    <w:p>
      <w:pPr>
        <w:spacing w:after="0" w:line="14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Annual Performance Bonus Opportunity</w:t>
      </w:r>
    </w:p>
    <w:p>
      <w:pPr>
        <w:spacing w:after="0" w:line="102"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Our executive officers are eligible to earn an annual incentive bonus of up to a percentage of such executive officer’s annual base salary, based on the achievement of pre-established performance objectives determined by our board of directors.</w:t>
      </w:r>
    </w:p>
    <w:p>
      <w:pPr>
        <w:spacing w:after="0" w:line="67"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For 2023, each of Mr. Babler, Dr. Goldstein and Mr. Hardiman was eligible to receive a target bonus equal to 40%, 35%, and 35% of their base salary, respectively, based on the achievement of certain corporate goals and the respective executive officer’s contributions toward such goals. In February 2024, our board of directors determined that the 2023 corporate goals were achieved at 90%. As a result, our board of directors approved annual performance bonuses for Mr. Babler, Dr. Goldstein and Mr. Hardiman in the amounts of $185,760, $119,700 and $ 119,700, respectively, as reported in the “Non-Equity Incentive Plan Compensation” column of the Summary Compensation Table above.</w:t>
      </w:r>
    </w:p>
    <w:p>
      <w:pPr>
        <w:spacing w:after="0" w:line="1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Equity-Based Incentive Awards</w:t>
      </w:r>
    </w:p>
    <w:p>
      <w:pPr>
        <w:spacing w:after="0" w:line="111"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Our equity award program is the primary vehicle for offering long-term incentives to our executive officers. We believe that equity awards provide our executives with a strong link to our long-term performance, create an ownership culture and help to align the interests of our executives and our stockholders. To date, we have used stock option grants and restricted stock awards for this purpose because we believe they are an effective means by which to align the long-term interests of our executive officers with those of our stockholders. We believe that our equity awards are an important retention tool for our executive officers, as well as for our other employees. Grants to our executive officers and other employees are made at the discretion of our board of directors and are not made at any specific time period during a year.</w:t>
      </w:r>
    </w:p>
    <w:p>
      <w:pPr>
        <w:spacing w:after="0" w:line="77"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In June 2023, we granted each of Mr. Babler, Dr. Goldstein and Mr. Hardiman an option to purchase 263,101 shares, 14,973 shares and 14,973 shares, respectively, of our Class A common stock. Each option has an exercise price of $10.61 per share and is subject to a four-year vesting schedule, with 25% of the shares vesting in May 2024 on the first anniversary of the vesting commencement date and the balance vesting monthly over 36 months thereafter, subject to the executive officer’s continued service with us. Additionally, in October 2023 we granted each of Mr. Babler, Dr. Goldstein and Mr. Hardiman an option to purchase 107,028 shares, 30,642 shares and 30,642 shares, respectively, of our Class A common stock. Each option has an exercise price of $17.44 per share and is subject to a four-year vesting schedule, with 25% of the shares vesting in October 2024</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61" w:name="page162"/>
    <w:bookmarkEnd w:id="161"/>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5" w:lineRule="auto"/>
        <w:rPr>
          <w:sz w:val="20"/>
          <w:szCs w:val="20"/>
          <w:color w:val="auto"/>
        </w:rPr>
      </w:pPr>
      <w:r>
        <w:rPr>
          <w:rFonts w:ascii="Times New Roman" w:cs="Times New Roman" w:eastAsia="Times New Roman" w:hAnsi="Times New Roman"/>
          <w:sz w:val="12"/>
          <w:szCs w:val="12"/>
          <w:color w:val="auto"/>
        </w:rPr>
        <w:t>on the first anniversary of the vesting commencement date and the balance vesting monthly over 36 months thereafter, subject to the executive officer’s continued service with us. The options granted to our named executive officers in 2023 are eligible for accelerated vesting under specified circumstances. Please see the subsection titled “—Potential Payments and Benefits upon Termination or Change in Control” below for a description of such potential acceleration.</w:t>
      </w:r>
    </w:p>
    <w:p>
      <w:pPr>
        <w:spacing w:after="0" w:line="1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March 2024 Option Repricing</w:t>
      </w:r>
    </w:p>
    <w:p>
      <w:pPr>
        <w:spacing w:after="0" w:line="111"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On March 29, 2024, our compensation committee approved a stock option repricing (the Option Repricing) in which the exercise price of certain outstanding and unexercised options to purchase shares of our common stock under our 2021 Plan was reduced to $8.84 per share, the fair market value per share of our common stock on the date of the Option Repricing. The Option Repricing included options granted pursuant to the 2021 Plan that were held by, among others, members of our board of directors and the Company’s named executive officers. After evaluating several alternatives, our compensation committee determined that the Option Repricing was in the best interests of our company and our stockholders and provided the most effective means of retaining and incentivizing our named executive officers while preserving cash resources and without incurring stock dilution from significant additional equity grants.</w:t>
      </w:r>
    </w:p>
    <w:p>
      <w:pPr>
        <w:spacing w:after="0" w:line="13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Outstanding Equity Awards as of December 31, 2023</w:t>
      </w:r>
    </w:p>
    <w:p>
      <w:pPr>
        <w:spacing w:after="0" w:line="102"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The following table presents the outstanding equity awards held by each named executive officer as of December 31, 2023.</w:t>
      </w:r>
    </w:p>
    <w:p>
      <w:pPr>
        <w:spacing w:after="0" w:line="55" w:lineRule="exact"/>
        <w:rPr>
          <w:sz w:val="20"/>
          <w:szCs w:val="20"/>
          <w:color w:val="auto"/>
        </w:rPr>
      </w:pPr>
    </w:p>
    <w:tbl>
      <w:tblPr>
        <w:tblLayout w:type="fixed"/>
        <w:tblInd w:w="1720" w:type="dxa"/>
        <w:tblCellMar>
          <w:top w:w="0" w:type="dxa"/>
          <w:left w:w="0" w:type="dxa"/>
          <w:bottom w:w="0" w:type="dxa"/>
          <w:right w:w="0" w:type="dxa"/>
        </w:tblCellMar>
      </w:tblPr>
      <w:tr>
        <w:trPr>
          <w:trHeight w:val="154"/>
        </w:trPr>
        <w:tc>
          <w:tcPr>
            <w:tcW w:w="13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 ​</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0"/>
                <w:szCs w:val="10"/>
                <w:b w:val="1"/>
                <w:bCs w:val="1"/>
                <w:color w:val="auto"/>
              </w:rPr>
              <w:t>Option Awards</w:t>
            </w:r>
            <w:r>
              <w:rPr>
                <w:rFonts w:ascii="Times New Roman" w:cs="Times New Roman" w:eastAsia="Times New Roman" w:hAnsi="Times New Roman"/>
                <w:sz w:val="12"/>
                <w:szCs w:val="12"/>
                <w:b w:val="1"/>
                <w:bCs w:val="1"/>
                <w:color w:val="auto"/>
                <w:vertAlign w:val="superscript"/>
              </w:rPr>
              <w:t>(1)</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0"/>
                <w:szCs w:val="10"/>
                <w:b w:val="1"/>
                <w:bCs w:val="1"/>
                <w:color w:val="auto"/>
              </w:rPr>
              <w:t>Stock Awards</w:t>
            </w:r>
            <w:r>
              <w:rPr>
                <w:rFonts w:ascii="Times New Roman" w:cs="Times New Roman" w:eastAsia="Times New Roman" w:hAnsi="Times New Roman"/>
                <w:sz w:val="12"/>
                <w:szCs w:val="12"/>
                <w:b w:val="1"/>
                <w:bCs w:val="1"/>
                <w:color w:val="auto"/>
                <w:vertAlign w:val="superscript"/>
              </w:rPr>
              <w:t>(1)</w:t>
            </w:r>
          </w:p>
        </w:tc>
        <w:tc>
          <w:tcPr>
            <w:tcW w:w="160" w:type="dxa"/>
            <w:vAlign w:val="bottom"/>
            <w:tcBorders>
              <w:bottom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10"/>
        </w:trPr>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5"/>
          </w:tcPr>
          <w:p>
            <w:pPr>
              <w:jc w:val="center"/>
              <w:ind w:right="99"/>
              <w:spacing w:after="0" w:line="110"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80" w:type="dxa"/>
            <w:vAlign w:val="bottom"/>
          </w:tcPr>
          <w:p>
            <w:pPr>
              <w:spacing w:after="0"/>
              <w:rPr>
                <w:sz w:val="9"/>
                <w:szCs w:val="9"/>
                <w:color w:val="auto"/>
              </w:rPr>
            </w:pPr>
          </w:p>
        </w:tc>
        <w:tc>
          <w:tcPr>
            <w:tcW w:w="58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0"/>
              </w:rPr>
              <w:t>Market Value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Securities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1"/>
              </w:rPr>
              <w:t>Securities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of Shares or</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5"/>
          </w:tcPr>
          <w:p>
            <w:pPr>
              <w:jc w:val="center"/>
              <w:ind w:right="99"/>
              <w:spacing w:after="0" w:line="110" w:lineRule="exact"/>
              <w:rPr>
                <w:sz w:val="20"/>
                <w:szCs w:val="20"/>
                <w:color w:val="auto"/>
              </w:rPr>
            </w:pPr>
            <w:r>
              <w:rPr>
                <w:rFonts w:ascii="Times New Roman" w:cs="Times New Roman" w:eastAsia="Times New Roman" w:hAnsi="Times New Roman"/>
                <w:sz w:val="10"/>
                <w:szCs w:val="10"/>
                <w:b w:val="1"/>
                <w:bCs w:val="1"/>
                <w:color w:val="auto"/>
                <w:w w:val="90"/>
              </w:rPr>
              <w:t>Underlying</w:t>
            </w:r>
          </w:p>
        </w:tc>
        <w:tc>
          <w:tcPr>
            <w:tcW w:w="80" w:type="dxa"/>
            <w:vAlign w:val="bottom"/>
          </w:tcPr>
          <w:p>
            <w:pPr>
              <w:spacing w:after="0"/>
              <w:rPr>
                <w:sz w:val="9"/>
                <w:szCs w:val="9"/>
                <w:color w:val="auto"/>
              </w:rPr>
            </w:pPr>
          </w:p>
        </w:tc>
        <w:tc>
          <w:tcPr>
            <w:tcW w:w="58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Underlying</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3"/>
              </w:rPr>
              <w:t>Option</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Shares or</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40"/>
              <w:spacing w:after="0" w:line="110" w:lineRule="exact"/>
              <w:rPr>
                <w:sz w:val="20"/>
                <w:szCs w:val="20"/>
                <w:color w:val="auto"/>
              </w:rPr>
            </w:pPr>
            <w:r>
              <w:rPr>
                <w:rFonts w:ascii="Times New Roman" w:cs="Times New Roman" w:eastAsia="Times New Roman" w:hAnsi="Times New Roman"/>
                <w:sz w:val="10"/>
                <w:szCs w:val="10"/>
                <w:b w:val="1"/>
                <w:bCs w:val="1"/>
                <w:color w:val="auto"/>
                <w:w w:val="89"/>
              </w:rPr>
              <w:t>Units of</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5"/>
          </w:tcPr>
          <w:p>
            <w:pPr>
              <w:jc w:val="center"/>
              <w:ind w:right="99"/>
              <w:spacing w:after="0" w:line="110" w:lineRule="exact"/>
              <w:rPr>
                <w:sz w:val="20"/>
                <w:szCs w:val="20"/>
                <w:color w:val="auto"/>
              </w:rPr>
            </w:pPr>
            <w:r>
              <w:rPr>
                <w:rFonts w:ascii="Times New Roman" w:cs="Times New Roman" w:eastAsia="Times New Roman" w:hAnsi="Times New Roman"/>
                <w:sz w:val="10"/>
                <w:szCs w:val="10"/>
                <w:b w:val="1"/>
                <w:bCs w:val="1"/>
                <w:color w:val="auto"/>
                <w:w w:val="91"/>
              </w:rPr>
              <w:t>Unexercised</w:t>
            </w:r>
          </w:p>
        </w:tc>
        <w:tc>
          <w:tcPr>
            <w:tcW w:w="80" w:type="dxa"/>
            <w:vAlign w:val="bottom"/>
          </w:tcPr>
          <w:p>
            <w:pPr>
              <w:spacing w:after="0"/>
              <w:rPr>
                <w:sz w:val="9"/>
                <w:szCs w:val="9"/>
                <w:color w:val="auto"/>
              </w:rPr>
            </w:pPr>
          </w:p>
        </w:tc>
        <w:tc>
          <w:tcPr>
            <w:tcW w:w="58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Unexercised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Exercise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3"/>
              </w:rPr>
              <w:t>Units of Stock</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40"/>
              <w:spacing w:after="0" w:line="110" w:lineRule="exact"/>
              <w:rPr>
                <w:sz w:val="20"/>
                <w:szCs w:val="20"/>
                <w:color w:val="auto"/>
              </w:rPr>
            </w:pPr>
            <w:r>
              <w:rPr>
                <w:rFonts w:ascii="Times New Roman" w:cs="Times New Roman" w:eastAsia="Times New Roman" w:hAnsi="Times New Roman"/>
                <w:sz w:val="10"/>
                <w:szCs w:val="10"/>
                <w:b w:val="1"/>
                <w:bCs w:val="1"/>
                <w:color w:val="auto"/>
                <w:w w:val="96"/>
              </w:rPr>
              <w:t>Stock that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jc w:val="center"/>
              <w:ind w:right="5"/>
              <w:spacing w:after="0" w:line="110" w:lineRule="exact"/>
              <w:rPr>
                <w:sz w:val="20"/>
                <w:szCs w:val="20"/>
                <w:color w:val="auto"/>
              </w:rPr>
            </w:pPr>
            <w:r>
              <w:rPr>
                <w:rFonts w:ascii="Times New Roman" w:cs="Times New Roman" w:eastAsia="Times New Roman" w:hAnsi="Times New Roman"/>
                <w:sz w:val="10"/>
                <w:szCs w:val="10"/>
                <w:b w:val="1"/>
                <w:bCs w:val="1"/>
                <w:color w:val="auto"/>
                <w:w w:val="94"/>
              </w:rPr>
              <w:t>Options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Options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center"/>
              <w:ind w:right="45"/>
              <w:spacing w:after="0" w:line="110" w:lineRule="exact"/>
              <w:rPr>
                <w:sz w:val="20"/>
                <w:szCs w:val="20"/>
                <w:color w:val="auto"/>
              </w:rPr>
            </w:pPr>
            <w:r>
              <w:rPr>
                <w:rFonts w:ascii="Times New Roman" w:cs="Times New Roman" w:eastAsia="Times New Roman" w:hAnsi="Times New Roman"/>
                <w:sz w:val="10"/>
                <w:szCs w:val="10"/>
                <w:b w:val="1"/>
                <w:bCs w:val="1"/>
                <w:color w:val="auto"/>
                <w:w w:val="89"/>
              </w:rPr>
              <w:t>Price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center"/>
              <w:ind w:right="25"/>
              <w:spacing w:after="0" w:line="110" w:lineRule="exact"/>
              <w:rPr>
                <w:sz w:val="20"/>
                <w:szCs w:val="20"/>
                <w:color w:val="auto"/>
              </w:rPr>
            </w:pPr>
            <w:r>
              <w:rPr>
                <w:rFonts w:ascii="Times New Roman" w:cs="Times New Roman" w:eastAsia="Times New Roman" w:hAnsi="Times New Roman"/>
                <w:sz w:val="10"/>
                <w:szCs w:val="10"/>
                <w:b w:val="1"/>
                <w:bCs w:val="1"/>
                <w:color w:val="auto"/>
                <w:w w:val="93"/>
              </w:rPr>
              <w:t>Option</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3"/>
              </w:rPr>
              <w:t>that Have Not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40"/>
              <w:spacing w:after="0" w:line="110" w:lineRule="exact"/>
              <w:rPr>
                <w:sz w:val="20"/>
                <w:szCs w:val="20"/>
                <w:color w:val="auto"/>
              </w:rPr>
            </w:pPr>
            <w:r>
              <w:rPr>
                <w:rFonts w:ascii="Times New Roman" w:cs="Times New Roman" w:eastAsia="Times New Roman" w:hAnsi="Times New Roman"/>
                <w:sz w:val="10"/>
                <w:szCs w:val="10"/>
                <w:b w:val="1"/>
                <w:bCs w:val="1"/>
                <w:color w:val="auto"/>
                <w:w w:val="94"/>
              </w:rPr>
              <w:t>Have Not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5"/>
          </w:tcPr>
          <w:p>
            <w:pPr>
              <w:jc w:val="center"/>
              <w:ind w:right="79"/>
              <w:spacing w:after="0" w:line="110" w:lineRule="exact"/>
              <w:rPr>
                <w:sz w:val="20"/>
                <w:szCs w:val="20"/>
                <w:color w:val="auto"/>
              </w:rPr>
            </w:pPr>
            <w:r>
              <w:rPr>
                <w:rFonts w:ascii="Times New Roman" w:cs="Times New Roman" w:eastAsia="Times New Roman" w:hAnsi="Times New Roman"/>
                <w:sz w:val="10"/>
                <w:szCs w:val="10"/>
                <w:b w:val="1"/>
                <w:bCs w:val="1"/>
                <w:color w:val="auto"/>
                <w:w w:val="92"/>
              </w:rPr>
              <w:t>Exercisable</w:t>
            </w:r>
          </w:p>
        </w:tc>
        <w:tc>
          <w:tcPr>
            <w:tcW w:w="80" w:type="dxa"/>
            <w:vAlign w:val="bottom"/>
          </w:tcPr>
          <w:p>
            <w:pPr>
              <w:spacing w:after="0"/>
              <w:rPr>
                <w:sz w:val="9"/>
                <w:szCs w:val="9"/>
                <w:color w:val="auto"/>
              </w:rPr>
            </w:pPr>
          </w:p>
        </w:tc>
        <w:tc>
          <w:tcPr>
            <w:tcW w:w="58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3"/>
              </w:rPr>
              <w:t>Unexercisable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Per Share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Expiration</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9"/>
              </w:rPr>
              <w:t>Vested</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center"/>
              <w:ind w:left="31"/>
              <w:spacing w:after="0" w:line="110" w:lineRule="exact"/>
              <w:rPr>
                <w:sz w:val="20"/>
                <w:szCs w:val="20"/>
                <w:color w:val="auto"/>
              </w:rPr>
            </w:pPr>
            <w:r>
              <w:rPr>
                <w:rFonts w:ascii="Times New Roman" w:cs="Times New Roman" w:eastAsia="Times New Roman" w:hAnsi="Times New Roman"/>
                <w:sz w:val="10"/>
                <w:szCs w:val="10"/>
                <w:b w:val="1"/>
                <w:bCs w:val="1"/>
                <w:color w:val="auto"/>
                <w:w w:val="89"/>
              </w:rPr>
              <w:t>Vested</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3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 ​</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4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300" w:type="dxa"/>
            <w:vAlign w:val="bottom"/>
          </w:tcPr>
          <w:p>
            <w:pPr>
              <w:jc w:val="center"/>
              <w:ind w:right="25"/>
              <w:spacing w:after="0" w:line="123" w:lineRule="exact"/>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2"/>
                <w:szCs w:val="12"/>
                <w:b w:val="1"/>
                <w:bCs w:val="1"/>
                <w:color w:val="auto"/>
                <w:w w:val="85"/>
                <w:vertAlign w:val="superscript"/>
              </w:rPr>
              <w:t>(2)</w:t>
            </w:r>
          </w:p>
        </w:tc>
        <w:tc>
          <w:tcPr>
            <w:tcW w:w="2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gridSpan w:val="2"/>
          </w:tcPr>
          <w:p>
            <w:pPr>
              <w:jc w:val="right"/>
              <w:ind w:right="33"/>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Pr>
          <w:p>
            <w:pPr>
              <w:jc w:val="center"/>
              <w:ind w:right="5"/>
              <w:spacing w:after="0"/>
              <w:rPr>
                <w:sz w:val="20"/>
                <w:szCs w:val="20"/>
                <w:color w:val="auto"/>
              </w:rPr>
            </w:pPr>
            <w:r>
              <w:rPr>
                <w:rFonts w:ascii="Times New Roman" w:cs="Times New Roman" w:eastAsia="Times New Roman" w:hAnsi="Times New Roman"/>
                <w:sz w:val="10"/>
                <w:szCs w:val="10"/>
                <w:b w:val="1"/>
                <w:bCs w:val="1"/>
                <w:color w:val="auto"/>
                <w:w w:val="89"/>
              </w:rPr>
              <w:t>Date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0"/>
                <w:szCs w:val="10"/>
                <w:color w:val="auto"/>
              </w:rPr>
            </w:pPr>
          </w:p>
        </w:tc>
        <w:tc>
          <w:tcPr>
            <w:tcW w:w="380" w:type="dxa"/>
            <w:vAlign w:val="bottom"/>
          </w:tcPr>
          <w:p>
            <w:pPr>
              <w:jc w:val="center"/>
              <w:ind w:right="158"/>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100" w:type="dxa"/>
            <w:vAlign w:val="bottom"/>
          </w:tcPr>
          <w:p>
            <w:pPr>
              <w:jc w:val="right"/>
              <w:ind w:right="5"/>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40" w:type="dxa"/>
            <w:vAlign w:val="bottom"/>
          </w:tcPr>
          <w:p>
            <w:pPr>
              <w:jc w:val="center"/>
              <w:ind w:left="51"/>
              <w:spacing w:after="0" w:line="123" w:lineRule="exact"/>
              <w:rPr>
                <w:sz w:val="20"/>
                <w:szCs w:val="20"/>
                <w:color w:val="auto"/>
              </w:rPr>
            </w:pPr>
            <w:r>
              <w:rPr>
                <w:rFonts w:ascii="Times New Roman" w:cs="Times New Roman" w:eastAsia="Times New Roman" w:hAnsi="Times New Roman"/>
                <w:sz w:val="10"/>
                <w:szCs w:val="10"/>
                <w:b w:val="1"/>
                <w:bCs w:val="1"/>
                <w:color w:val="auto"/>
                <w:w w:val="75"/>
              </w:rPr>
              <w:t>($)</w:t>
            </w:r>
            <w:r>
              <w:rPr>
                <w:rFonts w:ascii="Times New Roman" w:cs="Times New Roman" w:eastAsia="Times New Roman" w:hAnsi="Times New Roman"/>
                <w:sz w:val="12"/>
                <w:szCs w:val="12"/>
                <w:b w:val="1"/>
                <w:bCs w:val="1"/>
                <w:color w:val="auto"/>
                <w:w w:val="75"/>
                <w:vertAlign w:val="superscript"/>
              </w:rPr>
              <w:t>(3)</w:t>
            </w:r>
          </w:p>
        </w:tc>
        <w:tc>
          <w:tcPr>
            <w:tcW w:w="16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0"/>
        </w:trPr>
        <w:tc>
          <w:tcPr>
            <w:tcW w:w="13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Martin Babler</w:t>
            </w:r>
          </w:p>
        </w:tc>
        <w:tc>
          <w:tcPr>
            <w:tcW w:w="18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7"/>
                <w:szCs w:val="7"/>
                <w:color w:val="auto"/>
              </w:rPr>
            </w:pPr>
          </w:p>
        </w:tc>
        <w:tc>
          <w:tcPr>
            <w:tcW w:w="4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​380,852</w:t>
            </w:r>
          </w:p>
        </w:tc>
        <w:tc>
          <w:tcPr>
            <w:tcW w:w="160" w:type="dxa"/>
            <w:vAlign w:val="bottom"/>
            <w:gridSpan w:val="2"/>
            <w:shd w:val="clear" w:color="auto" w:fill="CCEEFF"/>
          </w:tcPr>
          <w:p>
            <w:pPr>
              <w:jc w:val="right"/>
              <w:spacing w:after="0" w:line="90" w:lineRule="exact"/>
              <w:rPr>
                <w:sz w:val="20"/>
                <w:szCs w:val="20"/>
                <w:color w:val="auto"/>
              </w:rPr>
            </w:pPr>
            <w:r>
              <w:rPr>
                <w:rFonts w:ascii="Times New Roman" w:cs="Times New Roman" w:eastAsia="Times New Roman" w:hAnsi="Times New Roman"/>
                <w:sz w:val="7"/>
                <w:szCs w:val="7"/>
                <w:color w:val="auto"/>
              </w:rPr>
              <w:t>(4)</w:t>
            </w:r>
            <w:r>
              <w:rPr>
                <w:rFonts w:ascii="Times New Roman" w:cs="Times New Roman" w:eastAsia="Times New Roman" w:hAnsi="Times New Roman"/>
                <w:sz w:val="10"/>
                <w:szCs w:val="10"/>
                <w:color w:val="auto"/>
              </w:rPr>
              <w:t>​​</w:t>
            </w:r>
          </w:p>
        </w:tc>
        <w:tc>
          <w:tcPr>
            <w:tcW w:w="80" w:type="dxa"/>
            <w:vAlign w:val="bottom"/>
            <w:shd w:val="clear" w:color="auto" w:fill="CCEEFF"/>
          </w:tcPr>
          <w:p>
            <w:pPr>
              <w:ind w:left="40"/>
              <w:spacing w:after="0" w:line="90"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ind w:left="240"/>
              <w:spacing w:after="0" w:line="90"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ind w:left="60"/>
              <w:spacing w:after="0" w:line="90"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340" w:type="dxa"/>
            <w:vAlign w:val="bottom"/>
            <w:gridSpan w:val="3"/>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ind w:left="240"/>
              <w:spacing w:after="0" w:line="79"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0" w:type="dxa"/>
            <w:vAlign w:val="bottom"/>
            <w:gridSpan w:val="2"/>
            <w:shd w:val="clear" w:color="auto" w:fill="CCEEFF"/>
          </w:tcPr>
          <w:p>
            <w:pPr>
              <w:ind w:left="60"/>
              <w:spacing w:after="0" w:line="79" w:lineRule="exact"/>
              <w:rPr>
                <w:sz w:val="20"/>
                <w:szCs w:val="20"/>
                <w:color w:val="auto"/>
              </w:rPr>
            </w:pPr>
            <w:r>
              <w:rPr>
                <w:rFonts w:ascii="Times New Roman" w:cs="Times New Roman" w:eastAsia="Times New Roman" w:hAnsi="Times New Roman"/>
                <w:sz w:val="9"/>
                <w:szCs w:val="9"/>
                <w:color w:val="auto"/>
              </w:rPr>
              <w:t>​ 3.83</w:t>
            </w: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gridSpan w:val="2"/>
            <w:shd w:val="clear" w:color="auto" w:fill="CCEEFF"/>
          </w:tcPr>
          <w:p>
            <w:pPr>
              <w:jc w:val="center"/>
              <w:spacing w:after="0" w:line="79" w:lineRule="exact"/>
              <w:rPr>
                <w:sz w:val="20"/>
                <w:szCs w:val="20"/>
                <w:color w:val="auto"/>
              </w:rPr>
            </w:pPr>
            <w:r>
              <w:rPr>
                <w:rFonts w:ascii="Times New Roman" w:cs="Times New Roman" w:eastAsia="Times New Roman" w:hAnsi="Times New Roman"/>
                <w:sz w:val="9"/>
                <w:szCs w:val="9"/>
                <w:color w:val="auto"/>
              </w:rPr>
              <w:t>​9/14/2031</w:t>
            </w: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20" w:type="dxa"/>
            <w:vAlign w:val="bottom"/>
            <w:shd w:val="clear" w:color="auto" w:fill="CCEEFF"/>
          </w:tcPr>
          <w:p>
            <w:pPr>
              <w:ind w:left="140"/>
              <w:spacing w:after="0" w:line="79"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jc w:val="right"/>
              <w:spacing w:after="0" w:line="79"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40" w:type="dxa"/>
            <w:vAlign w:val="bottom"/>
            <w:shd w:val="clear" w:color="auto" w:fill="CCEEFF"/>
          </w:tcPr>
          <w:p>
            <w:pPr>
              <w:spacing w:after="0"/>
              <w:rPr>
                <w:sz w:val="2"/>
                <w:szCs w:val="2"/>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3"/>
                <w:szCs w:val="3"/>
                <w:color w:val="auto"/>
              </w:rPr>
              <w:t>​106,951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3"/>
                <w:szCs w:val="3"/>
                <w:color w:val="auto"/>
              </w:rPr>
              <w:t>​</w:t>
            </w: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3"/>
                <w:szCs w:val="3"/>
                <w:color w:val="auto"/>
                <w:vertAlign w:val="superscript"/>
              </w:rPr>
              <w:t>​</w:t>
            </w:r>
            <w:r>
              <w:rPr>
                <w:rFonts w:ascii="Times New Roman" w:cs="Times New Roman" w:eastAsia="Times New Roman" w:hAnsi="Times New Roman"/>
                <w:sz w:val="2"/>
                <w:szCs w:val="2"/>
                <w:color w:val="auto"/>
              </w:rPr>
              <w:t>​—</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3"/>
                <w:szCs w:val="3"/>
                <w:color w:val="auto"/>
                <w:vertAlign w:val="superscript"/>
              </w:rPr>
              <w:t>​</w:t>
            </w:r>
            <w:r>
              <w:rPr>
                <w:rFonts w:ascii="Times New Roman" w:cs="Times New Roman" w:eastAsia="Times New Roman" w:hAnsi="Times New Roman"/>
                <w:sz w:val="2"/>
                <w:szCs w:val="2"/>
                <w:color w:val="auto"/>
              </w:rPr>
              <w:t>​ 9.26</w:t>
            </w:r>
          </w:p>
        </w:tc>
        <w:tc>
          <w:tcPr>
            <w:tcW w:w="8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vertAlign w:val="superscript"/>
              </w:rPr>
              <w:t>​​ ​​</w:t>
            </w:r>
            <w:r>
              <w:rPr>
                <w:rFonts w:ascii="Times New Roman" w:cs="Times New Roman" w:eastAsia="Times New Roman" w:hAnsi="Times New Roman"/>
                <w:sz w:val="2"/>
                <w:szCs w:val="2"/>
                <w:color w:val="auto"/>
              </w:rPr>
              <w:t>​1/26/2032</w:t>
            </w:r>
            <w:r>
              <w:rPr>
                <w:rFonts w:ascii="Times New Roman" w:cs="Times New Roman" w:eastAsia="Times New Roman" w:hAnsi="Times New Roman"/>
                <w:sz w:val="3"/>
                <w:szCs w:val="3"/>
                <w:color w:val="auto"/>
                <w:vertAlign w:val="superscript"/>
              </w:rPr>
              <w:t>​​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3"/>
                <w:szCs w:val="3"/>
                <w:color w:val="auto"/>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3"/>
                <w:szCs w:val="3"/>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 ​ ​</w:t>
            </w:r>
            <w:r>
              <w:rPr>
                <w:rFonts w:ascii="Times New Roman" w:cs="Times New Roman" w:eastAsia="Times New Roman" w:hAnsi="Times New Roman"/>
                <w:sz w:val="3"/>
                <w:szCs w:val="3"/>
                <w:color w:val="auto"/>
                <w:vertAlign w:val="subscript"/>
              </w:rPr>
              <w:t>​</w:t>
            </w:r>
          </w:p>
        </w:tc>
        <w:tc>
          <w:tcPr>
            <w:tcW w:w="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0" w:type="dxa"/>
            <w:vAlign w:val="bottom"/>
          </w:tcPr>
          <w:p>
            <w:pPr>
              <w:spacing w:after="0" w:line="20" w:lineRule="exact"/>
              <w:rPr>
                <w:sz w:val="1"/>
                <w:szCs w:val="1"/>
                <w:color w:val="auto"/>
              </w:rPr>
            </w:pPr>
          </w:p>
        </w:tc>
      </w:tr>
      <w:tr>
        <w:trPr>
          <w:trHeight w:val="103"/>
        </w:trPr>
        <w:tc>
          <w:tcPr>
            <w:tcW w:w="2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w w:val="72"/>
              </w:rPr>
              <w:t>(5)</w:t>
            </w: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​534,759</w:t>
            </w:r>
          </w:p>
        </w:tc>
        <w:tc>
          <w:tcPr>
            <w:tcW w:w="16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80" w:type="dxa"/>
            <w:vAlign w:val="bottom"/>
            <w:shd w:val="clear" w:color="auto" w:fill="CCEEFF"/>
          </w:tcPr>
          <w:p>
            <w:pPr>
              <w:ind w:left="40"/>
              <w:spacing w:after="0" w:line="81"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CCEEFF"/>
          </w:tcPr>
          <w:p>
            <w:pPr>
              <w:ind w:left="240"/>
              <w:spacing w:after="0" w:line="81" w:lineRule="exact"/>
              <w:rPr>
                <w:sz w:val="20"/>
                <w:szCs w:val="20"/>
                <w:color w:val="auto"/>
              </w:rPr>
            </w:pPr>
            <w:r>
              <w:rPr>
                <w:rFonts w:ascii="Times New Roman" w:cs="Times New Roman" w:eastAsia="Times New Roman" w:hAnsi="Times New Roman"/>
                <w:sz w:val="9"/>
                <w:szCs w:val="9"/>
                <w:color w:val="auto"/>
                <w:vertAlign w:val="superscript"/>
              </w:rPr>
              <w:t>​</w:t>
            </w:r>
            <w:r>
              <w:rPr>
                <w:rFonts w:ascii="Times New Roman" w:cs="Times New Roman" w:eastAsia="Times New Roman" w:hAnsi="Times New Roman"/>
                <w:sz w:val="7"/>
                <w:szCs w:val="7"/>
                <w:color w:val="auto"/>
              </w:rPr>
              <w:t>​—</w:t>
            </w:r>
          </w:p>
        </w:tc>
        <w:tc>
          <w:tcPr>
            <w:tcW w:w="160" w:type="dxa"/>
            <w:vAlign w:val="bottom"/>
            <w:gridSpan w:val="3"/>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400" w:type="dxa"/>
            <w:vAlign w:val="bottom"/>
            <w:gridSpan w:val="2"/>
            <w:shd w:val="clear" w:color="auto" w:fill="CCEEFF"/>
          </w:tcPr>
          <w:p>
            <w:pPr>
              <w:ind w:left="60"/>
              <w:spacing w:after="0" w:line="81" w:lineRule="exact"/>
              <w:rPr>
                <w:sz w:val="20"/>
                <w:szCs w:val="20"/>
                <w:color w:val="auto"/>
              </w:rPr>
            </w:pPr>
            <w:r>
              <w:rPr>
                <w:rFonts w:ascii="Times New Roman" w:cs="Times New Roman" w:eastAsia="Times New Roman" w:hAnsi="Times New Roman"/>
                <w:sz w:val="9"/>
                <w:szCs w:val="9"/>
                <w:color w:val="auto"/>
                <w:vertAlign w:val="superscript"/>
              </w:rPr>
              <w:t>​</w:t>
            </w:r>
            <w:r>
              <w:rPr>
                <w:rFonts w:ascii="Times New Roman" w:cs="Times New Roman" w:eastAsia="Times New Roman" w:hAnsi="Times New Roman"/>
                <w:sz w:val="7"/>
                <w:szCs w:val="7"/>
                <w:color w:val="auto"/>
              </w:rPr>
              <w:t>​ 9.26</w:t>
            </w:r>
          </w:p>
        </w:tc>
        <w:tc>
          <w:tcPr>
            <w:tcW w:w="820" w:type="dxa"/>
            <w:vAlign w:val="bottom"/>
            <w:gridSpan w:val="7"/>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vertAlign w:val="superscript"/>
              </w:rPr>
              <w:t>​​ ​​</w:t>
            </w:r>
            <w:r>
              <w:rPr>
                <w:rFonts w:ascii="Times New Roman" w:cs="Times New Roman" w:eastAsia="Times New Roman" w:hAnsi="Times New Roman"/>
                <w:sz w:val="7"/>
                <w:szCs w:val="7"/>
                <w:color w:val="auto"/>
              </w:rPr>
              <w:t>​1/26/2032</w:t>
            </w:r>
            <w:r>
              <w:rPr>
                <w:rFonts w:ascii="Times New Roman" w:cs="Times New Roman" w:eastAsia="Times New Roman" w:hAnsi="Times New Roman"/>
                <w:sz w:val="9"/>
                <w:szCs w:val="9"/>
                <w:color w:val="auto"/>
                <w:vertAlign w:val="superscript"/>
              </w:rPr>
              <w:t>​​ ​</w:t>
            </w:r>
          </w:p>
        </w:tc>
        <w:tc>
          <w:tcPr>
            <w:tcW w:w="220" w:type="dxa"/>
            <w:vAlign w:val="bottom"/>
            <w:shd w:val="clear" w:color="auto" w:fill="CCEEFF"/>
          </w:tcPr>
          <w:p>
            <w:pPr>
              <w:ind w:left="140"/>
              <w:spacing w:after="0" w:line="81"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ind w:left="140"/>
              <w:spacing w:after="0" w:line="81"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gridSpan w:val="3"/>
            <w:shd w:val="clear" w:color="auto" w:fill="CCEEFF"/>
          </w:tcPr>
          <w:p>
            <w:pPr>
              <w:jc w:val="right"/>
              <w:spacing w:after="0" w:line="81" w:lineRule="exact"/>
              <w:rPr>
                <w:sz w:val="20"/>
                <w:szCs w:val="20"/>
                <w:color w:val="auto"/>
              </w:rPr>
            </w:pPr>
            <w:r>
              <w:rPr>
                <w:rFonts w:ascii="Times New Roman" w:cs="Times New Roman" w:eastAsia="Times New Roman" w:hAnsi="Times New Roman"/>
                <w:sz w:val="7"/>
                <w:szCs w:val="7"/>
                <w:color w:val="auto"/>
              </w:rPr>
              <w:t>​​ ​ ​</w:t>
            </w:r>
            <w:r>
              <w:rPr>
                <w:rFonts w:ascii="Times New Roman" w:cs="Times New Roman" w:eastAsia="Times New Roman" w:hAnsi="Times New Roman"/>
                <w:sz w:val="9"/>
                <w:szCs w:val="9"/>
                <w:color w:val="auto"/>
                <w:vertAlign w:val="subscript"/>
              </w:rPr>
              <w:t>​</w:t>
            </w:r>
          </w:p>
        </w:tc>
        <w:tc>
          <w:tcPr>
            <w:tcW w:w="340" w:type="dxa"/>
            <w:vAlign w:val="bottom"/>
            <w:shd w:val="clear" w:color="auto" w:fill="CCEEFF"/>
          </w:tcPr>
          <w:p>
            <w:pPr>
              <w:spacing w:after="0"/>
              <w:rPr>
                <w:sz w:val="7"/>
                <w:szCs w:val="7"/>
                <w:color w:val="auto"/>
              </w:rPr>
            </w:pPr>
          </w:p>
        </w:tc>
        <w:tc>
          <w:tcPr>
            <w:tcW w:w="160" w:type="dxa"/>
            <w:vAlign w:val="bottom"/>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103"/>
        </w:trPr>
        <w:tc>
          <w:tcPr>
            <w:tcW w:w="2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w w:val="72"/>
              </w:rPr>
              <w:t>(6)</w:t>
            </w: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​263,101</w:t>
            </w:r>
          </w:p>
        </w:tc>
        <w:tc>
          <w:tcPr>
            <w:tcW w:w="40" w:type="dxa"/>
            <w:vAlign w:val="bottom"/>
            <w:shd w:val="clear" w:color="auto" w:fill="CCEEFF"/>
          </w:tcPr>
          <w:p>
            <w:pPr>
              <w:spacing w:after="0"/>
              <w:rPr>
                <w:sz w:val="7"/>
                <w:szCs w:val="7"/>
                <w:color w:val="auto"/>
              </w:rPr>
            </w:pPr>
          </w:p>
        </w:tc>
        <w:tc>
          <w:tcPr>
            <w:tcW w:w="12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80" w:type="dxa"/>
            <w:vAlign w:val="bottom"/>
            <w:shd w:val="clear" w:color="auto" w:fill="CCEEFF"/>
          </w:tcPr>
          <w:p>
            <w:pPr>
              <w:ind w:left="40"/>
              <w:spacing w:after="0" w:line="81"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CCEEFF"/>
          </w:tcPr>
          <w:p>
            <w:pPr>
              <w:ind w:left="240"/>
              <w:spacing w:after="0" w:line="81" w:lineRule="exact"/>
              <w:rPr>
                <w:sz w:val="20"/>
                <w:szCs w:val="20"/>
                <w:color w:val="auto"/>
              </w:rPr>
            </w:pPr>
            <w:r>
              <w:rPr>
                <w:rFonts w:ascii="Times New Roman" w:cs="Times New Roman" w:eastAsia="Times New Roman" w:hAnsi="Times New Roman"/>
                <w:sz w:val="9"/>
                <w:szCs w:val="9"/>
                <w:color w:val="auto"/>
                <w:vertAlign w:val="superscript"/>
              </w:rPr>
              <w:t>​</w:t>
            </w:r>
            <w:r>
              <w:rPr>
                <w:rFonts w:ascii="Times New Roman" w:cs="Times New Roman" w:eastAsia="Times New Roman" w:hAnsi="Times New Roman"/>
                <w:sz w:val="7"/>
                <w:szCs w:val="7"/>
                <w:color w:val="auto"/>
              </w:rPr>
              <w:t>​—</w:t>
            </w:r>
          </w:p>
        </w:tc>
        <w:tc>
          <w:tcPr>
            <w:tcW w:w="160" w:type="dxa"/>
            <w:vAlign w:val="bottom"/>
            <w:gridSpan w:val="3"/>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400" w:type="dxa"/>
            <w:vAlign w:val="bottom"/>
            <w:gridSpan w:val="2"/>
            <w:shd w:val="clear" w:color="auto" w:fill="CCEEFF"/>
          </w:tcPr>
          <w:p>
            <w:pPr>
              <w:ind w:left="60"/>
              <w:spacing w:after="0" w:line="81" w:lineRule="exact"/>
              <w:rPr>
                <w:sz w:val="20"/>
                <w:szCs w:val="20"/>
                <w:color w:val="auto"/>
              </w:rPr>
            </w:pPr>
            <w:r>
              <w:rPr>
                <w:rFonts w:ascii="Times New Roman" w:cs="Times New Roman" w:eastAsia="Times New Roman" w:hAnsi="Times New Roman"/>
                <w:sz w:val="9"/>
                <w:szCs w:val="9"/>
                <w:color w:val="auto"/>
                <w:vertAlign w:val="superscript"/>
              </w:rPr>
              <w:t>​</w:t>
            </w:r>
            <w:r>
              <w:rPr>
                <w:rFonts w:ascii="Times New Roman" w:cs="Times New Roman" w:eastAsia="Times New Roman" w:hAnsi="Times New Roman"/>
                <w:sz w:val="7"/>
                <w:szCs w:val="7"/>
                <w:color w:val="auto"/>
              </w:rPr>
              <w:t>​10.61</w:t>
            </w:r>
          </w:p>
        </w:tc>
        <w:tc>
          <w:tcPr>
            <w:tcW w:w="820" w:type="dxa"/>
            <w:vAlign w:val="bottom"/>
            <w:gridSpan w:val="7"/>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vertAlign w:val="superscript"/>
              </w:rPr>
              <w:t>​​ ​​</w:t>
            </w:r>
            <w:r>
              <w:rPr>
                <w:rFonts w:ascii="Times New Roman" w:cs="Times New Roman" w:eastAsia="Times New Roman" w:hAnsi="Times New Roman"/>
                <w:sz w:val="7"/>
                <w:szCs w:val="7"/>
                <w:color w:val="auto"/>
              </w:rPr>
              <w:t>​6/22/2033</w:t>
            </w:r>
            <w:r>
              <w:rPr>
                <w:rFonts w:ascii="Times New Roman" w:cs="Times New Roman" w:eastAsia="Times New Roman" w:hAnsi="Times New Roman"/>
                <w:sz w:val="9"/>
                <w:szCs w:val="9"/>
                <w:color w:val="auto"/>
                <w:vertAlign w:val="superscript"/>
              </w:rPr>
              <w:t>​​ ​</w:t>
            </w:r>
          </w:p>
        </w:tc>
        <w:tc>
          <w:tcPr>
            <w:tcW w:w="220" w:type="dxa"/>
            <w:vAlign w:val="bottom"/>
            <w:shd w:val="clear" w:color="auto" w:fill="CCEEFF"/>
          </w:tcPr>
          <w:p>
            <w:pPr>
              <w:ind w:left="140"/>
              <w:spacing w:after="0" w:line="81"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ind w:left="140"/>
              <w:spacing w:after="0" w:line="81"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gridSpan w:val="3"/>
            <w:shd w:val="clear" w:color="auto" w:fill="CCEEFF"/>
          </w:tcPr>
          <w:p>
            <w:pPr>
              <w:jc w:val="right"/>
              <w:spacing w:after="0" w:line="81" w:lineRule="exact"/>
              <w:rPr>
                <w:sz w:val="20"/>
                <w:szCs w:val="20"/>
                <w:color w:val="auto"/>
              </w:rPr>
            </w:pPr>
            <w:r>
              <w:rPr>
                <w:rFonts w:ascii="Times New Roman" w:cs="Times New Roman" w:eastAsia="Times New Roman" w:hAnsi="Times New Roman"/>
                <w:sz w:val="7"/>
                <w:szCs w:val="7"/>
                <w:color w:val="auto"/>
              </w:rPr>
              <w:t>​​ ​ ​</w:t>
            </w:r>
            <w:r>
              <w:rPr>
                <w:rFonts w:ascii="Times New Roman" w:cs="Times New Roman" w:eastAsia="Times New Roman" w:hAnsi="Times New Roman"/>
                <w:sz w:val="9"/>
                <w:szCs w:val="9"/>
                <w:color w:val="auto"/>
                <w:vertAlign w:val="subscript"/>
              </w:rPr>
              <w:t>​</w:t>
            </w:r>
          </w:p>
        </w:tc>
        <w:tc>
          <w:tcPr>
            <w:tcW w:w="340" w:type="dxa"/>
            <w:vAlign w:val="bottom"/>
            <w:shd w:val="clear" w:color="auto" w:fill="CCEEFF"/>
          </w:tcPr>
          <w:p>
            <w:pPr>
              <w:spacing w:after="0"/>
              <w:rPr>
                <w:sz w:val="7"/>
                <w:szCs w:val="7"/>
                <w:color w:val="auto"/>
              </w:rPr>
            </w:pPr>
          </w:p>
        </w:tc>
        <w:tc>
          <w:tcPr>
            <w:tcW w:w="160" w:type="dxa"/>
            <w:vAlign w:val="bottom"/>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103"/>
        </w:trPr>
        <w:tc>
          <w:tcPr>
            <w:tcW w:w="2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7"/>
                <w:szCs w:val="7"/>
                <w:color w:val="auto"/>
                <w:w w:val="72"/>
              </w:rPr>
              <w:t>(7)</w:t>
            </w: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 w:type="dxa"/>
            <w:vAlign w:val="bottom"/>
            <w:vMerge w:val="restart"/>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5"/>
                <w:szCs w:val="5"/>
                <w:color w:val="auto"/>
              </w:rPr>
            </w:pPr>
          </w:p>
        </w:tc>
        <w:tc>
          <w:tcPr>
            <w:tcW w:w="420" w:type="dxa"/>
            <w:vAlign w:val="bottom"/>
            <w:gridSpan w:val="2"/>
            <w:vMerge w:val="restart"/>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​107,028</w:t>
            </w: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gridSpan w:val="2"/>
            <w:shd w:val="clear" w:color="auto" w:fill="CCEEFF"/>
          </w:tcPr>
          <w:p>
            <w:pPr>
              <w:spacing w:after="0"/>
              <w:rPr>
                <w:sz w:val="5"/>
                <w:szCs w:val="5"/>
                <w:color w:val="auto"/>
              </w:rPr>
            </w:pPr>
          </w:p>
        </w:tc>
        <w:tc>
          <w:tcPr>
            <w:tcW w:w="400" w:type="dxa"/>
            <w:vAlign w:val="bottom"/>
            <w:gridSpan w:val="2"/>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gridSpan w:val="2"/>
            <w:shd w:val="clear" w:color="auto" w:fill="CCEEFF"/>
          </w:tcPr>
          <w:p>
            <w:pPr>
              <w:spacing w:after="0"/>
              <w:rPr>
                <w:sz w:val="5"/>
                <w:szCs w:val="5"/>
                <w:color w:val="auto"/>
              </w:rPr>
            </w:pPr>
          </w:p>
        </w:tc>
        <w:tc>
          <w:tcPr>
            <w:tcW w:w="520" w:type="dxa"/>
            <w:vAlign w:val="bottom"/>
            <w:gridSpan w:val="2"/>
            <w:shd w:val="clear" w:color="auto" w:fill="CCEEFF"/>
          </w:tcPr>
          <w:p>
            <w:pPr>
              <w:spacing w:after="0"/>
              <w:rPr>
                <w:sz w:val="5"/>
                <w:szCs w:val="5"/>
                <w:color w:val="auto"/>
              </w:rPr>
            </w:pPr>
          </w:p>
        </w:tc>
        <w:tc>
          <w:tcPr>
            <w:tcW w:w="140" w:type="dxa"/>
            <w:vAlign w:val="bottom"/>
            <w:gridSpan w:val="2"/>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60" w:type="dxa"/>
            <w:vAlign w:val="bottom"/>
            <w:gridSpan w:val="2"/>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0" w:type="dxa"/>
            <w:vAlign w:val="bottom"/>
            <w:vMerge w:val="restart"/>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12"/>
        </w:trPr>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vMerge w:val="continue"/>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gridSpan w:val="2"/>
            <w:vMerge w:val="continue"/>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
                <w:szCs w:val="1"/>
                <w:color w:val="auto"/>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1"/>
                <w:szCs w:val="1"/>
                <w:color w:val="auto"/>
              </w:rPr>
              <w:t>​</w:t>
            </w:r>
          </w:p>
        </w:tc>
        <w:tc>
          <w:tcPr>
            <w:tcW w:w="580" w:type="dxa"/>
            <w:vAlign w:val="bottom"/>
          </w:tcPr>
          <w:p>
            <w:pPr>
              <w:ind w:left="240"/>
              <w:spacing w:after="0"/>
              <w:rPr>
                <w:sz w:val="20"/>
                <w:szCs w:val="20"/>
                <w:color w:val="auto"/>
              </w:rPr>
            </w:pPr>
            <w:r>
              <w:rPr>
                <w:rFonts w:ascii="Times New Roman" w:cs="Times New Roman" w:eastAsia="Times New Roman" w:hAnsi="Times New Roman"/>
                <w:sz w:val="1"/>
                <w:szCs w:val="1"/>
                <w:color w:val="auto"/>
                <w:vertAlign w:val="superscript"/>
              </w:rPr>
              <w:t>​</w:t>
            </w:r>
            <w:r>
              <w:rPr>
                <w:rFonts w:ascii="Times New Roman" w:cs="Times New Roman" w:eastAsia="Times New Roman" w:hAnsi="Times New Roman"/>
                <w:sz w:val="1"/>
                <w:szCs w:val="1"/>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
                <w:szCs w:val="1"/>
                <w:color w:val="auto"/>
              </w:rPr>
              <w:t>​​ ​</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
                <w:szCs w:val="1"/>
                <w:color w:val="auto"/>
                <w:vertAlign w:val="superscript"/>
              </w:rPr>
              <w:t>​</w:t>
            </w:r>
            <w:r>
              <w:rPr>
                <w:rFonts w:ascii="Times New Roman" w:cs="Times New Roman" w:eastAsia="Times New Roman" w:hAnsi="Times New Roman"/>
                <w:sz w:val="1"/>
                <w:szCs w:val="1"/>
                <w:color w:val="auto"/>
              </w:rPr>
              <w:t>​17.44</w:t>
            </w:r>
          </w:p>
        </w:tc>
        <w:tc>
          <w:tcPr>
            <w:tcW w:w="820" w:type="dxa"/>
            <w:vAlign w:val="bottom"/>
            <w:gridSpan w:val="7"/>
          </w:tcPr>
          <w:p>
            <w:pPr>
              <w:jc w:val="right"/>
              <w:spacing w:after="0"/>
              <w:rPr>
                <w:sz w:val="20"/>
                <w:szCs w:val="20"/>
                <w:color w:val="auto"/>
              </w:rPr>
            </w:pPr>
            <w:r>
              <w:rPr>
                <w:rFonts w:ascii="Times New Roman" w:cs="Times New Roman" w:eastAsia="Times New Roman" w:hAnsi="Times New Roman"/>
                <w:sz w:val="1"/>
                <w:szCs w:val="1"/>
                <w:color w:val="auto"/>
                <w:vertAlign w:val="superscript"/>
              </w:rPr>
              <w:t>​​ ​​</w:t>
            </w:r>
            <w:r>
              <w:rPr>
                <w:rFonts w:ascii="Times New Roman" w:cs="Times New Roman" w:eastAsia="Times New Roman" w:hAnsi="Times New Roman"/>
                <w:sz w:val="1"/>
                <w:szCs w:val="1"/>
                <w:color w:val="auto"/>
              </w:rPr>
              <w:t>​10/8/2033</w:t>
            </w:r>
            <w:r>
              <w:rPr>
                <w:rFonts w:ascii="Times New Roman" w:cs="Times New Roman" w:eastAsia="Times New Roman" w:hAnsi="Times New Roman"/>
                <w:sz w:val="1"/>
                <w:szCs w:val="1"/>
                <w:color w:val="auto"/>
                <w:vertAlign w:val="superscript"/>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
                <w:szCs w:val="1"/>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
                <w:szCs w:val="1"/>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
                <w:szCs w:val="1"/>
                <w:color w:val="auto"/>
              </w:rPr>
              <w:t>​​ ​ ​</w:t>
            </w:r>
            <w:r>
              <w:rPr>
                <w:rFonts w:ascii="Times New Roman" w:cs="Times New Roman" w:eastAsia="Times New Roman" w:hAnsi="Times New Roman"/>
                <w:sz w:val="1"/>
                <w:szCs w:val="1"/>
                <w:color w:val="auto"/>
                <w:vertAlign w:val="subscript"/>
              </w:rPr>
              <w:t>​</w:t>
            </w:r>
          </w:p>
        </w:tc>
        <w:tc>
          <w:tcPr>
            <w:tcW w:w="340" w:type="dxa"/>
            <w:vAlign w:val="bottom"/>
          </w:tcPr>
          <w:p>
            <w:pPr>
              <w:spacing w:after="0" w:line="20" w:lineRule="exact"/>
              <w:rPr>
                <w:sz w:val="1"/>
                <w:szCs w:val="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
                <w:szCs w:val="1"/>
                <w:color w:val="auto"/>
              </w:rPr>
              <w:t>—</w:t>
            </w: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gridSpan w:val="2"/>
          </w:tcPr>
          <w:p>
            <w:pPr>
              <w:jc w:val="right"/>
              <w:ind w:right="39"/>
              <w:spacing w:after="0"/>
              <w:rPr>
                <w:sz w:val="20"/>
                <w:szCs w:val="20"/>
                <w:color w:val="auto"/>
              </w:rPr>
            </w:pPr>
            <w:r>
              <w:rPr>
                <w:rFonts w:ascii="Times New Roman" w:cs="Times New Roman" w:eastAsia="Times New Roman" w:hAnsi="Times New Roman"/>
                <w:sz w:val="7"/>
                <w:szCs w:val="7"/>
                <w:color w:val="auto"/>
                <w:w w:val="72"/>
              </w:rPr>
              <w:t>(8)</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40" w:type="dxa"/>
            <w:vAlign w:val="bottom"/>
            <w:gridSpan w:val="2"/>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rPr>
              <w:t>(9)</w:t>
            </w:r>
            <w:r>
              <w:rPr>
                <w:rFonts w:ascii="Times New Roman" w:cs="Times New Roman" w:eastAsia="Times New Roman" w:hAnsi="Times New Roman"/>
                <w:sz w:val="12"/>
                <w:szCs w:val="12"/>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5"/>
                <w:szCs w:val="5"/>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01"/>
        </w:trPr>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David Goldstein, Ph.D.</w:t>
            </w:r>
          </w:p>
        </w:tc>
        <w:tc>
          <w:tcPr>
            <w:tcW w:w="24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 42,780</w:t>
            </w:r>
          </w:p>
        </w:tc>
        <w:tc>
          <w:tcPr>
            <w:tcW w:w="160" w:type="dxa"/>
            <w:vAlign w:val="bottom"/>
            <w:gridSpan w:val="2"/>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3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3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160" w:type="dxa"/>
            <w:vAlign w:val="bottom"/>
            <w:gridSpan w:val="2"/>
            <w:vMerge w:val="restart"/>
          </w:tcPr>
          <w:p>
            <w:pPr>
              <w:jc w:val="right"/>
              <w:spacing w:after="0" w:line="113"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vMerge w:val="restart"/>
          </w:tcPr>
          <w:p>
            <w:pPr>
              <w:ind w:left="40"/>
              <w:spacing w:after="0" w:line="11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ind w:left="240"/>
              <w:spacing w:after="0" w:line="79"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3"/>
            <w:vMerge w:val="restart"/>
          </w:tcPr>
          <w:p>
            <w:pPr>
              <w:jc w:val="right"/>
              <w:spacing w:after="0" w:line="113" w:lineRule="exact"/>
              <w:rPr>
                <w:sz w:val="20"/>
                <w:szCs w:val="20"/>
                <w:color w:val="auto"/>
              </w:rPr>
            </w:pPr>
            <w:r>
              <w:rPr>
                <w:rFonts w:ascii="Times New Roman" w:cs="Times New Roman" w:eastAsia="Times New Roman" w:hAnsi="Times New Roman"/>
                <w:sz w:val="12"/>
                <w:szCs w:val="12"/>
                <w:color w:val="auto"/>
              </w:rPr>
              <w:t>​​ ​</w:t>
            </w:r>
          </w:p>
        </w:tc>
        <w:tc>
          <w:tcPr>
            <w:tcW w:w="400" w:type="dxa"/>
            <w:vAlign w:val="bottom"/>
            <w:gridSpan w:val="2"/>
          </w:tcPr>
          <w:p>
            <w:pPr>
              <w:ind w:left="60"/>
              <w:spacing w:after="0" w:line="79" w:lineRule="exact"/>
              <w:rPr>
                <w:sz w:val="20"/>
                <w:szCs w:val="20"/>
                <w:color w:val="auto"/>
              </w:rPr>
            </w:pPr>
            <w:r>
              <w:rPr>
                <w:rFonts w:ascii="Times New Roman" w:cs="Times New Roman" w:eastAsia="Times New Roman" w:hAnsi="Times New Roman"/>
                <w:sz w:val="9"/>
                <w:szCs w:val="9"/>
                <w:color w:val="auto"/>
              </w:rPr>
              <w:t>​ 9.26</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9"/>
                <w:szCs w:val="9"/>
                <w:color w:val="auto"/>
              </w:rPr>
              <w:t>​1/26/2032</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ind w:left="140"/>
              <w:spacing w:after="0" w:line="79"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jc w:val="right"/>
              <w:spacing w:after="0" w:line="79"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​171,122</w:t>
            </w:r>
          </w:p>
        </w:tc>
        <w:tc>
          <w:tcPr>
            <w:tcW w:w="16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580" w:type="dxa"/>
            <w:vAlign w:val="bottom"/>
          </w:tcPr>
          <w:p>
            <w:pPr>
              <w:ind w:left="240"/>
              <w:spacing w:after="0"/>
              <w:rPr>
                <w:sz w:val="20"/>
                <w:szCs w:val="20"/>
                <w:color w:val="auto"/>
              </w:rPr>
            </w:pPr>
            <w:r>
              <w:rPr>
                <w:rFonts w:ascii="Times New Roman" w:cs="Times New Roman" w:eastAsia="Times New Roman" w:hAnsi="Times New Roman"/>
                <w:sz w:val="3"/>
                <w:szCs w:val="3"/>
                <w:color w:val="auto"/>
                <w:vertAlign w:val="superscript"/>
              </w:rPr>
              <w:t>​</w:t>
            </w:r>
            <w:r>
              <w:rPr>
                <w:rFonts w:ascii="Times New Roman" w:cs="Times New Roman" w:eastAsia="Times New Roman" w:hAnsi="Times New Roman"/>
                <w:sz w:val="2"/>
                <w:szCs w:val="2"/>
                <w:color w:val="auto"/>
              </w:rPr>
              <w:t>​—</w:t>
            </w:r>
          </w:p>
        </w:tc>
        <w:tc>
          <w:tcPr>
            <w:tcW w:w="160" w:type="dxa"/>
            <w:vAlign w:val="bottom"/>
            <w:gridSpan w:val="3"/>
            <w:vMerge w:val="continue"/>
          </w:tcPr>
          <w:p>
            <w:pPr>
              <w:spacing w:after="0"/>
              <w:rPr>
                <w:sz w:val="2"/>
                <w:szCs w:val="2"/>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3"/>
                <w:szCs w:val="3"/>
                <w:color w:val="auto"/>
                <w:vertAlign w:val="superscript"/>
              </w:rPr>
              <w:t>​</w:t>
            </w:r>
            <w:r>
              <w:rPr>
                <w:rFonts w:ascii="Times New Roman" w:cs="Times New Roman" w:eastAsia="Times New Roman" w:hAnsi="Times New Roman"/>
                <w:sz w:val="2"/>
                <w:szCs w:val="2"/>
                <w:color w:val="auto"/>
              </w:rPr>
              <w:t>​ 9.26</w:t>
            </w:r>
          </w:p>
        </w:tc>
        <w:tc>
          <w:tcPr>
            <w:tcW w:w="820" w:type="dxa"/>
            <w:vAlign w:val="bottom"/>
            <w:gridSpan w:val="7"/>
          </w:tcPr>
          <w:p>
            <w:pPr>
              <w:jc w:val="right"/>
              <w:spacing w:after="0"/>
              <w:rPr>
                <w:sz w:val="20"/>
                <w:szCs w:val="20"/>
                <w:color w:val="auto"/>
              </w:rPr>
            </w:pPr>
            <w:r>
              <w:rPr>
                <w:rFonts w:ascii="Times New Roman" w:cs="Times New Roman" w:eastAsia="Times New Roman" w:hAnsi="Times New Roman"/>
                <w:sz w:val="3"/>
                <w:szCs w:val="3"/>
                <w:color w:val="auto"/>
                <w:vertAlign w:val="superscript"/>
              </w:rPr>
              <w:t>​​ ​​</w:t>
            </w:r>
            <w:r>
              <w:rPr>
                <w:rFonts w:ascii="Times New Roman" w:cs="Times New Roman" w:eastAsia="Times New Roman" w:hAnsi="Times New Roman"/>
                <w:sz w:val="2"/>
                <w:szCs w:val="2"/>
                <w:color w:val="auto"/>
              </w:rPr>
              <w:t>​1/26/2032</w:t>
            </w:r>
            <w:r>
              <w:rPr>
                <w:rFonts w:ascii="Times New Roman" w:cs="Times New Roman" w:eastAsia="Times New Roman" w:hAnsi="Times New Roman"/>
                <w:sz w:val="3"/>
                <w:szCs w:val="3"/>
                <w:color w:val="auto"/>
                <w:vertAlign w:val="superscript"/>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3"/>
                <w:szCs w:val="3"/>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3"/>
                <w:szCs w:val="3"/>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
                <w:szCs w:val="2"/>
                <w:color w:val="auto"/>
              </w:rPr>
              <w:t>​​ ​ ​</w:t>
            </w:r>
            <w:r>
              <w:rPr>
                <w:rFonts w:ascii="Times New Roman" w:cs="Times New Roman" w:eastAsia="Times New Roman" w:hAnsi="Times New Roman"/>
                <w:sz w:val="3"/>
                <w:szCs w:val="3"/>
                <w:color w:val="auto"/>
                <w:vertAlign w:val="subscript"/>
              </w:rPr>
              <w:t>​</w:t>
            </w:r>
          </w:p>
        </w:tc>
        <w:tc>
          <w:tcPr>
            <w:tcW w:w="340" w:type="dxa"/>
            <w:vAlign w:val="bottom"/>
          </w:tcPr>
          <w:p>
            <w:pPr>
              <w:spacing w:after="0"/>
              <w:rPr>
                <w:sz w:val="2"/>
                <w:szCs w:val="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
                <w:szCs w:val="2"/>
                <w:color w:val="auto"/>
              </w:rPr>
              <w:t xml:space="preserve">— </w:t>
            </w:r>
            <w:r>
              <w:rPr>
                <w:rFonts w:ascii="Times New Roman" w:cs="Times New Roman" w:eastAsia="Times New Roman" w:hAnsi="Times New Roman"/>
                <w:sz w:val="3"/>
                <w:szCs w:val="3"/>
                <w:b w:val="1"/>
                <w:bCs w:val="1"/>
                <w:color w:val="auto"/>
                <w:vertAlign w:val="superscript"/>
              </w:rPr>
              <w:t>​</w:t>
            </w:r>
          </w:p>
        </w:tc>
        <w:tc>
          <w:tcPr>
            <w:tcW w:w="0" w:type="dxa"/>
            <w:vAlign w:val="bottom"/>
          </w:tcPr>
          <w:p>
            <w:pPr>
              <w:spacing w:after="0" w:line="20" w:lineRule="exact"/>
              <w:rPr>
                <w:sz w:val="1"/>
                <w:szCs w:val="1"/>
                <w:color w:val="auto"/>
              </w:rPr>
            </w:pPr>
          </w:p>
        </w:tc>
      </w:tr>
      <w:tr>
        <w:trPr>
          <w:trHeight w:val="103"/>
        </w:trPr>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 11,978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4"/>
              </w:rPr>
              <w:t>(10)</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tcPr>
          <w:p>
            <w:pPr>
              <w:ind w:left="240"/>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gridSpan w:val="2"/>
            <w:vMerge w:val="restart"/>
          </w:tcPr>
          <w:p>
            <w:pPr>
              <w:ind w:left="60"/>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​10.61</w:t>
            </w:r>
          </w:p>
        </w:tc>
        <w:tc>
          <w:tcPr>
            <w:tcW w:w="820" w:type="dxa"/>
            <w:vAlign w:val="bottom"/>
            <w:gridSpan w:val="7"/>
            <w:vMerge w:val="restart"/>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color w:val="auto"/>
              </w:rPr>
              <w:t>​6/22/2033</w:t>
            </w:r>
            <w:r>
              <w:rPr>
                <w:rFonts w:ascii="Times New Roman" w:cs="Times New Roman" w:eastAsia="Times New Roman" w:hAnsi="Times New Roman"/>
                <w:sz w:val="21"/>
                <w:szCs w:val="21"/>
                <w:color w:val="auto"/>
                <w:vertAlign w:val="superscript"/>
              </w:rPr>
              <w:t>​​ ​</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3"/>
            <w:vMerge w:val="restart"/>
          </w:tcPr>
          <w:p>
            <w:pPr>
              <w:jc w:val="right"/>
              <w:spacing w:after="0" w:line="184" w:lineRule="exact"/>
              <w:rPr>
                <w:sz w:val="20"/>
                <w:szCs w:val="20"/>
                <w:color w:val="auto"/>
              </w:rPr>
            </w:pPr>
            <w:r>
              <w:rPr>
                <w:rFonts w:ascii="Times New Roman" w:cs="Times New Roman" w:eastAsia="Times New Roman" w:hAnsi="Times New Roman"/>
                <w:sz w:val="11"/>
                <w:szCs w:val="11"/>
                <w:color w:val="auto"/>
              </w:rPr>
              <w:t>​​ ​ ​</w:t>
            </w:r>
            <w:r>
              <w:rPr>
                <w:rFonts w:ascii="Times New Roman" w:cs="Times New Roman" w:eastAsia="Times New Roman" w:hAnsi="Times New Roman"/>
                <w:sz w:val="21"/>
                <w:szCs w:val="21"/>
                <w:color w:val="auto"/>
                <w:vertAlign w:val="subscript"/>
              </w:rPr>
              <w:t>​</w:t>
            </w:r>
          </w:p>
        </w:tc>
        <w:tc>
          <w:tcPr>
            <w:tcW w:w="340" w:type="dxa"/>
            <w:vAlign w:val="bottom"/>
          </w:tcPr>
          <w:p>
            <w:pPr>
              <w:spacing w:after="0"/>
              <w:rPr>
                <w:sz w:val="8"/>
                <w:szCs w:val="8"/>
                <w:color w:val="auto"/>
              </w:rPr>
            </w:pPr>
          </w:p>
        </w:tc>
        <w:tc>
          <w:tcPr>
            <w:tcW w:w="200" w:type="dxa"/>
            <w:vAlign w:val="bottom"/>
            <w:gridSpan w:val="2"/>
            <w:vMerge w:val="restart"/>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b w:val="1"/>
                <w:bCs w:val="1"/>
                <w:color w:val="auto"/>
              </w:rPr>
              <w:t xml:space="preserve"> ​</w:t>
            </w:r>
          </w:p>
        </w:tc>
        <w:tc>
          <w:tcPr>
            <w:tcW w:w="0" w:type="dxa"/>
            <w:vAlign w:val="bottom"/>
          </w:tcPr>
          <w:p>
            <w:pPr>
              <w:spacing w:after="0"/>
              <w:rPr>
                <w:sz w:val="1"/>
                <w:szCs w:val="1"/>
                <w:color w:val="auto"/>
              </w:rPr>
            </w:pPr>
          </w:p>
        </w:tc>
      </w:tr>
      <w:tr>
        <w:trPr>
          <w:trHeight w:val="81"/>
        </w:trPr>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6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gridSpan w:val="3"/>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820" w:type="dxa"/>
            <w:vAlign w:val="bottom"/>
            <w:gridSpan w:val="7"/>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22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 30,642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4"/>
              </w:rPr>
              <w:t>(11)</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tcPr>
          <w:p>
            <w:pPr>
              <w:ind w:left="240"/>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gridSpan w:val="2"/>
            <w:vMerge w:val="restart"/>
          </w:tcPr>
          <w:p>
            <w:pPr>
              <w:ind w:left="60"/>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​17.44</w:t>
            </w:r>
          </w:p>
        </w:tc>
        <w:tc>
          <w:tcPr>
            <w:tcW w:w="820" w:type="dxa"/>
            <w:vAlign w:val="bottom"/>
            <w:gridSpan w:val="7"/>
            <w:vMerge w:val="restart"/>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color w:val="auto"/>
              </w:rPr>
              <w:t>​10/8/2033</w:t>
            </w:r>
            <w:r>
              <w:rPr>
                <w:rFonts w:ascii="Times New Roman" w:cs="Times New Roman" w:eastAsia="Times New Roman" w:hAnsi="Times New Roman"/>
                <w:sz w:val="21"/>
                <w:szCs w:val="21"/>
                <w:color w:val="auto"/>
                <w:vertAlign w:val="superscript"/>
              </w:rPr>
              <w:t>​​ ​</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3"/>
            <w:vMerge w:val="restart"/>
          </w:tcPr>
          <w:p>
            <w:pPr>
              <w:jc w:val="right"/>
              <w:spacing w:after="0" w:line="184" w:lineRule="exact"/>
              <w:rPr>
                <w:sz w:val="20"/>
                <w:szCs w:val="20"/>
                <w:color w:val="auto"/>
              </w:rPr>
            </w:pPr>
            <w:r>
              <w:rPr>
                <w:rFonts w:ascii="Times New Roman" w:cs="Times New Roman" w:eastAsia="Times New Roman" w:hAnsi="Times New Roman"/>
                <w:sz w:val="11"/>
                <w:szCs w:val="11"/>
                <w:color w:val="auto"/>
              </w:rPr>
              <w:t>​​ ​ ​</w:t>
            </w:r>
            <w:r>
              <w:rPr>
                <w:rFonts w:ascii="Times New Roman" w:cs="Times New Roman" w:eastAsia="Times New Roman" w:hAnsi="Times New Roman"/>
                <w:sz w:val="21"/>
                <w:szCs w:val="21"/>
                <w:color w:val="auto"/>
                <w:vertAlign w:val="subscript"/>
              </w:rPr>
              <w:t>​</w:t>
            </w:r>
          </w:p>
        </w:tc>
        <w:tc>
          <w:tcPr>
            <w:tcW w:w="340" w:type="dxa"/>
            <w:vAlign w:val="bottom"/>
          </w:tcPr>
          <w:p>
            <w:pPr>
              <w:spacing w:after="0"/>
              <w:rPr>
                <w:sz w:val="8"/>
                <w:szCs w:val="8"/>
                <w:color w:val="auto"/>
              </w:rPr>
            </w:pPr>
          </w:p>
        </w:tc>
        <w:tc>
          <w:tcPr>
            <w:tcW w:w="200" w:type="dxa"/>
            <w:vAlign w:val="bottom"/>
            <w:gridSpan w:val="2"/>
            <w:vMerge w:val="restart"/>
          </w:tcPr>
          <w:p>
            <w:pPr>
              <w:jc w:val="right"/>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b w:val="1"/>
                <w:bCs w:val="1"/>
                <w:color w:val="auto"/>
                <w:vertAlign w:val="superscript"/>
              </w:rPr>
              <w:t>​</w:t>
            </w:r>
          </w:p>
        </w:tc>
        <w:tc>
          <w:tcPr>
            <w:tcW w:w="0" w:type="dxa"/>
            <w:vAlign w:val="bottom"/>
          </w:tcPr>
          <w:p>
            <w:pPr>
              <w:spacing w:after="0"/>
              <w:rPr>
                <w:sz w:val="1"/>
                <w:szCs w:val="1"/>
                <w:color w:val="auto"/>
              </w:rPr>
            </w:pPr>
          </w:p>
        </w:tc>
      </w:tr>
      <w:tr>
        <w:trPr>
          <w:trHeight w:val="81"/>
        </w:trPr>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6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gridSpan w:val="3"/>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820" w:type="dxa"/>
            <w:vAlign w:val="bottom"/>
            <w:gridSpan w:val="7"/>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22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4"/>
              </w:rPr>
              <w:t>(12)</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color w:val="auto"/>
              </w:rPr>
              <w:t xml:space="preserve"> ​ ​</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ind w:left="240"/>
              <w:spacing w:after="0" w:line="229"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2"/>
                <w:szCs w:val="12"/>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ind w:left="60"/>
              <w:spacing w:after="0" w:line="229"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2"/>
                <w:szCs w:val="12"/>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4"/>
          </w:tcPr>
          <w:p>
            <w:pPr>
              <w:jc w:val="right"/>
              <w:spacing w:after="0" w:line="229"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4"/>
                <w:szCs w:val="24"/>
                <w:color w:val="auto"/>
                <w:vertAlign w:val="subscript"/>
              </w:rPr>
              <w:t>​</w:t>
            </w:r>
          </w:p>
        </w:tc>
        <w:tc>
          <w:tcPr>
            <w:tcW w:w="58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color w:val="auto"/>
              </w:rPr>
              <w:t>​​ ​</w:t>
            </w:r>
          </w:p>
        </w:tc>
        <w:tc>
          <w:tcPr>
            <w:tcW w:w="1360" w:type="dxa"/>
            <w:vAlign w:val="bottom"/>
            <w:gridSpan w:val="8"/>
          </w:tcPr>
          <w:p>
            <w:pPr>
              <w:ind w:left="140"/>
              <w:spacing w:after="0" w:line="229" w:lineRule="exact"/>
              <w:rPr>
                <w:sz w:val="20"/>
                <w:szCs w:val="20"/>
                <w:color w:val="auto"/>
              </w:rPr>
            </w:pPr>
            <w:r>
              <w:rPr>
                <w:rFonts w:ascii="Times New Roman" w:cs="Times New Roman" w:eastAsia="Times New Roman" w:hAnsi="Times New Roman"/>
                <w:sz w:val="12"/>
                <w:szCs w:val="12"/>
                <w:color w:val="auto"/>
              </w:rPr>
              <w:t>​93,582</w:t>
            </w:r>
            <w:r>
              <w:rPr>
                <w:rFonts w:ascii="Times New Roman" w:cs="Times New Roman" w:eastAsia="Times New Roman" w:hAnsi="Times New Roman"/>
                <w:sz w:val="15"/>
                <w:szCs w:val="15"/>
                <w:color w:val="auto"/>
                <w:vertAlign w:val="superscript"/>
              </w:rPr>
              <w:t>(13)</w:t>
            </w:r>
            <w:r>
              <w:rPr>
                <w:rFonts w:ascii="Times New Roman" w:cs="Times New Roman" w:eastAsia="Times New Roman" w:hAnsi="Times New Roman"/>
                <w:sz w:val="24"/>
                <w:szCs w:val="24"/>
                <w:color w:val="auto"/>
                <w:vertAlign w:val="superscript"/>
              </w:rPr>
              <w:t>​​ ​ ​</w:t>
            </w:r>
            <w:r>
              <w:rPr>
                <w:rFonts w:ascii="Times New Roman" w:cs="Times New Roman" w:eastAsia="Times New Roman" w:hAnsi="Times New Roman"/>
                <w:sz w:val="12"/>
                <w:szCs w:val="12"/>
                <w:color w:val="auto"/>
              </w:rPr>
              <w:t xml:space="preserve">​1,631,875 </w:t>
            </w:r>
            <w:r>
              <w:rPr>
                <w:rFonts w:ascii="Times New Roman" w:cs="Times New Roman" w:eastAsia="Times New Roman" w:hAnsi="Times New Roman"/>
                <w:sz w:val="24"/>
                <w:szCs w:val="24"/>
                <w:b w:val="1"/>
                <w:bCs w:val="1"/>
                <w:color w:val="auto"/>
                <w:vertAlign w:val="superscript"/>
              </w:rPr>
              <w:t>​</w:t>
            </w:r>
          </w:p>
        </w:tc>
        <w:tc>
          <w:tcPr>
            <w:tcW w:w="0" w:type="dxa"/>
            <w:vAlign w:val="bottom"/>
          </w:tcPr>
          <w:p>
            <w:pPr>
              <w:spacing w:after="0"/>
              <w:rPr>
                <w:sz w:val="1"/>
                <w:szCs w:val="1"/>
                <w:color w:val="auto"/>
              </w:rPr>
            </w:pPr>
          </w:p>
        </w:tc>
      </w:tr>
      <w:tr>
        <w:trPr>
          <w:trHeight w:val="22"/>
        </w:trPr>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restart"/>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line="20" w:lineRule="exact"/>
              <w:rPr>
                <w:sz w:val="1"/>
                <w:szCs w:val="1"/>
                <w:color w:val="auto"/>
              </w:rPr>
            </w:pPr>
          </w:p>
        </w:tc>
      </w:tr>
      <w:tr>
        <w:trPr>
          <w:trHeight w:val="101"/>
        </w:trPr>
        <w:tc>
          <w:tcPr>
            <w:tcW w:w="13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Roy Hardiman</w:t>
            </w:r>
          </w:p>
        </w:tc>
        <w:tc>
          <w:tcPr>
            <w:tcW w:w="180" w:type="dxa"/>
            <w:vAlign w:val="bottom"/>
            <w:shd w:val="clear" w:color="auto" w:fill="CCEEFF"/>
          </w:tcPr>
          <w:p>
            <w:pPr>
              <w:ind w:left="140"/>
              <w:spacing w:after="0" w:line="10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8"/>
                <w:szCs w:val="8"/>
                <w:color w:val="auto"/>
              </w:rPr>
            </w:pPr>
          </w:p>
        </w:tc>
        <w:tc>
          <w:tcPr>
            <w:tcW w:w="4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 42,780</w:t>
            </w:r>
          </w:p>
        </w:tc>
        <w:tc>
          <w:tcPr>
            <w:tcW w:w="16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7"/>
                <w:szCs w:val="7"/>
                <w:color w:val="auto"/>
                <w:w w:val="85"/>
              </w:rPr>
              <w:t>(14)</w:t>
            </w:r>
            <w:r>
              <w:rPr>
                <w:rFonts w:ascii="Times New Roman" w:cs="Times New Roman" w:eastAsia="Times New Roman" w:hAnsi="Times New Roman"/>
                <w:sz w:val="11"/>
                <w:szCs w:val="11"/>
                <w:color w:val="auto"/>
                <w:w w:val="85"/>
              </w:rPr>
              <w:t>​​</w:t>
            </w:r>
          </w:p>
        </w:tc>
        <w:tc>
          <w:tcPr>
            <w:tcW w:w="80" w:type="dxa"/>
            <w:vAlign w:val="bottom"/>
            <w:shd w:val="clear" w:color="auto" w:fill="CCEEFF"/>
          </w:tcPr>
          <w:p>
            <w:pPr>
              <w:ind w:left="40"/>
              <w:spacing w:after="0" w:line="101"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240"/>
              <w:spacing w:after="0" w:line="10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ind w:left="140"/>
              <w:spacing w:after="0" w:line="101"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 ​</w:t>
            </w:r>
          </w:p>
        </w:tc>
        <w:tc>
          <w:tcPr>
            <w:tcW w:w="34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340" w:type="dxa"/>
            <w:vAlign w:val="bottom"/>
            <w:gridSpan w:val="3"/>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2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ind w:left="240"/>
              <w:spacing w:after="0" w:line="79"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0" w:type="dxa"/>
            <w:vAlign w:val="bottom"/>
            <w:gridSpan w:val="2"/>
            <w:shd w:val="clear" w:color="auto" w:fill="CCEEFF"/>
          </w:tcPr>
          <w:p>
            <w:pPr>
              <w:ind w:left="60"/>
              <w:spacing w:after="0" w:line="79" w:lineRule="exact"/>
              <w:rPr>
                <w:sz w:val="20"/>
                <w:szCs w:val="20"/>
                <w:color w:val="auto"/>
              </w:rPr>
            </w:pPr>
            <w:r>
              <w:rPr>
                <w:rFonts w:ascii="Times New Roman" w:cs="Times New Roman" w:eastAsia="Times New Roman" w:hAnsi="Times New Roman"/>
                <w:sz w:val="9"/>
                <w:szCs w:val="9"/>
                <w:color w:val="auto"/>
              </w:rPr>
              <w:t>​ 9.26</w:t>
            </w: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gridSpan w:val="2"/>
            <w:shd w:val="clear" w:color="auto" w:fill="CCEEFF"/>
          </w:tcPr>
          <w:p>
            <w:pPr>
              <w:jc w:val="center"/>
              <w:spacing w:after="0" w:line="79" w:lineRule="exact"/>
              <w:rPr>
                <w:sz w:val="20"/>
                <w:szCs w:val="20"/>
                <w:color w:val="auto"/>
              </w:rPr>
            </w:pPr>
            <w:r>
              <w:rPr>
                <w:rFonts w:ascii="Times New Roman" w:cs="Times New Roman" w:eastAsia="Times New Roman" w:hAnsi="Times New Roman"/>
                <w:sz w:val="9"/>
                <w:szCs w:val="9"/>
                <w:color w:val="auto"/>
              </w:rPr>
              <w:t>​1/26/2032</w:t>
            </w: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20" w:type="dxa"/>
            <w:vAlign w:val="bottom"/>
            <w:shd w:val="clear" w:color="auto" w:fill="CCEEFF"/>
          </w:tcPr>
          <w:p>
            <w:pPr>
              <w:ind w:left="140"/>
              <w:spacing w:after="0" w:line="79"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jc w:val="right"/>
              <w:spacing w:after="0" w:line="79"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40" w:type="dxa"/>
            <w:vAlign w:val="bottom"/>
            <w:shd w:val="clear" w:color="auto" w:fill="CCEEFF"/>
          </w:tcPr>
          <w:p>
            <w:pPr>
              <w:spacing w:after="0"/>
              <w:rPr>
                <w:sz w:val="2"/>
                <w:szCs w:val="2"/>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3"/>
                <w:szCs w:val="3"/>
                <w:color w:val="auto"/>
              </w:rPr>
              <w:t>​151,871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3"/>
                <w:szCs w:val="3"/>
                <w:color w:val="auto"/>
              </w:rPr>
              <w:t>​</w:t>
            </w: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3"/>
                <w:szCs w:val="3"/>
                <w:color w:val="auto"/>
                <w:vertAlign w:val="superscript"/>
              </w:rPr>
              <w:t>​</w:t>
            </w:r>
            <w:r>
              <w:rPr>
                <w:rFonts w:ascii="Times New Roman" w:cs="Times New Roman" w:eastAsia="Times New Roman" w:hAnsi="Times New Roman"/>
                <w:sz w:val="2"/>
                <w:szCs w:val="2"/>
                <w:color w:val="auto"/>
              </w:rPr>
              <w:t>​—</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3"/>
                <w:szCs w:val="3"/>
                <w:color w:val="auto"/>
                <w:vertAlign w:val="superscript"/>
              </w:rPr>
              <w:t>​</w:t>
            </w:r>
            <w:r>
              <w:rPr>
                <w:rFonts w:ascii="Times New Roman" w:cs="Times New Roman" w:eastAsia="Times New Roman" w:hAnsi="Times New Roman"/>
                <w:sz w:val="2"/>
                <w:szCs w:val="2"/>
                <w:color w:val="auto"/>
              </w:rPr>
              <w:t>​ 9.26</w:t>
            </w:r>
          </w:p>
        </w:tc>
        <w:tc>
          <w:tcPr>
            <w:tcW w:w="8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vertAlign w:val="superscript"/>
              </w:rPr>
              <w:t>​​ ​​</w:t>
            </w:r>
            <w:r>
              <w:rPr>
                <w:rFonts w:ascii="Times New Roman" w:cs="Times New Roman" w:eastAsia="Times New Roman" w:hAnsi="Times New Roman"/>
                <w:sz w:val="2"/>
                <w:szCs w:val="2"/>
                <w:color w:val="auto"/>
              </w:rPr>
              <w:t>​1/26/2032</w:t>
            </w:r>
            <w:r>
              <w:rPr>
                <w:rFonts w:ascii="Times New Roman" w:cs="Times New Roman" w:eastAsia="Times New Roman" w:hAnsi="Times New Roman"/>
                <w:sz w:val="3"/>
                <w:szCs w:val="3"/>
                <w:color w:val="auto"/>
                <w:vertAlign w:val="superscript"/>
              </w:rPr>
              <w:t>​​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3"/>
                <w:szCs w:val="3"/>
                <w:color w:val="auto"/>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3"/>
                <w:szCs w:val="3"/>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 ​ ​</w:t>
            </w:r>
            <w:r>
              <w:rPr>
                <w:rFonts w:ascii="Times New Roman" w:cs="Times New Roman" w:eastAsia="Times New Roman" w:hAnsi="Times New Roman"/>
                <w:sz w:val="3"/>
                <w:szCs w:val="3"/>
                <w:color w:val="auto"/>
                <w:vertAlign w:val="subscript"/>
              </w:rPr>
              <w:t>​</w:t>
            </w:r>
          </w:p>
        </w:tc>
        <w:tc>
          <w:tcPr>
            <w:tcW w:w="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0" w:type="dxa"/>
            <w:vAlign w:val="bottom"/>
          </w:tcPr>
          <w:p>
            <w:pPr>
              <w:spacing w:after="0" w:line="20" w:lineRule="exact"/>
              <w:rPr>
                <w:sz w:val="1"/>
                <w:szCs w:val="1"/>
                <w:color w:val="auto"/>
              </w:rPr>
            </w:pPr>
          </w:p>
        </w:tc>
      </w:tr>
      <w:tr>
        <w:trPr>
          <w:trHeight w:val="103"/>
        </w:trPr>
        <w:tc>
          <w:tcPr>
            <w:tcW w:w="2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4"/>
              </w:rPr>
              <w:t>(15)</w:t>
            </w: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 14,973</w:t>
            </w:r>
          </w:p>
        </w:tc>
        <w:tc>
          <w:tcPr>
            <w:tcW w:w="16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80" w:type="dxa"/>
            <w:vAlign w:val="bottom"/>
            <w:shd w:val="clear" w:color="auto" w:fill="CCEEFF"/>
          </w:tcPr>
          <w:p>
            <w:pPr>
              <w:ind w:left="40"/>
              <w:spacing w:after="0" w:line="81"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CCEEFF"/>
          </w:tcPr>
          <w:p>
            <w:pPr>
              <w:ind w:left="240"/>
              <w:spacing w:after="0" w:line="81" w:lineRule="exact"/>
              <w:rPr>
                <w:sz w:val="20"/>
                <w:szCs w:val="20"/>
                <w:color w:val="auto"/>
              </w:rPr>
            </w:pPr>
            <w:r>
              <w:rPr>
                <w:rFonts w:ascii="Times New Roman" w:cs="Times New Roman" w:eastAsia="Times New Roman" w:hAnsi="Times New Roman"/>
                <w:sz w:val="9"/>
                <w:szCs w:val="9"/>
                <w:color w:val="auto"/>
                <w:vertAlign w:val="superscript"/>
              </w:rPr>
              <w:t>​</w:t>
            </w:r>
            <w:r>
              <w:rPr>
                <w:rFonts w:ascii="Times New Roman" w:cs="Times New Roman" w:eastAsia="Times New Roman" w:hAnsi="Times New Roman"/>
                <w:sz w:val="7"/>
                <w:szCs w:val="7"/>
                <w:color w:val="auto"/>
              </w:rPr>
              <w:t>​—</w:t>
            </w:r>
          </w:p>
        </w:tc>
        <w:tc>
          <w:tcPr>
            <w:tcW w:w="160" w:type="dxa"/>
            <w:vAlign w:val="bottom"/>
            <w:gridSpan w:val="3"/>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400" w:type="dxa"/>
            <w:vAlign w:val="bottom"/>
            <w:gridSpan w:val="2"/>
            <w:shd w:val="clear" w:color="auto" w:fill="CCEEFF"/>
          </w:tcPr>
          <w:p>
            <w:pPr>
              <w:ind w:left="60"/>
              <w:spacing w:after="0" w:line="81" w:lineRule="exact"/>
              <w:rPr>
                <w:sz w:val="20"/>
                <w:szCs w:val="20"/>
                <w:color w:val="auto"/>
              </w:rPr>
            </w:pPr>
            <w:r>
              <w:rPr>
                <w:rFonts w:ascii="Times New Roman" w:cs="Times New Roman" w:eastAsia="Times New Roman" w:hAnsi="Times New Roman"/>
                <w:sz w:val="9"/>
                <w:szCs w:val="9"/>
                <w:color w:val="auto"/>
                <w:vertAlign w:val="superscript"/>
              </w:rPr>
              <w:t>​</w:t>
            </w:r>
            <w:r>
              <w:rPr>
                <w:rFonts w:ascii="Times New Roman" w:cs="Times New Roman" w:eastAsia="Times New Roman" w:hAnsi="Times New Roman"/>
                <w:sz w:val="7"/>
                <w:szCs w:val="7"/>
                <w:color w:val="auto"/>
              </w:rPr>
              <w:t>​10.61</w:t>
            </w:r>
          </w:p>
        </w:tc>
        <w:tc>
          <w:tcPr>
            <w:tcW w:w="820" w:type="dxa"/>
            <w:vAlign w:val="bottom"/>
            <w:gridSpan w:val="7"/>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vertAlign w:val="superscript"/>
              </w:rPr>
              <w:t>​​ ​​</w:t>
            </w:r>
            <w:r>
              <w:rPr>
                <w:rFonts w:ascii="Times New Roman" w:cs="Times New Roman" w:eastAsia="Times New Roman" w:hAnsi="Times New Roman"/>
                <w:sz w:val="7"/>
                <w:szCs w:val="7"/>
                <w:color w:val="auto"/>
              </w:rPr>
              <w:t>​6/22/2033</w:t>
            </w:r>
            <w:r>
              <w:rPr>
                <w:rFonts w:ascii="Times New Roman" w:cs="Times New Roman" w:eastAsia="Times New Roman" w:hAnsi="Times New Roman"/>
                <w:sz w:val="9"/>
                <w:szCs w:val="9"/>
                <w:color w:val="auto"/>
                <w:vertAlign w:val="superscript"/>
              </w:rPr>
              <w:t>​​ ​</w:t>
            </w:r>
          </w:p>
        </w:tc>
        <w:tc>
          <w:tcPr>
            <w:tcW w:w="220" w:type="dxa"/>
            <w:vAlign w:val="bottom"/>
            <w:shd w:val="clear" w:color="auto" w:fill="CCEEFF"/>
          </w:tcPr>
          <w:p>
            <w:pPr>
              <w:ind w:left="140"/>
              <w:spacing w:after="0" w:line="81"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ind w:left="140"/>
              <w:spacing w:after="0" w:line="81"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gridSpan w:val="3"/>
            <w:shd w:val="clear" w:color="auto" w:fill="CCEEFF"/>
          </w:tcPr>
          <w:p>
            <w:pPr>
              <w:jc w:val="right"/>
              <w:spacing w:after="0" w:line="81" w:lineRule="exact"/>
              <w:rPr>
                <w:sz w:val="20"/>
                <w:szCs w:val="20"/>
                <w:color w:val="auto"/>
              </w:rPr>
            </w:pPr>
            <w:r>
              <w:rPr>
                <w:rFonts w:ascii="Times New Roman" w:cs="Times New Roman" w:eastAsia="Times New Roman" w:hAnsi="Times New Roman"/>
                <w:sz w:val="7"/>
                <w:szCs w:val="7"/>
                <w:color w:val="auto"/>
              </w:rPr>
              <w:t>​​ ​ ​</w:t>
            </w:r>
            <w:r>
              <w:rPr>
                <w:rFonts w:ascii="Times New Roman" w:cs="Times New Roman" w:eastAsia="Times New Roman" w:hAnsi="Times New Roman"/>
                <w:sz w:val="9"/>
                <w:szCs w:val="9"/>
                <w:color w:val="auto"/>
                <w:vertAlign w:val="subscript"/>
              </w:rPr>
              <w:t>​</w:t>
            </w:r>
          </w:p>
        </w:tc>
        <w:tc>
          <w:tcPr>
            <w:tcW w:w="340" w:type="dxa"/>
            <w:vAlign w:val="bottom"/>
            <w:shd w:val="clear" w:color="auto" w:fill="CCEEFF"/>
          </w:tcPr>
          <w:p>
            <w:pPr>
              <w:spacing w:after="0"/>
              <w:rPr>
                <w:sz w:val="7"/>
                <w:szCs w:val="7"/>
                <w:color w:val="auto"/>
              </w:rPr>
            </w:pPr>
          </w:p>
        </w:tc>
        <w:tc>
          <w:tcPr>
            <w:tcW w:w="160" w:type="dxa"/>
            <w:vAlign w:val="bottom"/>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103"/>
        </w:trPr>
        <w:tc>
          <w:tcPr>
            <w:tcW w:w="2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4"/>
              </w:rPr>
              <w:t>(16)</w:t>
            </w: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 30,642</w:t>
            </w:r>
          </w:p>
        </w:tc>
        <w:tc>
          <w:tcPr>
            <w:tcW w:w="40" w:type="dxa"/>
            <w:vAlign w:val="bottom"/>
            <w:shd w:val="clear" w:color="auto" w:fill="CCEEFF"/>
          </w:tcPr>
          <w:p>
            <w:pPr>
              <w:spacing w:after="0"/>
              <w:rPr>
                <w:sz w:val="7"/>
                <w:szCs w:val="7"/>
                <w:color w:val="auto"/>
              </w:rPr>
            </w:pPr>
          </w:p>
        </w:tc>
        <w:tc>
          <w:tcPr>
            <w:tcW w:w="12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80" w:type="dxa"/>
            <w:vAlign w:val="bottom"/>
            <w:shd w:val="clear" w:color="auto" w:fill="CCEEFF"/>
          </w:tcPr>
          <w:p>
            <w:pPr>
              <w:ind w:left="40"/>
              <w:spacing w:after="0" w:line="81"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CCEEFF"/>
          </w:tcPr>
          <w:p>
            <w:pPr>
              <w:ind w:left="240"/>
              <w:spacing w:after="0" w:line="81" w:lineRule="exact"/>
              <w:rPr>
                <w:sz w:val="20"/>
                <w:szCs w:val="20"/>
                <w:color w:val="auto"/>
              </w:rPr>
            </w:pPr>
            <w:r>
              <w:rPr>
                <w:rFonts w:ascii="Times New Roman" w:cs="Times New Roman" w:eastAsia="Times New Roman" w:hAnsi="Times New Roman"/>
                <w:sz w:val="9"/>
                <w:szCs w:val="9"/>
                <w:color w:val="auto"/>
                <w:vertAlign w:val="superscript"/>
              </w:rPr>
              <w:t>​</w:t>
            </w:r>
            <w:r>
              <w:rPr>
                <w:rFonts w:ascii="Times New Roman" w:cs="Times New Roman" w:eastAsia="Times New Roman" w:hAnsi="Times New Roman"/>
                <w:sz w:val="7"/>
                <w:szCs w:val="7"/>
                <w:color w:val="auto"/>
              </w:rPr>
              <w:t>​—</w:t>
            </w:r>
          </w:p>
        </w:tc>
        <w:tc>
          <w:tcPr>
            <w:tcW w:w="160" w:type="dxa"/>
            <w:vAlign w:val="bottom"/>
            <w:gridSpan w:val="3"/>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400" w:type="dxa"/>
            <w:vAlign w:val="bottom"/>
            <w:gridSpan w:val="2"/>
            <w:shd w:val="clear" w:color="auto" w:fill="CCEEFF"/>
          </w:tcPr>
          <w:p>
            <w:pPr>
              <w:ind w:left="60"/>
              <w:spacing w:after="0" w:line="81" w:lineRule="exact"/>
              <w:rPr>
                <w:sz w:val="20"/>
                <w:szCs w:val="20"/>
                <w:color w:val="auto"/>
              </w:rPr>
            </w:pPr>
            <w:r>
              <w:rPr>
                <w:rFonts w:ascii="Times New Roman" w:cs="Times New Roman" w:eastAsia="Times New Roman" w:hAnsi="Times New Roman"/>
                <w:sz w:val="9"/>
                <w:szCs w:val="9"/>
                <w:color w:val="auto"/>
                <w:vertAlign w:val="superscript"/>
              </w:rPr>
              <w:t>​</w:t>
            </w:r>
            <w:r>
              <w:rPr>
                <w:rFonts w:ascii="Times New Roman" w:cs="Times New Roman" w:eastAsia="Times New Roman" w:hAnsi="Times New Roman"/>
                <w:sz w:val="7"/>
                <w:szCs w:val="7"/>
                <w:color w:val="auto"/>
              </w:rPr>
              <w:t>​17.44</w:t>
            </w:r>
          </w:p>
        </w:tc>
        <w:tc>
          <w:tcPr>
            <w:tcW w:w="820" w:type="dxa"/>
            <w:vAlign w:val="bottom"/>
            <w:gridSpan w:val="7"/>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vertAlign w:val="superscript"/>
              </w:rPr>
              <w:t>​​ ​​</w:t>
            </w:r>
            <w:r>
              <w:rPr>
                <w:rFonts w:ascii="Times New Roman" w:cs="Times New Roman" w:eastAsia="Times New Roman" w:hAnsi="Times New Roman"/>
                <w:sz w:val="7"/>
                <w:szCs w:val="7"/>
                <w:color w:val="auto"/>
              </w:rPr>
              <w:t>​10/8/2033</w:t>
            </w:r>
            <w:r>
              <w:rPr>
                <w:rFonts w:ascii="Times New Roman" w:cs="Times New Roman" w:eastAsia="Times New Roman" w:hAnsi="Times New Roman"/>
                <w:sz w:val="9"/>
                <w:szCs w:val="9"/>
                <w:color w:val="auto"/>
                <w:vertAlign w:val="superscript"/>
              </w:rPr>
              <w:t>​​ ​</w:t>
            </w:r>
          </w:p>
        </w:tc>
        <w:tc>
          <w:tcPr>
            <w:tcW w:w="220" w:type="dxa"/>
            <w:vAlign w:val="bottom"/>
            <w:shd w:val="clear" w:color="auto" w:fill="CCEEFF"/>
          </w:tcPr>
          <w:p>
            <w:pPr>
              <w:ind w:left="140"/>
              <w:spacing w:after="0" w:line="81"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ind w:left="140"/>
              <w:spacing w:after="0" w:line="81"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gridSpan w:val="3"/>
            <w:shd w:val="clear" w:color="auto" w:fill="CCEEFF"/>
          </w:tcPr>
          <w:p>
            <w:pPr>
              <w:jc w:val="right"/>
              <w:spacing w:after="0" w:line="81" w:lineRule="exact"/>
              <w:rPr>
                <w:sz w:val="20"/>
                <w:szCs w:val="20"/>
                <w:color w:val="auto"/>
              </w:rPr>
            </w:pPr>
            <w:r>
              <w:rPr>
                <w:rFonts w:ascii="Times New Roman" w:cs="Times New Roman" w:eastAsia="Times New Roman" w:hAnsi="Times New Roman"/>
                <w:sz w:val="7"/>
                <w:szCs w:val="7"/>
                <w:color w:val="auto"/>
              </w:rPr>
              <w:t>​​ ​ ​</w:t>
            </w:r>
            <w:r>
              <w:rPr>
                <w:rFonts w:ascii="Times New Roman" w:cs="Times New Roman" w:eastAsia="Times New Roman" w:hAnsi="Times New Roman"/>
                <w:sz w:val="9"/>
                <w:szCs w:val="9"/>
                <w:color w:val="auto"/>
                <w:vertAlign w:val="subscript"/>
              </w:rPr>
              <w:t>​</w:t>
            </w:r>
          </w:p>
        </w:tc>
        <w:tc>
          <w:tcPr>
            <w:tcW w:w="340" w:type="dxa"/>
            <w:vAlign w:val="bottom"/>
            <w:shd w:val="clear" w:color="auto" w:fill="CCEEFF"/>
          </w:tcPr>
          <w:p>
            <w:pPr>
              <w:spacing w:after="0"/>
              <w:rPr>
                <w:sz w:val="7"/>
                <w:szCs w:val="7"/>
                <w:color w:val="auto"/>
              </w:rPr>
            </w:pPr>
          </w:p>
        </w:tc>
        <w:tc>
          <w:tcPr>
            <w:tcW w:w="160" w:type="dxa"/>
            <w:vAlign w:val="bottom"/>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103"/>
        </w:trPr>
        <w:tc>
          <w:tcPr>
            <w:tcW w:w="2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4"/>
              </w:rPr>
              <w:t>(17)</w:t>
            </w: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5"/>
                <w:szCs w:val="5"/>
                <w:color w:val="auto"/>
              </w:rPr>
            </w:pP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w w:val="82"/>
              </w:rPr>
              <w:t>—</w:t>
            </w:r>
          </w:p>
        </w:tc>
        <w:tc>
          <w:tcPr>
            <w:tcW w:w="160" w:type="dxa"/>
            <w:vAlign w:val="bottom"/>
            <w:gridSpan w:val="2"/>
            <w:shd w:val="clear" w:color="auto" w:fill="CCEEFF"/>
          </w:tcPr>
          <w:p>
            <w:pPr>
              <w:spacing w:after="0"/>
              <w:rPr>
                <w:sz w:val="5"/>
                <w:szCs w:val="5"/>
                <w:color w:val="auto"/>
              </w:rPr>
            </w:pPr>
          </w:p>
        </w:tc>
        <w:tc>
          <w:tcPr>
            <w:tcW w:w="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2"/>
                <w:szCs w:val="12"/>
                <w:color w:val="auto"/>
              </w:rPr>
              <w:t>​—</w:t>
            </w:r>
          </w:p>
        </w:tc>
        <w:tc>
          <w:tcPr>
            <w:tcW w:w="1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4"/>
                <w:szCs w:val="24"/>
                <w:color w:val="auto"/>
                <w:vertAlign w:val="subscript"/>
              </w:rPr>
              <w:t>​</w:t>
            </w:r>
          </w:p>
        </w:tc>
        <w:tc>
          <w:tcPr>
            <w:tcW w:w="30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4"/>
                <w:szCs w:val="24"/>
                <w:color w:val="auto"/>
                <w:vertAlign w:val="subscript"/>
              </w:rPr>
              <w:t>​</w:t>
            </w:r>
          </w:p>
        </w:tc>
        <w:tc>
          <w:tcPr>
            <w:tcW w:w="5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color w:val="auto"/>
              </w:rPr>
              <w:t>​​ ​</w:t>
            </w:r>
          </w:p>
        </w:tc>
        <w:tc>
          <w:tcPr>
            <w:tcW w:w="1320" w:type="dxa"/>
            <w:vAlign w:val="bottom"/>
            <w:gridSpan w:val="7"/>
            <w:vMerge w:val="restart"/>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​93,582</w:t>
            </w:r>
            <w:r>
              <w:rPr>
                <w:rFonts w:ascii="Times New Roman" w:cs="Times New Roman" w:eastAsia="Times New Roman" w:hAnsi="Times New Roman"/>
                <w:sz w:val="15"/>
                <w:szCs w:val="15"/>
                <w:color w:val="auto"/>
                <w:vertAlign w:val="superscript"/>
              </w:rPr>
              <w:t>(18)</w:t>
            </w:r>
            <w:r>
              <w:rPr>
                <w:rFonts w:ascii="Times New Roman" w:cs="Times New Roman" w:eastAsia="Times New Roman" w:hAnsi="Times New Roman"/>
                <w:sz w:val="24"/>
                <w:szCs w:val="24"/>
                <w:color w:val="auto"/>
                <w:vertAlign w:val="superscript"/>
              </w:rPr>
              <w:t>​​ ​ ​</w:t>
            </w:r>
            <w:r>
              <w:rPr>
                <w:rFonts w:ascii="Times New Roman" w:cs="Times New Roman" w:eastAsia="Times New Roman" w:hAnsi="Times New Roman"/>
                <w:sz w:val="12"/>
                <w:szCs w:val="12"/>
                <w:color w:val="auto"/>
              </w:rPr>
              <w:t>​1,631,875</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60" w:type="dxa"/>
            <w:vAlign w:val="bottom"/>
            <w:gridSpan w:val="3"/>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240" w:type="dxa"/>
            <w:vAlign w:val="bottom"/>
            <w:gridSpan w:val="4"/>
            <w:vMerge w:val="continue"/>
            <w:shd w:val="clear" w:color="auto" w:fill="CCEEFF"/>
          </w:tcPr>
          <w:p>
            <w:pPr>
              <w:spacing w:after="0"/>
              <w:rPr>
                <w:sz w:val="19"/>
                <w:szCs w:val="19"/>
                <w:color w:val="auto"/>
              </w:rPr>
            </w:pPr>
          </w:p>
        </w:tc>
        <w:tc>
          <w:tcPr>
            <w:tcW w:w="580" w:type="dxa"/>
            <w:vAlign w:val="bottom"/>
            <w:gridSpan w:val="3"/>
            <w:vMerge w:val="continue"/>
            <w:shd w:val="clear" w:color="auto" w:fill="CCEEFF"/>
          </w:tcPr>
          <w:p>
            <w:pPr>
              <w:spacing w:after="0"/>
              <w:rPr>
                <w:sz w:val="19"/>
                <w:szCs w:val="19"/>
                <w:color w:val="auto"/>
              </w:rPr>
            </w:pPr>
          </w:p>
        </w:tc>
        <w:tc>
          <w:tcPr>
            <w:tcW w:w="1320" w:type="dxa"/>
            <w:vAlign w:val="bottom"/>
            <w:gridSpan w:val="7"/>
            <w:vMerge w:val="continue"/>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2383155</wp:posOffset>
            </wp:positionH>
            <wp:positionV relativeFrom="paragraph">
              <wp:posOffset>-1534795</wp:posOffset>
            </wp:positionV>
            <wp:extent cx="2244725" cy="2324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244725" cy="232410"/>
                    </a:xfrm>
                    <a:prstGeom prst="rect">
                      <a:avLst/>
                    </a:prstGeom>
                    <a:noFill/>
                  </pic:spPr>
                </pic:pic>
              </a:graphicData>
            </a:graphic>
          </wp:anchor>
        </w:drawing>
        <w:drawing>
          <wp:anchor simplePos="0" relativeHeight="251657728" behindDoc="1" locked="0" layoutInCell="0" allowOverlap="1">
            <wp:simplePos x="0" y="0"/>
            <wp:positionH relativeFrom="column">
              <wp:posOffset>2383155</wp:posOffset>
            </wp:positionH>
            <wp:positionV relativeFrom="paragraph">
              <wp:posOffset>-348615</wp:posOffset>
            </wp:positionV>
            <wp:extent cx="34925" cy="261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925" cy="261620"/>
                    </a:xfrm>
                    <a:prstGeom prst="rect">
                      <a:avLst/>
                    </a:prstGeom>
                    <a:noFill/>
                  </pic:spPr>
                </pic:pic>
              </a:graphicData>
            </a:graphic>
          </wp:anchor>
        </w:drawing>
      </w:r>
    </w:p>
    <w:p>
      <w:pPr>
        <w:spacing w:after="0" w:line="39" w:lineRule="exact"/>
        <w:rPr>
          <w:sz w:val="20"/>
          <w:szCs w:val="20"/>
          <w:color w:val="auto"/>
        </w:rPr>
      </w:pPr>
    </w:p>
    <w:p>
      <w:pPr>
        <w:jc w:val="both"/>
        <w:ind w:left="1960" w:right="1739" w:hanging="240"/>
        <w:spacing w:after="0" w:line="237" w:lineRule="auto"/>
        <w:tabs>
          <w:tab w:leader="none" w:pos="1960" w:val="left"/>
        </w:tabs>
        <w:numPr>
          <w:ilvl w:val="0"/>
          <w:numId w:val="9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All of the option and stock awards were granted under the 2021 Plan, the terms of which plan are described in the subsection titled “—Equity Benefit Plans—2021 Stock Plan” below. Each award covers shares of our Class A Common Stock. These awards are subject to 50% acceleration upon change in control (as defined below) and 100% acceleration upon a termination within 12 months following a change in control.</w:t>
      </w:r>
    </w:p>
    <w:p>
      <w:pPr>
        <w:spacing w:after="0" w:line="22" w:lineRule="exact"/>
        <w:rPr>
          <w:rFonts w:ascii="Times New Roman" w:cs="Times New Roman" w:eastAsia="Times New Roman" w:hAnsi="Times New Roman"/>
          <w:sz w:val="10"/>
          <w:szCs w:val="10"/>
          <w:color w:val="auto"/>
        </w:rPr>
      </w:pPr>
    </w:p>
    <w:p>
      <w:pPr>
        <w:jc w:val="both"/>
        <w:ind w:left="1960" w:right="1739" w:hanging="240"/>
        <w:spacing w:after="0" w:line="239" w:lineRule="auto"/>
        <w:tabs>
          <w:tab w:leader="none" w:pos="1960" w:val="left"/>
        </w:tabs>
        <w:numPr>
          <w:ilvl w:val="0"/>
          <w:numId w:val="9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Except for Mr. Babler’s option award with an expiration date of September 14, 2031, the exercise price of each of these options was repriced to $8.84 per share in March 2024, as described in the subsection titled “—Narrative to the Summary Compensation Table—March 2024 Option Repricing”.</w:t>
      </w:r>
    </w:p>
    <w:p>
      <w:pPr>
        <w:spacing w:after="0" w:line="22" w:lineRule="exact"/>
        <w:rPr>
          <w:rFonts w:ascii="Times New Roman" w:cs="Times New Roman" w:eastAsia="Times New Roman" w:hAnsi="Times New Roman"/>
          <w:sz w:val="10"/>
          <w:szCs w:val="10"/>
          <w:color w:val="auto"/>
        </w:rPr>
      </w:pPr>
    </w:p>
    <w:p>
      <w:pPr>
        <w:ind w:left="1960" w:right="1739" w:hanging="240"/>
        <w:spacing w:after="0" w:line="250" w:lineRule="auto"/>
        <w:tabs>
          <w:tab w:leader="none" w:pos="1960" w:val="left"/>
        </w:tabs>
        <w:numPr>
          <w:ilvl w:val="0"/>
          <w:numId w:val="9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Amounts are calculated by multiplying the number of shares shown in the table by $17.44, the fair market value of our Class A Common Stock as of December 31, 2023, as determined by our board of directors.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62" w:name="page163"/>
    <w:bookmarkEnd w:id="16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both"/>
        <w:ind w:left="1960" w:right="1739" w:hanging="240"/>
        <w:spacing w:after="0"/>
        <w:tabs>
          <w:tab w:leader="none" w:pos="1960" w:val="left"/>
        </w:tabs>
        <w:numPr>
          <w:ilvl w:val="0"/>
          <w:numId w:val="9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Stock option award vests over a period of four years with 25% of the shares underlying the option vesting on the one year anniversary of the September 15, 2021 vesting commencement date and 1/48th of the shares underlying the option vesting on a monthly basis thereafter, subject to continued service through each vesting date. The option award includes an early exercise feature.</w:t>
      </w:r>
    </w:p>
    <w:p>
      <w:pPr>
        <w:spacing w:after="0" w:line="158" w:lineRule="exact"/>
        <w:rPr>
          <w:rFonts w:ascii="Times New Roman" w:cs="Times New Roman" w:eastAsia="Times New Roman" w:hAnsi="Times New Roman"/>
          <w:sz w:val="10"/>
          <w:szCs w:val="10"/>
          <w:color w:val="auto"/>
        </w:rPr>
      </w:pPr>
    </w:p>
    <w:p>
      <w:pPr>
        <w:jc w:val="both"/>
        <w:ind w:left="1960" w:right="1739" w:hanging="240"/>
        <w:spacing w:after="0"/>
        <w:tabs>
          <w:tab w:leader="none" w:pos="1960" w:val="left"/>
        </w:tabs>
        <w:numPr>
          <w:ilvl w:val="0"/>
          <w:numId w:val="9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Stock option award vests over a period of four years with 25% of the shares underlying the option vesting on the one year anniversary of the January 27, 2022 vesting commencement date and 1/48th of the shares underlying the option vesting on a monthly basis thereafter, subject to continued service through each vesting date. The option award includes an early exercise feature.</w:t>
      </w:r>
    </w:p>
    <w:p>
      <w:pPr>
        <w:spacing w:after="0" w:line="149" w:lineRule="exact"/>
        <w:rPr>
          <w:rFonts w:ascii="Times New Roman" w:cs="Times New Roman" w:eastAsia="Times New Roman" w:hAnsi="Times New Roman"/>
          <w:sz w:val="10"/>
          <w:szCs w:val="10"/>
          <w:color w:val="auto"/>
        </w:rPr>
      </w:pPr>
    </w:p>
    <w:p>
      <w:pPr>
        <w:jc w:val="both"/>
        <w:ind w:left="1960" w:right="1739" w:hanging="240"/>
        <w:spacing w:after="0" w:line="237" w:lineRule="auto"/>
        <w:tabs>
          <w:tab w:leader="none" w:pos="1960" w:val="left"/>
        </w:tabs>
        <w:numPr>
          <w:ilvl w:val="0"/>
          <w:numId w:val="9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Stock option award vests over a period of six years with 1/3rd of the shares underlying the option vesting on the two year anniversary of the January 27, 2022 vesting commencement date and 1/48th of the remaining shares underlying the option vesting on a monthly basis thereafter, subject to continued service through each vesting date. The option award includes an early exercise feature.</w:t>
      </w:r>
    </w:p>
    <w:p>
      <w:pPr>
        <w:spacing w:after="0" w:line="49" w:lineRule="exact"/>
        <w:rPr>
          <w:rFonts w:ascii="Times New Roman" w:cs="Times New Roman" w:eastAsia="Times New Roman" w:hAnsi="Times New Roman"/>
          <w:sz w:val="10"/>
          <w:szCs w:val="10"/>
          <w:color w:val="auto"/>
        </w:rPr>
      </w:pPr>
    </w:p>
    <w:p>
      <w:pPr>
        <w:jc w:val="both"/>
        <w:ind w:left="1960" w:right="1739" w:hanging="240"/>
        <w:spacing w:after="0" w:line="239" w:lineRule="auto"/>
        <w:tabs>
          <w:tab w:leader="none" w:pos="1960" w:val="left"/>
        </w:tabs>
        <w:numPr>
          <w:ilvl w:val="0"/>
          <w:numId w:val="9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Stock option award vests over a period of four years with 25% of the shares underlying the option vesting on the one year anniversary of the May 22, 2023 vesting commencement date and 1/48th of the shares underlying the option vesting on a monthly basis thereafter, subject to continued service through each vesting date. The option award includes an early exercise feature.</w:t>
      </w:r>
    </w:p>
    <w:p>
      <w:pPr>
        <w:spacing w:after="0" w:line="41" w:lineRule="exact"/>
        <w:rPr>
          <w:rFonts w:ascii="Times New Roman" w:cs="Times New Roman" w:eastAsia="Times New Roman" w:hAnsi="Times New Roman"/>
          <w:sz w:val="10"/>
          <w:szCs w:val="10"/>
          <w:color w:val="auto"/>
        </w:rPr>
      </w:pPr>
    </w:p>
    <w:p>
      <w:pPr>
        <w:jc w:val="both"/>
        <w:ind w:left="1960" w:right="1739" w:hanging="240"/>
        <w:spacing w:after="0"/>
        <w:tabs>
          <w:tab w:leader="none" w:pos="1960" w:val="left"/>
        </w:tabs>
        <w:numPr>
          <w:ilvl w:val="0"/>
          <w:numId w:val="9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Stock option award vests over a period of four years with 25% of the shares underlying the option vesting on the one year anniversary of the October 9, 2023 vesting commencement date and 1/48th of the shares underlying the option vesting on a monthly basis thereafter, subject to continued service through each vesting date. The option award includes an early exercise feature.</w:t>
      </w:r>
    </w:p>
    <w:p>
      <w:pPr>
        <w:spacing w:after="0" w:line="158" w:lineRule="exact"/>
        <w:rPr>
          <w:rFonts w:ascii="Times New Roman" w:cs="Times New Roman" w:eastAsia="Times New Roman" w:hAnsi="Times New Roman"/>
          <w:sz w:val="10"/>
          <w:szCs w:val="10"/>
          <w:color w:val="auto"/>
        </w:rPr>
      </w:pPr>
    </w:p>
    <w:p>
      <w:pPr>
        <w:jc w:val="both"/>
        <w:ind w:left="1960" w:right="1739" w:hanging="240"/>
        <w:spacing w:after="0"/>
        <w:tabs>
          <w:tab w:leader="none" w:pos="1960" w:val="left"/>
        </w:tabs>
        <w:numPr>
          <w:ilvl w:val="0"/>
          <w:numId w:val="9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Stock option award vests over a period of four years with 25% of the shares underlying the option vesting on the one year anniversary of the January 27, 2022 vesting commencement date and 1/48th of the shares underlying the option vesting on a monthly basis thereafter, subject to continued service through each vesting date. The option award includes an early exercise feature.</w:t>
      </w:r>
    </w:p>
    <w:p>
      <w:pPr>
        <w:spacing w:after="0" w:line="149" w:lineRule="exact"/>
        <w:rPr>
          <w:rFonts w:ascii="Times New Roman" w:cs="Times New Roman" w:eastAsia="Times New Roman" w:hAnsi="Times New Roman"/>
          <w:sz w:val="10"/>
          <w:szCs w:val="10"/>
          <w:color w:val="auto"/>
        </w:rPr>
      </w:pPr>
    </w:p>
    <w:p>
      <w:pPr>
        <w:jc w:val="both"/>
        <w:ind w:left="1960" w:right="1739" w:hanging="240"/>
        <w:spacing w:after="0" w:line="237" w:lineRule="auto"/>
        <w:tabs>
          <w:tab w:leader="none" w:pos="1960" w:val="left"/>
        </w:tabs>
        <w:numPr>
          <w:ilvl w:val="0"/>
          <w:numId w:val="9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Stock option award vests over a period of six years with 1/3rd of the shares underlying the option vesting on the two year anniversary of the January 27, 2022 vesting commencement date and 1/48th of the remaining shares underlying the option vesting on a monthly basis thereafter, subject to continued service through each vesting date. The option award includes an early exercise feature.</w:t>
      </w:r>
    </w:p>
    <w:p>
      <w:pPr>
        <w:spacing w:after="0" w:line="49" w:lineRule="exact"/>
        <w:rPr>
          <w:rFonts w:ascii="Times New Roman" w:cs="Times New Roman" w:eastAsia="Times New Roman" w:hAnsi="Times New Roman"/>
          <w:sz w:val="10"/>
          <w:szCs w:val="10"/>
          <w:color w:val="auto"/>
        </w:rPr>
      </w:pPr>
    </w:p>
    <w:p>
      <w:pPr>
        <w:jc w:val="both"/>
        <w:ind w:left="1960" w:right="1739" w:hanging="240"/>
        <w:spacing w:after="0" w:line="239" w:lineRule="auto"/>
        <w:tabs>
          <w:tab w:leader="none" w:pos="1960" w:val="left"/>
        </w:tabs>
        <w:numPr>
          <w:ilvl w:val="0"/>
          <w:numId w:val="9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Stock option award vests over a period of four years with 25% of the shares underlying the option vesting on the one year anniversary of the May 22, 2023 vesting commencement date and 1/48th of the shares underlying the option vesting on a monthly basis thereafter, subject to continued service through each vesting date. The option award includes an early exercise feature.</w:t>
      </w:r>
    </w:p>
    <w:p>
      <w:pPr>
        <w:spacing w:after="0" w:line="50" w:lineRule="exact"/>
        <w:rPr>
          <w:rFonts w:ascii="Times New Roman" w:cs="Times New Roman" w:eastAsia="Times New Roman" w:hAnsi="Times New Roman"/>
          <w:sz w:val="10"/>
          <w:szCs w:val="10"/>
          <w:color w:val="auto"/>
        </w:rPr>
      </w:pPr>
    </w:p>
    <w:p>
      <w:pPr>
        <w:jc w:val="both"/>
        <w:ind w:left="1960" w:right="1739" w:hanging="240"/>
        <w:spacing w:after="0"/>
        <w:tabs>
          <w:tab w:leader="none" w:pos="1960" w:val="left"/>
        </w:tabs>
        <w:numPr>
          <w:ilvl w:val="0"/>
          <w:numId w:val="9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Stock option award vests over a period of four years with 25% of the shares underlying the option vesting on the one year anniversary of the October 9, 2023 vesting commencement date and 1/48th of the shares underlying the option vesting on a monthly basis thereafter, subject to continued service through each vesting date. The option award includes an early exercise feature.</w:t>
      </w:r>
    </w:p>
    <w:p>
      <w:pPr>
        <w:spacing w:after="0" w:line="149" w:lineRule="exact"/>
        <w:rPr>
          <w:rFonts w:ascii="Times New Roman" w:cs="Times New Roman" w:eastAsia="Times New Roman" w:hAnsi="Times New Roman"/>
          <w:sz w:val="10"/>
          <w:szCs w:val="10"/>
          <w:color w:val="auto"/>
        </w:rPr>
      </w:pPr>
    </w:p>
    <w:p>
      <w:pPr>
        <w:jc w:val="both"/>
        <w:ind w:left="1960" w:right="1739" w:hanging="240"/>
        <w:spacing w:after="0" w:line="237" w:lineRule="auto"/>
        <w:tabs>
          <w:tab w:leader="none" w:pos="1960" w:val="left"/>
        </w:tabs>
        <w:numPr>
          <w:ilvl w:val="0"/>
          <w:numId w:val="9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restricted stock obtained on October 22, 2021 upon exercise of an early exercise option. Twenty-five percent of the shares subject to the option vested on September 15, 2022, and 1/36th of the remaining shares subject to the award shall vest monthly in equal installments on the 15th of each month, through September 15, 2025, subject to continued service through each vesting date.</w:t>
      </w:r>
    </w:p>
    <w:p>
      <w:pPr>
        <w:spacing w:after="0" w:line="49" w:lineRule="exact"/>
        <w:rPr>
          <w:rFonts w:ascii="Times New Roman" w:cs="Times New Roman" w:eastAsia="Times New Roman" w:hAnsi="Times New Roman"/>
          <w:sz w:val="10"/>
          <w:szCs w:val="10"/>
          <w:color w:val="auto"/>
        </w:rPr>
      </w:pPr>
    </w:p>
    <w:p>
      <w:pPr>
        <w:jc w:val="both"/>
        <w:ind w:left="1960" w:right="1739" w:hanging="240"/>
        <w:spacing w:after="0"/>
        <w:tabs>
          <w:tab w:leader="none" w:pos="1960" w:val="left"/>
        </w:tabs>
        <w:numPr>
          <w:ilvl w:val="0"/>
          <w:numId w:val="9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Stock option award vests over a period of four years with 25% of the shares underlying the option vesting on the one year anniversary of the January 27, 2022 vesting commencement date and 1/48th of the shares underlying the option vesting on a monthly basis thereafter, subject to continued service through each vesting date. The option award includes an early exercise feature.</w:t>
      </w:r>
    </w:p>
    <w:p>
      <w:pPr>
        <w:spacing w:after="0" w:line="149" w:lineRule="exact"/>
        <w:rPr>
          <w:rFonts w:ascii="Times New Roman" w:cs="Times New Roman" w:eastAsia="Times New Roman" w:hAnsi="Times New Roman"/>
          <w:sz w:val="10"/>
          <w:szCs w:val="10"/>
          <w:color w:val="auto"/>
        </w:rPr>
      </w:pPr>
    </w:p>
    <w:p>
      <w:pPr>
        <w:jc w:val="both"/>
        <w:ind w:left="1960" w:right="1739" w:hanging="240"/>
        <w:spacing w:after="0" w:line="237" w:lineRule="auto"/>
        <w:tabs>
          <w:tab w:leader="none" w:pos="1960" w:val="left"/>
        </w:tabs>
        <w:numPr>
          <w:ilvl w:val="0"/>
          <w:numId w:val="9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Stock option award vests over a period of six years with 1/3rd of the shares underlying the option vesting on the two year anniversary of the January 27, 2022 vesting commencement date and 1/48th of the remaining shares underlying the option vesting on a monthly basis thereafter, subject to continued service through each vesting date. The option award includes an early exercise feature.</w:t>
      </w:r>
    </w:p>
    <w:p>
      <w:pPr>
        <w:spacing w:after="0" w:line="49" w:lineRule="exact"/>
        <w:rPr>
          <w:rFonts w:ascii="Times New Roman" w:cs="Times New Roman" w:eastAsia="Times New Roman" w:hAnsi="Times New Roman"/>
          <w:sz w:val="10"/>
          <w:szCs w:val="10"/>
          <w:color w:val="auto"/>
        </w:rPr>
      </w:pPr>
    </w:p>
    <w:p>
      <w:pPr>
        <w:jc w:val="both"/>
        <w:ind w:left="1960" w:right="1739" w:hanging="240"/>
        <w:spacing w:after="0" w:line="239" w:lineRule="auto"/>
        <w:tabs>
          <w:tab w:leader="none" w:pos="1960" w:val="left"/>
        </w:tabs>
        <w:numPr>
          <w:ilvl w:val="0"/>
          <w:numId w:val="9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Stock option award vests over a period of four years with 25% of the shares underlying the option vesting on the one year anniversary of the May 22, 2023 vesting commencement date and 1/48th of the shares underlying the option vesting on a monthly basis thereafter, subject to continued service through each vesting date. The option award includes an early exercise feature.</w:t>
      </w:r>
    </w:p>
    <w:p>
      <w:pPr>
        <w:spacing w:after="0" w:line="50" w:lineRule="exact"/>
        <w:rPr>
          <w:rFonts w:ascii="Times New Roman" w:cs="Times New Roman" w:eastAsia="Times New Roman" w:hAnsi="Times New Roman"/>
          <w:sz w:val="10"/>
          <w:szCs w:val="10"/>
          <w:color w:val="auto"/>
        </w:rPr>
      </w:pPr>
    </w:p>
    <w:p>
      <w:pPr>
        <w:jc w:val="both"/>
        <w:ind w:left="1960" w:right="1739" w:hanging="240"/>
        <w:spacing w:after="0"/>
        <w:tabs>
          <w:tab w:leader="none" w:pos="1960" w:val="left"/>
        </w:tabs>
        <w:numPr>
          <w:ilvl w:val="0"/>
          <w:numId w:val="9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Stock option award vests over a period of four years with 25% of the shares underlying the option vesting on the one year anniversary of the October 9, 2023 vesting commencement date and 1/48th of the shares underlying the option vesting on a monthly basis thereafter, subject to continued service through each vesting date. The option award includes an early exercise feature.</w:t>
      </w:r>
    </w:p>
    <w:p>
      <w:pPr>
        <w:spacing w:after="0" w:line="149" w:lineRule="exact"/>
        <w:rPr>
          <w:rFonts w:ascii="Times New Roman" w:cs="Times New Roman" w:eastAsia="Times New Roman" w:hAnsi="Times New Roman"/>
          <w:sz w:val="10"/>
          <w:szCs w:val="10"/>
          <w:color w:val="auto"/>
        </w:rPr>
      </w:pPr>
    </w:p>
    <w:p>
      <w:pPr>
        <w:jc w:val="both"/>
        <w:ind w:left="1960" w:right="1739" w:hanging="240"/>
        <w:spacing w:after="0" w:line="237" w:lineRule="auto"/>
        <w:tabs>
          <w:tab w:leader="none" w:pos="1960" w:val="left"/>
        </w:tabs>
        <w:numPr>
          <w:ilvl w:val="0"/>
          <w:numId w:val="9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restricted stock obtained on October 20, 2021 upon exercise of an early exercise option. Twenty-five percent of the shares subject to the option vested on September 15, 2022, and 1/36th of the remaining shares subject to the award shall vest monthly in equal installments on the 15th of each month, through September 15, 2025, subject to continued service through each vesting date.</w:t>
      </w:r>
    </w:p>
    <w:p>
      <w:pPr>
        <w:spacing w:after="0" w:line="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We did not modify any outstanding equity awards held by our named executive officers in 2023.</w:t>
      </w:r>
    </w:p>
    <w:p>
      <w:pPr>
        <w:spacing w:after="0" w:line="109"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Awards held by our named executive officers may be eligible for accelerated vesting under specified circumstances, as described in more detail below under the subsection titled “—Potential Payments and Benefits upon Termination or Change in Control.”</w:t>
      </w:r>
    </w:p>
    <w:p>
      <w:pPr>
        <w:spacing w:after="0" w:line="62"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We may in the future, on an annual basis or otherwise, grant additional equity awards to our executive officers pursuant to our 2024 Plan, the terms of which are described below under the subsection titled “— Equity Benefit Plans—2024 Equity Incentive Plan.”</w:t>
      </w:r>
    </w:p>
    <w:p>
      <w:pPr>
        <w:spacing w:after="0" w:line="1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Pension Benefits</w:t>
      </w:r>
    </w:p>
    <w:p>
      <w:pPr>
        <w:spacing w:after="0" w:line="111"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Our named executive officers did not participate in, or otherwise receive any benefits under, any pension or retirement plan sponsored by us during the year ended December 31, 2023.</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63" w:name="page164"/>
    <w:bookmarkEnd w:id="163"/>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Nonqualified Deferred Compensation</w:t>
      </w:r>
    </w:p>
    <w:p>
      <w:pPr>
        <w:spacing w:after="0" w:line="111"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Our named executive officers did not participate in, or earn any benefits under, a non-qualified deferred compensation plan sponsored by us during the year ended December 31, 2023.</w:t>
      </w:r>
    </w:p>
    <w:p>
      <w:pPr>
        <w:spacing w:after="0" w:line="11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Employment Agreements</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Offer Letters</w:t>
      </w:r>
    </w:p>
    <w:p>
      <w:pPr>
        <w:spacing w:after="0" w:line="102"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Below are descriptions of our offer letters with our named executive officers. For a discussion of the severance pay and other benefits to be provided in connection with a termination of employment and/or a change in control under the arrangements with our named executive officers, please see the subsection titled “—Potential Payments and Benefits upon Termination or Change in Control” below. Each of our named executive officers is employed at-will.</w:t>
      </w:r>
    </w:p>
    <w:p>
      <w:pPr>
        <w:spacing w:after="0" w:line="215"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i w:val="1"/>
          <w:iCs w:val="1"/>
          <w:color w:val="auto"/>
        </w:rPr>
        <w:t>Mr. Babler</w:t>
      </w:r>
      <w:r>
        <w:rPr>
          <w:rFonts w:ascii="Times New Roman" w:cs="Times New Roman" w:eastAsia="Times New Roman" w:hAnsi="Times New Roman"/>
          <w:sz w:val="12"/>
          <w:szCs w:val="12"/>
          <w:color w:val="auto"/>
        </w:rPr>
        <w:t>. In September 2021, we and Mr. Babler entered into an offer letter that governs the terms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Mr. Babler’s employment with us. Pursuant to the agreement, Mr. Babler is entitled to an initial annual base salary of $500,000, is eligible to receive an annual performance bonus with a target achievement of 40% of his base salary, as determined by our board of directors, and was granted an option exercisable for 641,711 shares of our Class A common stock in September 2021. Mr. Babler’s employment is at-will. Mr. Babler is also entitled to certain severance benefits, the terms of which are described below under the subsection titled “—Potential Payments and Benefits upon Termination or Change in Control.”</w:t>
      </w:r>
    </w:p>
    <w:p>
      <w:pPr>
        <w:spacing w:after="0" w:line="75"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i w:val="1"/>
          <w:iCs w:val="1"/>
          <w:color w:val="auto"/>
        </w:rPr>
        <w:t>Dr. Goldstein</w:t>
      </w:r>
      <w:r>
        <w:rPr>
          <w:rFonts w:ascii="Times New Roman" w:cs="Times New Roman" w:eastAsia="Times New Roman" w:hAnsi="Times New Roman"/>
          <w:sz w:val="12"/>
          <w:szCs w:val="12"/>
          <w:color w:val="auto"/>
        </w:rPr>
        <w:t>. In September 2021, we and Dr. Goldstein entered into an offer letter that governs the terms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Dr. Goldstein’s employment with us. Pursuant to the agreement, Dr. Goldstein is entitled to an initial annual base salary of $360,000, is eligible to receive an annual performance bonus with a target achievement of 35% of his base salary, as determined by our board of directors, and was granted an option exercisable for 213,903 shares of our Class A common stock in September 2021. Dr. Goldstein’s employment is at-will. Dr. Goldstein is also entitled to certain severance benefits, the terms of which are described below under the subsection titled “—Potential Payments and Benefits upon Termination or Change in Control.”</w:t>
      </w:r>
    </w:p>
    <w:p>
      <w:pPr>
        <w:spacing w:after="0" w:line="65"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i w:val="1"/>
          <w:iCs w:val="1"/>
          <w:color w:val="auto"/>
        </w:rPr>
        <w:t>Mr. Hardiman</w:t>
      </w:r>
      <w:r>
        <w:rPr>
          <w:rFonts w:ascii="Times New Roman" w:cs="Times New Roman" w:eastAsia="Times New Roman" w:hAnsi="Times New Roman"/>
          <w:sz w:val="12"/>
          <w:szCs w:val="12"/>
          <w:color w:val="auto"/>
        </w:rPr>
        <w:t>. In September 2021, we and Mr. Hardiman entered into an offer letter that governs the terms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Mr. Hardiman’s employment with us. Pursuant to the agreement, Mr. Hardiman is entitled to an initial annual base salary of $360,000, is eligible to receive an annual performance bonus with a target achievement of 35% of his base salary, as determined by our board of directors, and was granted an option exercisable for 213,903 shares of our Class A common stock in September 2021. Mr. Hardiman’s employment is at-will. Mr. Hardiman is also entitled to certain severance benefits, the terms of which are described below under the subsection titled “—Potential Payments and Benefits upon Termination or Change in Control.”</w:t>
      </w:r>
    </w:p>
    <w:p>
      <w:pPr>
        <w:spacing w:after="0" w:line="219"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We intend to enter into new executive employment agreements with our named executive officers prior to the completion of this offering, the details of which have not yet been determined.</w:t>
      </w:r>
    </w:p>
    <w:p>
      <w:pPr>
        <w:spacing w:after="0" w:line="10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Potential Payments and Benefits upon Termination or Change in Control</w:t>
      </w:r>
    </w:p>
    <w:p>
      <w:pPr>
        <w:spacing w:after="0" w:line="111"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Regardless of the manner in which a named executive officer’s service terminates, each named executive officer is entitled to receive unpaid salary earned during his term of service.</w:t>
      </w:r>
    </w:p>
    <w:p>
      <w:pPr>
        <w:spacing w:after="0" w:line="57"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i w:val="1"/>
          <w:iCs w:val="1"/>
          <w:color w:val="auto"/>
        </w:rPr>
        <w:t>Mr. Babler</w:t>
      </w:r>
      <w:r>
        <w:rPr>
          <w:rFonts w:ascii="Times New Roman" w:cs="Times New Roman" w:eastAsia="Times New Roman" w:hAnsi="Times New Roman"/>
          <w:sz w:val="12"/>
          <w:szCs w:val="12"/>
          <w:color w:val="auto"/>
        </w:rPr>
        <w:t>. Pursuant to Mr. Babler’s offer letter, if (a) his employment is terminated without cause (as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defined below) or (b) in the event of his constructive termination (as defined below), then Mr. Babler will be entitled to receive severance in the form of (i) continued payments of his then base salary for 12 months, subject to applicable taxes and withholding, (ii) reimbursement for expenses in continuing medical insurance benefits (excluding life insurance) for Mr. Babler and his dependents for up to 12 months and</w:t>
      </w:r>
    </w:p>
    <w:p>
      <w:pPr>
        <w:spacing w:after="0" w:line="2" w:lineRule="exact"/>
        <w:rPr>
          <w:sz w:val="20"/>
          <w:szCs w:val="20"/>
          <w:color w:val="auto"/>
        </w:rPr>
      </w:pPr>
    </w:p>
    <w:p>
      <w:pPr>
        <w:jc w:val="both"/>
        <w:ind w:left="1720" w:right="1739"/>
        <w:spacing w:after="0" w:line="245" w:lineRule="auto"/>
        <w:tabs>
          <w:tab w:leader="none" w:pos="1957"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acceleration of his then-unvested equity grants as to the number of shares underlying such grants that would have been vested as of the first anniversary of the date of his termination, with such acceleration to be effective immediately prior to Mr. Babler’s termination. These severance benefits are conditioned upon Mr. Babler’s delivery of a general release of claims in favor of the company. Further, in the event of a change of control (as defined below), other than an excluded change of control (as defined below), 50% of Mr. Babler’s then-unvested option award for 641,711 shares of our Class A common stock granted in September 2021 shall accelerate and become vested as of immediately prior to the closing of such change of control, provided he is still providing services</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64" w:name="page165"/>
    <w:bookmarkEnd w:id="16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3" w:lineRule="auto"/>
        <w:rPr>
          <w:sz w:val="20"/>
          <w:szCs w:val="20"/>
          <w:color w:val="auto"/>
        </w:rPr>
      </w:pPr>
      <w:r>
        <w:rPr>
          <w:rFonts w:ascii="Times New Roman" w:cs="Times New Roman" w:eastAsia="Times New Roman" w:hAnsi="Times New Roman"/>
          <w:sz w:val="12"/>
          <w:szCs w:val="12"/>
          <w:color w:val="auto"/>
        </w:rPr>
        <w:t>to us at such time. In addition, if, following a change of control, including an excluded change of control, Mr. Babler is subject to a termination without cause or a constructive termination within 12 months following such change of control, then 100% of his then-unvested option award for 641,711 shares of our Class A common stock granted in September 2021 shall accelerate and become fully vested as of the termination date, conditioned upon Mr. Babler’s delivery of a general release of claims in favor of the company.</w:t>
      </w:r>
    </w:p>
    <w:p>
      <w:pPr>
        <w:spacing w:after="0" w:line="214"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i w:val="1"/>
          <w:iCs w:val="1"/>
          <w:color w:val="auto"/>
        </w:rPr>
        <w:t>Dr. Goldstein</w:t>
      </w:r>
      <w:r>
        <w:rPr>
          <w:rFonts w:ascii="Times New Roman" w:cs="Times New Roman" w:eastAsia="Times New Roman" w:hAnsi="Times New Roman"/>
          <w:sz w:val="12"/>
          <w:szCs w:val="12"/>
          <w:color w:val="auto"/>
        </w:rPr>
        <w:t>. Pursuant to Dr. Goldstein’s offer letter, if (a) his employment is terminated involuntarily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without cause (as defined below) or (b) in the event of his constructive termination (as defined below), then Dr. Goldstein will be entitled to receive severance in the form of (i) continued payments of his then base salary for 9 months, subject to applicable taxes and withholding, (ii) reimbursement for expenses in continuing medical insurance benefits (excluding life insurance) for Dr. Goldstein and his dependents for up to 9 months and (iii) acceleration of his then- unvested equity grants as to the number of shares underlying such grants that would have been vested as of the first anniversary of the date of his termination, with such acceleration to be effective immediately prior to Dr. Goldstein’s termination. These severance benefits are conditioned upon Dr. Goldstein’s delivery of a general release of claims in favor of the company. Further, in the event of a change of control (as defined below), other than an excluded change of control (as defined below), 50% of Dr. Goldstein’s then-unvested option award for 213,903 shares of our Class A common stock granted in September 2021 shall accelerate and become vested as of immediately prior to the closing of such change of control, provided he is still providing services to us at such time. In addition, if, following a change of control, including an excluded change of control, Dr. Goldstein is subject to a termination without cause or a constructive termination within 12 months following such change of control, then 100% of his then -unvested option award for 213,903 shares of our Class A common stock granted in September 2021 shall accelerate and become fully vested as of the termination date, conditioned upon Dr. Goldstein’s delivery of a general release of claims in favor of the company.</w:t>
      </w:r>
    </w:p>
    <w:p>
      <w:pPr>
        <w:spacing w:after="0" w:line="224" w:lineRule="exact"/>
        <w:rPr>
          <w:sz w:val="20"/>
          <w:szCs w:val="20"/>
          <w:color w:val="auto"/>
        </w:rPr>
      </w:pPr>
    </w:p>
    <w:p>
      <w:pPr>
        <w:jc w:val="both"/>
        <w:ind w:left="1720" w:right="1739"/>
        <w:spacing w:after="0" w:line="245" w:lineRule="auto"/>
        <w:rPr>
          <w:sz w:val="20"/>
          <w:szCs w:val="20"/>
          <w:color w:val="auto"/>
        </w:rPr>
      </w:pPr>
      <w:r>
        <w:rPr>
          <w:rFonts w:ascii="Times New Roman" w:cs="Times New Roman" w:eastAsia="Times New Roman" w:hAnsi="Times New Roman"/>
          <w:sz w:val="12"/>
          <w:szCs w:val="12"/>
          <w:i w:val="1"/>
          <w:iCs w:val="1"/>
          <w:color w:val="auto"/>
        </w:rPr>
        <w:t xml:space="preserve">Mr. Hardiman </w:t>
      </w:r>
      <w:r>
        <w:rPr>
          <w:rFonts w:ascii="Times New Roman" w:cs="Times New Roman" w:eastAsia="Times New Roman" w:hAnsi="Times New Roman"/>
          <w:sz w:val="12"/>
          <w:szCs w:val="12"/>
          <w:color w:val="auto"/>
        </w:rPr>
        <w:t>. Pursuant to Mr. Hardiman’s offer letter, if (a) his employment is terminated involuntarily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without cause (as defined below) or (b) in the event of his constructive termination (as defined below), then Mr. Hardiman will be entitled to receive severance in the form of (i) continued payments of his then base salary for 9 months, subject to applicable taxes and withholding, (ii) reimbursement for expenses in continuing medical insurance benefits (excluding life insurance) for Mr. Hardiman and his dependents for up to 9 months and (iii) acceleration of his then-unvested equity grants as to the number of shares underlying such grants that would have been vested as of the first anniversary of the date of his termination, with such acceleration to be effective immediately prior to Mr. Hardiman’s termination. These severance benefits are conditioned upon Mr. Hardiman’s delivery of a general release of claims in favor of the company. Further, in the event of a change of control (as defined below), other than an excluded change of control (as defined below), 50% of Mr. Hardiman’s then-unvested option award for 213,903 shares of our Class A common stock granted in September 2021 shall accelerate and become vested as of immediately prior to the closing of such change of control, provided he is still providing services to us at such time. In addition, if, following a change of control, including an excluded change of control, Mr. Hardiman is subject to a termination without cause or a constructive termination within 12 months following such change of control, then 100% of his then-unvested option award for 213,903 shares of our Class A common stock granted in September 2021 shall accelerate and become fully vested as of the termination date, conditioned upon Mr. Hardiman’s delivery of a general release of claims in favor of the company.</w:t>
      </w:r>
    </w:p>
    <w:p>
      <w:pPr>
        <w:spacing w:after="0" w:line="227"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In addition to the above, upon a change in control (as defined below) 50% of the then-unvested options held by each of Mr. Babler, Dr. Goldstein, and Mr. Hardiman will accelerate, and 100% of the then-unvested and outstanding options will accelerate upon a termination within 12 months following a change in control (see “—Outstanding Equity Awards as of December 31, 2023”).</w:t>
      </w:r>
    </w:p>
    <w:p>
      <w:pPr>
        <w:spacing w:after="0" w:line="71"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For the purposes of Mr. Babler’s, Dr. Goldstein’s and Mr. Hardiman’s severance benefits, the following definitions apply:</w:t>
      </w:r>
    </w:p>
    <w:p>
      <w:pPr>
        <w:spacing w:after="0" w:line="41" w:lineRule="exact"/>
        <w:rPr>
          <w:sz w:val="20"/>
          <w:szCs w:val="20"/>
          <w:color w:val="auto"/>
        </w:rPr>
      </w:pPr>
    </w:p>
    <w:p>
      <w:pPr>
        <w:jc w:val="both"/>
        <w:ind w:left="2080" w:right="1739" w:hanging="116"/>
        <w:spacing w:after="0" w:line="261" w:lineRule="auto"/>
        <w:tabs>
          <w:tab w:leader="none" w:pos="208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“cause” means the officer’s separation by us for any of the following reasons: (i) the officer’s willful or gross neglect and material failure to perform his or her duties and responsibilities to us, including but not limited to a failure to cooperate with us in any investigation or formal proceeding; (ii) the officer’s commission of any act of fraud, embezzlement, dishonesty or any other intentional misconduct in connection with the officer’s responsibilities as an employee that is materially injurious to us; (iii) the unauthorized use or disclosure by the officer of any of our proprietary information or trade secrets or</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65" w:name="page166"/>
    <w:bookmarkEnd w:id="165"/>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2080" w:right="1739"/>
        <w:spacing w:after="0" w:line="247" w:lineRule="auto"/>
        <w:rPr>
          <w:sz w:val="20"/>
          <w:szCs w:val="20"/>
          <w:color w:val="auto"/>
        </w:rPr>
      </w:pPr>
      <w:r>
        <w:rPr>
          <w:rFonts w:ascii="Times New Roman" w:cs="Times New Roman" w:eastAsia="Times New Roman" w:hAnsi="Times New Roman"/>
          <w:sz w:val="12"/>
          <w:szCs w:val="12"/>
          <w:color w:val="auto"/>
        </w:rPr>
        <w:t>any other party to whom the officer owes an obligation of nondisclosure as a result of the officer’s relationship with us; (iv) the officer is convicted of, or enters a no contest plea to, a felony; or (v) the officer’s breach of any of the officer’s material obligations under any policy, written agreement or covenant with us (including the officer’s offer letter). A termination of employment under subparts (i), (iii) and (v) shall not be deemed cause unless the officer has first been given specific written notice of subpart and facts relied upon and thirty days to cure. The determination as to whether the officer is being terminated for cause, and whether the officer has cured any such actions or inactions during any thirty day cure period with respect to subparts (i), (iii) and (v) and with respect to subpart</w:t>
      </w:r>
    </w:p>
    <w:p>
      <w:pPr>
        <w:spacing w:after="0" w:line="4" w:lineRule="exact"/>
        <w:rPr>
          <w:sz w:val="20"/>
          <w:szCs w:val="20"/>
          <w:color w:val="auto"/>
        </w:rPr>
      </w:pPr>
    </w:p>
    <w:p>
      <w:pPr>
        <w:ind w:left="2080" w:right="1739" w:firstLine="6"/>
        <w:spacing w:after="0" w:line="245" w:lineRule="auto"/>
        <w:tabs>
          <w:tab w:leader="none" w:pos="2283"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such breach is capable of being cured, shall be made in good faith by our board of directors.</w:t>
      </w:r>
    </w:p>
    <w:p>
      <w:pPr>
        <w:spacing w:after="0" w:line="193" w:lineRule="exact"/>
        <w:rPr>
          <w:rFonts w:ascii="Times New Roman" w:cs="Times New Roman" w:eastAsia="Times New Roman" w:hAnsi="Times New Roman"/>
          <w:sz w:val="12"/>
          <w:szCs w:val="12"/>
          <w:color w:val="auto"/>
        </w:rPr>
      </w:pPr>
    </w:p>
    <w:p>
      <w:pPr>
        <w:jc w:val="both"/>
        <w:ind w:left="2080" w:right="1739" w:hanging="116"/>
        <w:spacing w:after="0" w:line="257" w:lineRule="auto"/>
        <w:tabs>
          <w:tab w:leader="none" w:pos="208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of control” means (i) the date any non-affiliated “person” (as​ such term is used in Sections 13(d) and 14(d) of the Exchange Act) becomes the “beneficial owner” (as​ defined in Rule 13d-3 under the Exchange Act), directly or indirectly, of our securities representing 50% or more of the total voting power represented by our then outstanding voting securities, other than pursuant to a sale by us of our securities in a transaction or series of related transactions the primary purpose of which is to raise capital for us; (ii) the date of the consummation of our merger or consolidation with any other corporation that has been approved by our stockholders, other than a merger or consolidation which would result in our voting securities outstanding immediately prior thereto continuing to represent (either by remaining outstanding or by being converted into voting securities of the surviving entity) more than fifty percent (50%) of the total voting power represented by our voting securities or such surviving entity outstanding immediately after such merger or consolidation; or (iii) the date of the consummation of our sale or disposition of all or substantially all of our assets.</w:t>
      </w:r>
    </w:p>
    <w:p>
      <w:pPr>
        <w:spacing w:after="0" w:line="205" w:lineRule="exact"/>
        <w:rPr>
          <w:rFonts w:ascii="Times New Roman" w:cs="Times New Roman" w:eastAsia="Times New Roman" w:hAnsi="Times New Roman"/>
          <w:sz w:val="12"/>
          <w:szCs w:val="12"/>
          <w:color w:val="auto"/>
        </w:rPr>
      </w:pPr>
    </w:p>
    <w:p>
      <w:pPr>
        <w:jc w:val="both"/>
        <w:ind w:left="2080" w:right="1739" w:hanging="116"/>
        <w:spacing w:after="0" w:line="258" w:lineRule="auto"/>
        <w:tabs>
          <w:tab w:leader="none" w:pos="208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“constructive termination” means the officer’s separation as the result of resignation for any of the following, except as otherwise agreed in writing by the officer: (i) a material reduction in the officer’s job duties, position and responsibilities, taken as a whole, other than in connection with an excluded change of control; (ii) we require the officer to relocate to a facility or location more than 35 miles from the primary location at which the officer was working for us immediately before the required change of location; (iii) any reduction of the officer’s base salary in effect immediately prior to such reduction (other than as part of an across-the-board, proportional reduction), or (iv) we materially breach the terms of the officer’s offer letter. In the event of the occurrence of a condition listed above, the officer must provide notice to us within 60 days of the occurrence of a condition listed above and allow us 30 days after the officer’s delivery of notice to cure such condition. Additionally, in the event we fail to cure the condition within the cure period provided, the officer must terminate employment with us within 10 days of the end of the cure period.</w:t>
      </w:r>
    </w:p>
    <w:p>
      <w:pPr>
        <w:spacing w:after="0" w:line="199" w:lineRule="exact"/>
        <w:rPr>
          <w:rFonts w:ascii="Times New Roman" w:cs="Times New Roman" w:eastAsia="Times New Roman" w:hAnsi="Times New Roman"/>
          <w:sz w:val="12"/>
          <w:szCs w:val="12"/>
          <w:color w:val="auto"/>
        </w:rPr>
      </w:pPr>
    </w:p>
    <w:p>
      <w:pPr>
        <w:jc w:val="both"/>
        <w:ind w:left="2080" w:right="1739" w:hanging="116"/>
        <w:spacing w:after="0" w:line="266" w:lineRule="auto"/>
        <w:tabs>
          <w:tab w:leader="none" w:pos="208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“excluded change of control” means (i) a change of control involving any transaction with Aclaris Therapeutics Inc. or (ii) a change of control with a special purpose acquisition company formed by, or affiliated with, Foresite Capital Management or its affiliated funds within 12 months of the officer’s start date.</w:t>
      </w:r>
    </w:p>
    <w:p>
      <w:pPr>
        <w:spacing w:after="0" w:line="66"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Our named executive officers’ option awards granted prior to the execution of the underwriting agreement for this offering are subject to the terms of the 2021 Plan or our 2024 POP, as applicable; a description of each of the 2021 Plan and 2024 POP and options granted thereunder is provided in the subsection titled “— Equity Benefit Plans” below.</w:t>
      </w:r>
    </w:p>
    <w:p>
      <w:pPr>
        <w:spacing w:after="0" w:line="71"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We intend to adopt a severance program covering our named executive officers in connection with this offering and will provide a description of such program once it is finalized.</w:t>
      </w:r>
    </w:p>
    <w:p>
      <w:pPr>
        <w:spacing w:after="0" w:line="11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Other Compensation and Benefits</w:t>
      </w:r>
    </w:p>
    <w:p>
      <w:pPr>
        <w:spacing w:after="0" w:line="102"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All of our current named executive officers are eligible to participate in our employee benefit plans, in each case on the same basis as all of our other employees. These employee benefit plans include medical, dental, vision, disability, employee assistance, life, accidental death and dismemberment insurance plans. We pay the premiums for the medical, dental, vision, life, and accidental death and dismemberment insurance for all of our employees, including our named executive officers. We generally do not provide perquisites or personal benefits to our named executive officers. In addition, we provide the opportunity to participate in a 401(k) plan to our employees, including each of our named executive officers, as discussed in the subsection titled “—401(k) Plan” below.</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66" w:name="page167"/>
    <w:bookmarkEnd w:id="16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401(k) Plan</w:t>
      </w:r>
    </w:p>
    <w:p>
      <w:pPr>
        <w:spacing w:after="0" w:line="111"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Our named executive officers are eligible to participate in our defined contribution retirement plan that provides eligible employees with an opportunity to save for retirement on a tax advantaged basis. Eligible employees may elect to defer up to 15% of their eligible compensation into the plan on a pretax or after tax basis, up to annual limits prescribed by the Internal Revenue Code of 1986, as amended (the Code).</w:t>
      </w:r>
    </w:p>
    <w:p>
      <w:pPr>
        <w:spacing w:after="0" w:line="11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Clawback Policy</w:t>
      </w:r>
    </w:p>
    <w:p>
      <w:pPr>
        <w:spacing w:after="0" w:line="111" w:lineRule="exact"/>
        <w:rPr>
          <w:sz w:val="20"/>
          <w:szCs w:val="20"/>
          <w:color w:val="auto"/>
        </w:rPr>
      </w:pPr>
    </w:p>
    <w:p>
      <w:pPr>
        <w:jc w:val="both"/>
        <w:ind w:left="1720" w:right="1739"/>
        <w:spacing w:after="0" w:line="273" w:lineRule="auto"/>
        <w:rPr>
          <w:sz w:val="20"/>
          <w:szCs w:val="20"/>
          <w:color w:val="auto"/>
        </w:rPr>
      </w:pPr>
      <w:r>
        <w:rPr>
          <w:rFonts w:ascii="Times New Roman" w:cs="Times New Roman" w:eastAsia="Times New Roman" w:hAnsi="Times New Roman"/>
          <w:sz w:val="12"/>
          <w:szCs w:val="12"/>
          <w:color w:val="auto"/>
        </w:rPr>
        <w:t>In connection with this offering, we intend to adopt a compensation recovery policy that is compliant with the Nasdaq Listing Rules, as required by the Dodd-Frank Act, to be effective upon the consummation of this offering.</w:t>
      </w:r>
    </w:p>
    <w:p>
      <w:pPr>
        <w:spacing w:after="0" w:line="2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Equity Benefit Plans</w:t>
      </w:r>
    </w:p>
    <w:p>
      <w:pPr>
        <w:spacing w:after="0" w:line="111"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We believe that our ability to grant equity-based awards is a valuable and necessary compensation tool that aligns the long-term financial interests of our employees, consultants and directors with the financial interests of our stockholders. In addition, we believe that our ability to grant options and other equity-based awards helps us to attract, retain and motivate employees, consultants and directors, and encourages them to devote their best efforts to our business and financial success. The principal features of our equity incentive plans are summarized below. These summaries are qualified in their entirety by reference to the actual text of the plans, which are filed as exhibits to the registration statement of which this prospectus forms a part.</w:t>
      </w:r>
    </w:p>
    <w:p>
      <w:pPr>
        <w:spacing w:after="0" w:line="1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2024 Equity Incentive Plan</w:t>
      </w:r>
    </w:p>
    <w:p>
      <w:pPr>
        <w:spacing w:after="0" w:line="111"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In June 2024, our board of directors adopted, and our stockholders approved, our 2024 Plan. We expect our 2024 Plan will become effective upon the execution of the underwriting agreement for this offering. Our 2024 Plan came into existence upon its adoption by our board of directors, but no grants will be made under our 2024 Plan prior to its effectiveness. Our 2024 Plan is a successor to and continuation of our 2021 Plan (referred to in the 2024 Plan as our Prior Plan). Once our 2024 Plan becomes effective, no further grants will be made under our 2021 Plan.</w:t>
      </w:r>
    </w:p>
    <w:p>
      <w:pPr>
        <w:spacing w:after="0" w:line="216" w:lineRule="exact"/>
        <w:rPr>
          <w:sz w:val="20"/>
          <w:szCs w:val="20"/>
          <w:color w:val="auto"/>
        </w:rPr>
      </w:pPr>
    </w:p>
    <w:p>
      <w:pPr>
        <w:jc w:val="both"/>
        <w:ind w:left="1720" w:right="1739"/>
        <w:spacing w:after="0" w:line="253" w:lineRule="auto"/>
        <w:rPr>
          <w:sz w:val="20"/>
          <w:szCs w:val="20"/>
          <w:color w:val="auto"/>
        </w:rPr>
      </w:pPr>
      <w:r>
        <w:rPr>
          <w:rFonts w:ascii="Times New Roman" w:cs="Times New Roman" w:eastAsia="Times New Roman" w:hAnsi="Times New Roman"/>
          <w:sz w:val="12"/>
          <w:szCs w:val="12"/>
          <w:i w:val="1"/>
          <w:iCs w:val="1"/>
          <w:color w:val="auto"/>
        </w:rPr>
        <w:t>Types of Awards</w:t>
      </w:r>
      <w:r>
        <w:rPr>
          <w:rFonts w:ascii="Times New Roman" w:cs="Times New Roman" w:eastAsia="Times New Roman" w:hAnsi="Times New Roman"/>
          <w:sz w:val="12"/>
          <w:szCs w:val="12"/>
          <w:color w:val="auto"/>
        </w:rPr>
        <w:t>. Our 2024 Plan provides for the grant of incentive stock options (ISOs) to employees,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including employees of any parent or subsidiary, and for the grant of nonstatutory stock options (NSOs), stock appreciation rights, restricted stock awards, restricted stock unit awards, performance awards and other forms of stock awards to employees, directors, and consultants, including employees and consultants of our affiliates.</w:t>
      </w:r>
    </w:p>
    <w:p>
      <w:pPr>
        <w:spacing w:after="0" w:line="215"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i w:val="1"/>
          <w:iCs w:val="1"/>
          <w:color w:val="auto"/>
        </w:rPr>
        <w:t>Authorized Shares</w:t>
      </w:r>
      <w:r>
        <w:rPr>
          <w:rFonts w:ascii="Times New Roman" w:cs="Times New Roman" w:eastAsia="Times New Roman" w:hAnsi="Times New Roman"/>
          <w:sz w:val="12"/>
          <w:szCs w:val="12"/>
          <w:color w:val="auto"/>
        </w:rPr>
        <w:t>. Initially, the maximum number of shares of our common stock that may be issued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under our 2024 Plan after it becomes effective will not exceed 14,629,339 shares, which is the sum of (i) 7,800,000 new shares, plus (ii) up to 6,829,339 shares of our common stock subject to outstanding stock awards granted under our 2021 Plan that, on or after the 2024 Plan becomes effective, expire or otherwise terminate prior to exercise or settlement; are not issued because the stock award is settled in cash; are forfeited or repurchased because of the failure to vest; or are reacquired or withheld to satisfy a tax withholding obligation or the purchase or exercise price if any, as such shares becomes available from time to time. In addition, the number of shares of our common stock reserved for issuance under our 2024 Plan will automatically increase on January 1 of each calendar year, starting on January 1, 2025 (assuming the 2024 Plan becomes effective in 2024) through January 1, 2034, in an amount equal to 5% of the total number of shares of our capital stock outstanding on the last day of the calendar month before the date of each automatic increase, or a lesser number of shares determined by our board of directors. The maximum number of shares of our common stock that may be issued on the exercise of ISOs under our 2024 Plan is 43,888,017.</w:t>
      </w:r>
    </w:p>
    <w:p>
      <w:pPr>
        <w:spacing w:after="0" w:line="226"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Shares subject to stock awards granted under our 2024 Plan that expire or terminate without being exercised in full, or that are paid out in cash rather than in shares, do not reduce the number of shares available for issuance under our 2024 Plan. Additionally, shares become available for future grant under our 2024 Plan if they were issued stock awards under our 2024 Plan and we repurchase them or they are forfeited. This includes shares used to pay the exercise price of a stock award or to satisfy the tax withholding obligations related to a stock award.</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67" w:name="page168"/>
    <w:bookmarkEnd w:id="16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both"/>
        <w:ind w:left="1720" w:right="1739"/>
        <w:spacing w:after="0" w:line="269" w:lineRule="auto"/>
        <w:rPr>
          <w:sz w:val="20"/>
          <w:szCs w:val="20"/>
          <w:color w:val="auto"/>
        </w:rPr>
      </w:pPr>
      <w:r>
        <w:rPr>
          <w:rFonts w:ascii="Times New Roman" w:cs="Times New Roman" w:eastAsia="Times New Roman" w:hAnsi="Times New Roman"/>
          <w:sz w:val="12"/>
          <w:szCs w:val="12"/>
          <w:i w:val="1"/>
          <w:iCs w:val="1"/>
          <w:color w:val="auto"/>
        </w:rPr>
        <w:t>Plan Administration</w:t>
      </w:r>
      <w:r>
        <w:rPr>
          <w:rFonts w:ascii="Times New Roman" w:cs="Times New Roman" w:eastAsia="Times New Roman" w:hAnsi="Times New Roman"/>
          <w:sz w:val="12"/>
          <w:szCs w:val="12"/>
          <w:color w:val="auto"/>
        </w:rPr>
        <w:t>. Our board of directors, or a duly authorized committee of our board of directors, will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administer our 2024 Plan. Our board of directors may delegate concurrent authority to administer our 2024 Plan to our compensation committee under the terms of our compensation committee’s charter. We sometimes refer to our board of directors, or the applicable committee with the power to administer our equity incentive plans, as the administrator. The administrator may also delegate to one or more persons or bodies the authority to (i) designate employees (other than officers) to receive specified awards, and</w:t>
      </w:r>
    </w:p>
    <w:p>
      <w:pPr>
        <w:spacing w:after="0" w:line="2" w:lineRule="exact"/>
        <w:rPr>
          <w:sz w:val="20"/>
          <w:szCs w:val="20"/>
          <w:color w:val="auto"/>
        </w:rPr>
      </w:pPr>
    </w:p>
    <w:p>
      <w:pPr>
        <w:jc w:val="both"/>
        <w:ind w:left="1720" w:right="1739"/>
        <w:spacing w:after="0" w:line="270" w:lineRule="auto"/>
        <w:tabs>
          <w:tab w:leader="none" w:pos="1923"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 the number of shares subject to such awards. Such persons or bodies may not grant a stock award to themselves and neither our board nor any committee may delegate authority to any person or body (who is not a member of our board or such body that is not comprised solely of members of our board) the authority to determine the fair market value of our common stock for purposes of the 2024 Plan.</w:t>
      </w:r>
    </w:p>
    <w:p>
      <w:pPr>
        <w:spacing w:after="0" w:line="81" w:lineRule="exact"/>
        <w:rPr>
          <w:sz w:val="20"/>
          <w:szCs w:val="20"/>
          <w:color w:val="auto"/>
        </w:r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color w:val="auto"/>
        </w:rPr>
        <w:t>The administrator has the authority to determine the terms of awards, including recipients, the exercise, purchase or strike price of awards, if any, the number of shares subject to each award, the fair market value of a share of common stock, the vesting schedule applicable to the awards, together with any vesting acceleration, and the form of consideration, if any, payable upon exercise or settlement of the award and the terms of the award agreements for use under our 2024 Plan.</w:t>
      </w:r>
    </w:p>
    <w:p>
      <w:pPr>
        <w:spacing w:after="0" w:line="73"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In addition, subject to the terms of the 2024 Plan, the administrator also has the power to modify outstanding awards under our 2024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68" w:lineRule="exact"/>
        <w:rPr>
          <w:sz w:val="20"/>
          <w:szCs w:val="20"/>
          <w:color w:val="auto"/>
        </w:rPr>
      </w:pPr>
    </w:p>
    <w:p>
      <w:pPr>
        <w:jc w:val="both"/>
        <w:ind w:left="1720" w:right="1739"/>
        <w:spacing w:after="0" w:line="276" w:lineRule="auto"/>
        <w:rPr>
          <w:sz w:val="20"/>
          <w:szCs w:val="20"/>
          <w:color w:val="auto"/>
        </w:rPr>
      </w:pPr>
      <w:r>
        <w:rPr>
          <w:rFonts w:ascii="Times New Roman" w:cs="Times New Roman" w:eastAsia="Times New Roman" w:hAnsi="Times New Roman"/>
          <w:sz w:val="12"/>
          <w:szCs w:val="12"/>
          <w:i w:val="1"/>
          <w:iCs w:val="1"/>
          <w:color w:val="auto"/>
        </w:rPr>
        <w:t>Stock Options</w:t>
      </w:r>
      <w:r>
        <w:rPr>
          <w:rFonts w:ascii="Times New Roman" w:cs="Times New Roman" w:eastAsia="Times New Roman" w:hAnsi="Times New Roman"/>
          <w:sz w:val="12"/>
          <w:szCs w:val="12"/>
          <w:color w:val="auto"/>
        </w:rPr>
        <w:t>. ISOs and NSOs are granted under stock option agreements adopted by the administrator.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administrator determines the exercise price for stock options, within the terms and conditions of the 2024 Plan, provided that the exercise price of a stock option generally cannot be less than 100% of the fair market value of our common stock on the date of grant. Options granted under the 2024 Plan vest at the rate specified in the stock option agreement as determined by the administrator.</w:t>
      </w:r>
    </w:p>
    <w:p>
      <w:pPr>
        <w:spacing w:after="0" w:line="67"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i w:val="1"/>
          <w:iCs w:val="1"/>
          <w:color w:val="auto"/>
        </w:rPr>
        <w:t>Tax Limitations on ISOs</w:t>
      </w:r>
      <w:r>
        <w:rPr>
          <w:rFonts w:ascii="Times New Roman" w:cs="Times New Roman" w:eastAsia="Times New Roman" w:hAnsi="Times New Roman"/>
          <w:sz w:val="12"/>
          <w:szCs w:val="12"/>
          <w:color w:val="auto"/>
        </w:rPr>
        <w:t>. The aggregate fair market value, determined at the time of grant, of our common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stock with respect to ISOs that are exercisable for the first time by an optionholder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(i) the option exercise price is at least 110% of the fair market value of the stock subject to the option on the date of grant; and (ii) the option is not exercisable after the expiration of five years from the date of grant.</w:t>
      </w:r>
    </w:p>
    <w:p>
      <w:pPr>
        <w:spacing w:after="0" w:line="224"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i w:val="1"/>
          <w:iCs w:val="1"/>
          <w:color w:val="auto"/>
        </w:rPr>
        <w:t>Restricted Stock Unit Awards</w:t>
      </w:r>
      <w:r>
        <w:rPr>
          <w:rFonts w:ascii="Times New Roman" w:cs="Times New Roman" w:eastAsia="Times New Roman" w:hAnsi="Times New Roman"/>
          <w:sz w:val="12"/>
          <w:szCs w:val="12"/>
          <w:color w:val="auto"/>
        </w:rPr>
        <w:t>. Restricted stock units are granted under restricted stock unit award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agreements adopted by the administrator. Restricted stock units may be granted in consideration for any form of legal consideration that may be acceptable to our board of directors and permissible under applicable law. A restricted stock unit may be settled by cash, delivery of stock, a combination of cash and stock as deemed appropriate by the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223"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i w:val="1"/>
          <w:iCs w:val="1"/>
          <w:color w:val="auto"/>
        </w:rPr>
        <w:t>Restricted Stock Awards</w:t>
      </w:r>
      <w:r>
        <w:rPr>
          <w:rFonts w:ascii="Times New Roman" w:cs="Times New Roman" w:eastAsia="Times New Roman" w:hAnsi="Times New Roman"/>
          <w:sz w:val="12"/>
          <w:szCs w:val="12"/>
          <w:color w:val="auto"/>
        </w:rPr>
        <w:t>. Restricted stock awards are granted under restricted stock award agreements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adopted by the administrator. A restricted stock award may be awarded in consideration for cash, check, bank draft or money order, past services to us, or any other form of legal consideration that may be acceptable to our board of directors and permissible under applicable law. The administrator determines the terms and conditions of restricted stock awards, including vesting and forfeiture terms.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68" w:name="page169"/>
    <w:bookmarkEnd w:id="16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i w:val="1"/>
          <w:iCs w:val="1"/>
          <w:color w:val="auto"/>
        </w:rPr>
        <w:t>Stock Appreciation Rights</w:t>
      </w:r>
      <w:r>
        <w:rPr>
          <w:rFonts w:ascii="Times New Roman" w:cs="Times New Roman" w:eastAsia="Times New Roman" w:hAnsi="Times New Roman"/>
          <w:sz w:val="12"/>
          <w:szCs w:val="12"/>
          <w:color w:val="auto"/>
        </w:rPr>
        <w:t>. Stock appreciation rights are granted under stock appreciation grant agreements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adopted by the administrator. The administrator determines the purchase price or strike price for a stock appreciation right, which generally cannot be less than 100% of the fair market value of our common stock on the date of grant. A stock appreciation right granted under the 2024 Plan vests at the rate specified in the stock appreciation right agreement as determined by the administrator.</w:t>
      </w:r>
    </w:p>
    <w:p>
      <w:pPr>
        <w:spacing w:after="0" w:line="74"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i w:val="1"/>
          <w:iCs w:val="1"/>
          <w:color w:val="auto"/>
        </w:rPr>
        <w:t>Performance Awards</w:t>
      </w:r>
      <w:r>
        <w:rPr>
          <w:rFonts w:ascii="Times New Roman" w:cs="Times New Roman" w:eastAsia="Times New Roman" w:hAnsi="Times New Roman"/>
          <w:sz w:val="12"/>
          <w:szCs w:val="12"/>
          <w:color w:val="auto"/>
        </w:rPr>
        <w:t>. The 2024 Plan permits the grant of performance-based stock and cash awards.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administrator may structure awards so that the shares of our stock, cash, or other property will be issued or paid only following the achievement of certain pre-established performance goals during a designated performance period. The performance criteria that will be used to establish such performance goals may be based on any one of, or combination of, the following as determined by the administrator: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share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administrator.</w:t>
      </w:r>
    </w:p>
    <w:p>
      <w:pPr>
        <w:spacing w:after="0" w:line="381"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we retain the discretion to reduce or eliminate the compensation or economic benefit due upon attainment of the goals. The performance goals may differ from participant to participant and from award to award.</w:t>
      </w:r>
    </w:p>
    <w:p>
      <w:pPr>
        <w:spacing w:after="0" w:line="222" w:lineRule="exact"/>
        <w:rPr>
          <w:sz w:val="20"/>
          <w:szCs w:val="20"/>
          <w:color w:val="auto"/>
        </w:rPr>
      </w:pPr>
    </w:p>
    <w:p>
      <w:pPr>
        <w:jc w:val="both"/>
        <w:ind w:left="1720" w:right="1739"/>
        <w:spacing w:after="0" w:line="274" w:lineRule="auto"/>
        <w:rPr>
          <w:sz w:val="20"/>
          <w:szCs w:val="20"/>
          <w:color w:val="auto"/>
        </w:rPr>
      </w:pPr>
      <w:r>
        <w:rPr>
          <w:rFonts w:ascii="Times New Roman" w:cs="Times New Roman" w:eastAsia="Times New Roman" w:hAnsi="Times New Roman"/>
          <w:sz w:val="12"/>
          <w:szCs w:val="12"/>
          <w:i w:val="1"/>
          <w:iCs w:val="1"/>
          <w:color w:val="auto"/>
        </w:rPr>
        <w:t>Other Stock Awards</w:t>
      </w:r>
      <w:r>
        <w:rPr>
          <w:rFonts w:ascii="Times New Roman" w:cs="Times New Roman" w:eastAsia="Times New Roman" w:hAnsi="Times New Roman"/>
          <w:sz w:val="12"/>
          <w:szCs w:val="12"/>
          <w:color w:val="auto"/>
        </w:rPr>
        <w:t>. The administrator may grant other awards based in whole or in part by reference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our common stock. The administrator will set the number of shares under the stock award and all other terms and conditions of such awards.</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69" w:name="page170"/>
    <w:bookmarkEnd w:id="16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i w:val="1"/>
          <w:iCs w:val="1"/>
          <w:color w:val="auto"/>
        </w:rPr>
        <w:t>Non-Employee Director Compensation Limit</w:t>
      </w:r>
      <w:r>
        <w:rPr>
          <w:rFonts w:ascii="Times New Roman" w:cs="Times New Roman" w:eastAsia="Times New Roman" w:hAnsi="Times New Roman"/>
          <w:sz w:val="12"/>
          <w:szCs w:val="12"/>
          <w:color w:val="auto"/>
        </w:rPr>
        <w:t>. The aggregate value of all compensation granted or paid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any non-employee director with respect to any calendar year that begins on or after the effective date of this offering, including stock awards granted and cash fees paid by us to such non-employee director, will not exceed $750,000 in total value, or in the event such non-employee director is first appointed or elected to the board during such calendar year, $1,000,000 in total value (in each case, calculating the value of any such stock awards based on the grant date fair value of such stock awards for financial reporting purposes).</w:t>
      </w:r>
    </w:p>
    <w:p>
      <w:pPr>
        <w:spacing w:after="0" w:line="76"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i w:val="1"/>
          <w:iCs w:val="1"/>
          <w:color w:val="auto"/>
        </w:rPr>
        <w:t>Changes to Capital Structure</w:t>
      </w:r>
      <w:r>
        <w:rPr>
          <w:rFonts w:ascii="Times New Roman" w:cs="Times New Roman" w:eastAsia="Times New Roman" w:hAnsi="Times New Roman"/>
          <w:sz w:val="12"/>
          <w:szCs w:val="12"/>
          <w:color w:val="auto"/>
        </w:rPr>
        <w:t>. In the event there is a specified type of change in our capital structure, such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a stock split, reverse stock split, or recapitalization, appropriate adjustments will be made to (i) the class and maximum number of shares reserved for issuance under the 2024 Plan, (ii) 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stock awards.</w:t>
      </w:r>
    </w:p>
    <w:p>
      <w:pPr>
        <w:spacing w:after="0" w:line="76" w:lineRule="exact"/>
        <w:rPr>
          <w:sz w:val="20"/>
          <w:szCs w:val="20"/>
          <w:color w:val="auto"/>
        </w:r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i w:val="1"/>
          <w:iCs w:val="1"/>
          <w:color w:val="auto"/>
        </w:rPr>
        <w:t>Corporate Transactions</w:t>
      </w:r>
      <w:r>
        <w:rPr>
          <w:rFonts w:ascii="Times New Roman" w:cs="Times New Roman" w:eastAsia="Times New Roman" w:hAnsi="Times New Roman"/>
          <w:sz w:val="12"/>
          <w:szCs w:val="12"/>
          <w:color w:val="auto"/>
        </w:rPr>
        <w:t>. The following applies to stock awards under the 2024 Plan in the event of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corporate transaction, unless otherwise provided in a participant’s stock award agreement or other written agreement with us or one of our affiliates or unless otherwise expressly provided by the administrator at the time of grant.</w:t>
      </w:r>
    </w:p>
    <w:p>
      <w:pPr>
        <w:spacing w:after="0" w:line="212"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In the event of a corporate transaction, any stock awards outstanding under the 2024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us with respect to such stock awards will not terminate and may continue to be exercised notwithstanding the transaction. The administrator is not obligated to treat all stock awards or portions of stock awards in the same manner and is not obligated to take the same actions with respect to all participants.</w:t>
      </w:r>
    </w:p>
    <w:p>
      <w:pPr>
        <w:spacing w:after="0" w:line="235"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In the event a stock award will terminate if not exercised prior to the effective time of a transaction, the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w:t>
      </w:r>
    </w:p>
    <w:p>
      <w:pPr>
        <w:spacing w:after="0" w:line="77" w:lineRule="exact"/>
        <w:rPr>
          <w:sz w:val="20"/>
          <w:szCs w:val="20"/>
          <w:color w:val="auto"/>
        </w:rPr>
      </w:pPr>
    </w:p>
    <w:p>
      <w:pPr>
        <w:jc w:val="both"/>
        <w:ind w:left="1720" w:right="1739"/>
        <w:spacing w:after="0" w:line="261" w:lineRule="auto"/>
        <w:rPr>
          <w:sz w:val="20"/>
          <w:szCs w:val="20"/>
          <w:color w:val="auto"/>
        </w:rPr>
      </w:pPr>
      <w:r>
        <w:rPr>
          <w:rFonts w:ascii="Times New Roman" w:cs="Times New Roman" w:eastAsia="Times New Roman" w:hAnsi="Times New Roman"/>
          <w:sz w:val="12"/>
          <w:szCs w:val="12"/>
          <w:color w:val="auto"/>
        </w:rPr>
        <w:t>Under our 2024 Plan, a corporate transaction is defined to include the consummation, in a single transaction or in a series of related transactions, of any one or more of the following events: (i) a sale or disposition of all or substantially all of our assets; (ii) a sale or disposition of more than 50% of our outstanding securities;</w:t>
      </w:r>
    </w:p>
    <w:p>
      <w:pPr>
        <w:spacing w:after="0" w:line="2" w:lineRule="exact"/>
        <w:rPr>
          <w:sz w:val="20"/>
          <w:szCs w:val="20"/>
          <w:color w:val="auto"/>
        </w:rPr>
      </w:pPr>
    </w:p>
    <w:p>
      <w:pPr>
        <w:jc w:val="both"/>
        <w:ind w:left="1720" w:right="1739"/>
        <w:spacing w:after="0" w:line="259" w:lineRule="auto"/>
        <w:tabs>
          <w:tab w:leader="none" w:pos="1972"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merger, consolidation or similar transaction where we do not survive the transaction; and (iv) a merger or consolidation where we do survive the transaction but the shares of our common stock outstanding before such transaction are converted or exchanged into other property by virtue of the transaction, unless otherwise provided in an award agreement or other written agreement between us and the award holder.</w:t>
      </w:r>
    </w:p>
    <w:p>
      <w:pPr>
        <w:spacing w:after="0" w:line="214" w:lineRule="exact"/>
        <w:rPr>
          <w:sz w:val="20"/>
          <w:szCs w:val="20"/>
          <w:color w:val="auto"/>
        </w:rPr>
      </w:pPr>
    </w:p>
    <w:p>
      <w:pPr>
        <w:jc w:val="both"/>
        <w:ind w:left="1720" w:right="1739"/>
        <w:spacing w:after="0" w:line="274" w:lineRule="auto"/>
        <w:rPr>
          <w:sz w:val="20"/>
          <w:szCs w:val="20"/>
          <w:color w:val="auto"/>
        </w:rPr>
      </w:pPr>
      <w:r>
        <w:rPr>
          <w:rFonts w:ascii="Times New Roman" w:cs="Times New Roman" w:eastAsia="Times New Roman" w:hAnsi="Times New Roman"/>
          <w:sz w:val="12"/>
          <w:szCs w:val="12"/>
          <w:i w:val="1"/>
          <w:iCs w:val="1"/>
          <w:color w:val="auto"/>
        </w:rPr>
        <w:t>Change in Control</w:t>
      </w:r>
      <w:r>
        <w:rPr>
          <w:rFonts w:ascii="Times New Roman" w:cs="Times New Roman" w:eastAsia="Times New Roman" w:hAnsi="Times New Roman"/>
          <w:sz w:val="12"/>
          <w:szCs w:val="12"/>
          <w:color w:val="auto"/>
        </w:rPr>
        <w:t>. In the event of a change in control, as defined under our 2024 Plan, awards granted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under our 2024 Plan will not receive automatic acceleration of vesting and exercisability, although this treatment may be provided for in an award agreement.</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70" w:name="page171"/>
    <w:bookmarkEnd w:id="17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Under the 2024 Plan, a change in control is defined to include: (i) the acquisition by any person or company of more than 50% of the combined voting power of our then outstanding stock; (ii) a consummated merger, consolidation or similar transaction in which our stockholders immediately before the transaction do not own, directly or indirectly, more than 50% of the combined voting power of the surviving entity (or the parent of the surviving entity); (iii) a consummated sale, lease, exclusive license or other disposition of all or substantially all of our assets other than to an entity more than 50% of the combined voting power of which is owned by our stockholders; and (iv) an unapproved change in the majority of the board of directors.</w:t>
      </w:r>
    </w:p>
    <w:p>
      <w:pPr>
        <w:spacing w:after="0" w:line="215" w:lineRule="exact"/>
        <w:rPr>
          <w:sz w:val="20"/>
          <w:szCs w:val="20"/>
          <w:color w:val="auto"/>
        </w:rPr>
      </w:pPr>
    </w:p>
    <w:p>
      <w:pPr>
        <w:jc w:val="both"/>
        <w:ind w:left="1720" w:right="1739"/>
        <w:spacing w:after="0" w:line="278" w:lineRule="auto"/>
        <w:rPr>
          <w:sz w:val="20"/>
          <w:szCs w:val="20"/>
          <w:color w:val="auto"/>
        </w:rPr>
      </w:pPr>
      <w:r>
        <w:rPr>
          <w:rFonts w:ascii="Times New Roman" w:cs="Times New Roman" w:eastAsia="Times New Roman" w:hAnsi="Times New Roman"/>
          <w:sz w:val="12"/>
          <w:szCs w:val="12"/>
          <w:i w:val="1"/>
          <w:iCs w:val="1"/>
          <w:color w:val="auto"/>
        </w:rPr>
        <w:t>Transferability</w:t>
      </w:r>
      <w:r>
        <w:rPr>
          <w:rFonts w:ascii="Times New Roman" w:cs="Times New Roman" w:eastAsia="Times New Roman" w:hAnsi="Times New Roman"/>
          <w:sz w:val="12"/>
          <w:szCs w:val="12"/>
          <w:color w:val="auto"/>
        </w:rPr>
        <w:t>. A participant may not transfer stock awards under our 2024 Plan other than by will,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laws of descent and distribution, or as otherwise provided under our 2024 Plan.</w:t>
      </w:r>
    </w:p>
    <w:p>
      <w:pPr>
        <w:spacing w:after="0" w:line="56" w:lineRule="exact"/>
        <w:rPr>
          <w:sz w:val="20"/>
          <w:szCs w:val="20"/>
          <w:color w:val="auto"/>
        </w:rPr>
      </w:pPr>
    </w:p>
    <w:p>
      <w:pPr>
        <w:jc w:val="both"/>
        <w:ind w:left="1720" w:right="1739"/>
        <w:spacing w:after="0" w:line="253" w:lineRule="auto"/>
        <w:rPr>
          <w:sz w:val="20"/>
          <w:szCs w:val="20"/>
          <w:color w:val="auto"/>
        </w:rPr>
      </w:pPr>
      <w:r>
        <w:rPr>
          <w:rFonts w:ascii="Times New Roman" w:cs="Times New Roman" w:eastAsia="Times New Roman" w:hAnsi="Times New Roman"/>
          <w:sz w:val="12"/>
          <w:szCs w:val="12"/>
          <w:i w:val="1"/>
          <w:iCs w:val="1"/>
          <w:color w:val="auto"/>
        </w:rPr>
        <w:t>Plan Amendment or Termination</w:t>
      </w:r>
      <w:r>
        <w:rPr>
          <w:rFonts w:ascii="Times New Roman" w:cs="Times New Roman" w:eastAsia="Times New Roman" w:hAnsi="Times New Roman"/>
          <w:sz w:val="12"/>
          <w:szCs w:val="12"/>
          <w:color w:val="auto"/>
        </w:rPr>
        <w:t>. Our board of directors has the authority to amend, suspend, or terminate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our 2024 Plan, provided that such 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adopted our 2024 Plan. No stock awards may be granted under our 2024 Plan while it is suspended or after it is terminated.</w:t>
      </w:r>
    </w:p>
    <w:p>
      <w:pPr>
        <w:spacing w:after="0" w:line="2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2024 Performance Option Plan</w:t>
      </w:r>
    </w:p>
    <w:p>
      <w:pPr>
        <w:spacing w:after="0" w:line="111"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Our board of directors adopted our 2024 POP in May 2024, and our stockholders approved our 2024 POP in May 2024.</w:t>
      </w:r>
    </w:p>
    <w:p>
      <w:pPr>
        <w:spacing w:after="0" w:line="57"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i w:val="1"/>
          <w:iCs w:val="1"/>
          <w:color w:val="auto"/>
        </w:rPr>
        <w:t xml:space="preserve">Authorized Shares. </w:t>
      </w:r>
      <w:r>
        <w:rPr>
          <w:rFonts w:ascii="Times New Roman" w:cs="Times New Roman" w:eastAsia="Times New Roman" w:hAnsi="Times New Roman"/>
          <w:sz w:val="12"/>
          <w:szCs w:val="12"/>
          <w:color w:val="auto"/>
        </w:rPr>
        <w:t>Subject to certain capitalization adjustments, the aggregate number of shares of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common stock that may be issued pursuant to awards under our 2024 POP is 1,880,680 shares (the “Share Reserve”). As of May 15, 2024, stock options covering 1,880,680 shares of our common stock with a weighted-average exercise price of $10.19 per share were outstanding and no shares of our common stock remained available for the future grant of awards under our 2024 POP. In addition, the aggregate maximum number of shares of our common stock that may be issued pursuant to the exercise of ISOs is equal to the Share Reserve multiplied by three. Unissued shares of our common stock underlying awards that expire or are cancelled or shares otherwise issuable under our 2024 POP that are withheld by us for payment of the purchase price, exercise price or withholding taxes in respect of an award will remain available for issuance under our 2024 POP. Shares issued under our 2024 POP that are forfeited to or repurchased by us due to failure to vest are currently added back to the shares of common stock available for issuance under our 2024 POP. Shares issued under our 2024 POP that are settled in cash rather than in shares will not reduce the number of shares remaining available for issuance under our 2024 POP.</w:t>
      </w:r>
    </w:p>
    <w:p>
      <w:pPr>
        <w:spacing w:after="0" w:line="219" w:lineRule="exact"/>
        <w:rPr>
          <w:sz w:val="20"/>
          <w:szCs w:val="20"/>
          <w:color w:val="auto"/>
        </w:rPr>
      </w:pPr>
    </w:p>
    <w:p>
      <w:pPr>
        <w:jc w:val="both"/>
        <w:ind w:left="1720" w:right="1739"/>
        <w:spacing w:after="0" w:line="268" w:lineRule="auto"/>
        <w:rPr>
          <w:sz w:val="20"/>
          <w:szCs w:val="20"/>
          <w:color w:val="auto"/>
        </w:rPr>
      </w:pPr>
      <w:r>
        <w:rPr>
          <w:rFonts w:ascii="Times New Roman" w:cs="Times New Roman" w:eastAsia="Times New Roman" w:hAnsi="Times New Roman"/>
          <w:sz w:val="12"/>
          <w:szCs w:val="12"/>
          <w:i w:val="1"/>
          <w:iCs w:val="1"/>
          <w:color w:val="auto"/>
        </w:rPr>
        <w:t xml:space="preserve">Awards. </w:t>
      </w:r>
      <w:r>
        <w:rPr>
          <w:rFonts w:ascii="Times New Roman" w:cs="Times New Roman" w:eastAsia="Times New Roman" w:hAnsi="Times New Roman"/>
          <w:sz w:val="12"/>
          <w:szCs w:val="12"/>
          <w:color w:val="auto"/>
        </w:rPr>
        <w:t>Our 2024 POP permits the grant of ISOs, NSOs and, restricted stock awards. ISOs may be granted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only to our employees and to any of our parent or subsidiary corporations’ employees. All other awards may be granted to employees, directors and consultants of ours and to any of our parent or subsidiary corporations’ employees or consultants.</w:t>
      </w:r>
    </w:p>
    <w:p>
      <w:pPr>
        <w:spacing w:after="0" w:line="61"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i w:val="1"/>
          <w:iCs w:val="1"/>
          <w:color w:val="auto"/>
        </w:rPr>
        <w:t xml:space="preserve">Plan Administration. </w:t>
      </w:r>
      <w:r>
        <w:rPr>
          <w:rFonts w:ascii="Times New Roman" w:cs="Times New Roman" w:eastAsia="Times New Roman" w:hAnsi="Times New Roman"/>
          <w:sz w:val="12"/>
          <w:szCs w:val="12"/>
          <w:color w:val="auto"/>
        </w:rPr>
        <w:t>Our board of directors or a committee or an officer delegated by our board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directors administers our 2024 POP. Subject to the terms of our 2024 POP, the administrator has the power to, among other things, select the persons to whom awards may be granted, determine the type of award to be granted to any person, determine the number and type of shares to be covered by each award, establish the terms and conditions of each award agreement, determine whether and under what circumstances an option may be exercised without a payment of cash, and determine whether and to what extent and under what circumstances shares and other amounts payable with respect to an award may be deferred either automatically or at the election of the participant.</w:t>
      </w:r>
    </w:p>
    <w:p>
      <w:pPr>
        <w:spacing w:after="0" w:line="227" w:lineRule="exact"/>
        <w:rPr>
          <w:sz w:val="20"/>
          <w:szCs w:val="20"/>
          <w:color w:val="auto"/>
        </w:rPr>
      </w:pPr>
    </w:p>
    <w:p>
      <w:pPr>
        <w:jc w:val="both"/>
        <w:ind w:left="1720" w:right="1739"/>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Stock Options. </w:t>
      </w:r>
      <w:r>
        <w:rPr>
          <w:rFonts w:ascii="Times New Roman" w:cs="Times New Roman" w:eastAsia="Times New Roman" w:hAnsi="Times New Roman"/>
          <w:sz w:val="12"/>
          <w:szCs w:val="12"/>
          <w:color w:val="auto"/>
        </w:rPr>
        <w:t>Stock option awards are granted pursuant to a stock option agreement adopted by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administrator. The administrator determines the exercise price for a stock option, provided that the exercise price of a stock option generally cannot be less than 100% of the fair market value of our common stock on the date of grant. Options granted under our 2024 POP vest at the rate and upon achievement of certain performance conditions specified by the administrator. The administrator determines the term of stock options granted under our 2024 POP, up to a maximum of 10 years. Unless the terms of a participant’s stock option agreement provide otherwise, if a participant’s service relationship with us, or any of our affiliates,</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71" w:name="page172"/>
    <w:bookmarkEnd w:id="171"/>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ceases for any reason other than disability, death or cause, the participant may generally exercise any vested options for a period of three months following the cessation of service. The option term may be extended in the event that the exercise of the option following such a termination of service is prohibited by applicable securities laws or our insider trading policy. Additionally, unless the terms of a participant’s stock option agreement provide otherwise, if a participant’s service relationship with us or any of our affiliates ceases due to disability or death, or a participant dies within a certain period following cessation of service, the participant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 Acceptable consideration for the purchase of our common stock issued upon the exercise of a stock option will be determined by the administrator and may include (1) cash, check, bank draft, electronic funds transfer or money order, (2) a broker-assisted cashless exercise, (3) the tender of shares of our common stock previously owned by the participant, (4) a net exercise of the option if it is an NSO, (5) deferred payment or a similar arrangement with the participant and (6) other legal consideration approved by the administrator.</w:t>
      </w:r>
    </w:p>
    <w:p>
      <w:pPr>
        <w:spacing w:after="0" w:line="217"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i w:val="1"/>
          <w:iCs w:val="1"/>
          <w:color w:val="auto"/>
        </w:rPr>
        <w:t xml:space="preserve">Tax Limitations on ISOs. </w:t>
      </w:r>
      <w:r>
        <w:rPr>
          <w:rFonts w:ascii="Times New Roman" w:cs="Times New Roman" w:eastAsia="Times New Roman" w:hAnsi="Times New Roman"/>
          <w:sz w:val="12"/>
          <w:szCs w:val="12"/>
          <w:color w:val="auto"/>
        </w:rPr>
        <w:t>The aggregate fair market value, determined at the time of grant, of our common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stock with respect to ISOs that are exercisable for the first time by a participant during any calendar year under all of our stock plans may not exceed $ 100,000.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term of the ISO does not exceed five years from the date of grant.</w:t>
      </w:r>
    </w:p>
    <w:p>
      <w:pPr>
        <w:spacing w:after="0" w:line="216"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i w:val="1"/>
          <w:iCs w:val="1"/>
          <w:color w:val="auto"/>
        </w:rPr>
        <w:t xml:space="preserve">Restricted Stock. </w:t>
      </w:r>
      <w:r>
        <w:rPr>
          <w:rFonts w:ascii="Times New Roman" w:cs="Times New Roman" w:eastAsia="Times New Roman" w:hAnsi="Times New Roman"/>
          <w:sz w:val="12"/>
          <w:szCs w:val="12"/>
          <w:color w:val="auto"/>
        </w:rPr>
        <w:t>Restricted stock may be issued pursuant to restricted stock award agreements that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administrator may adopt or upon the early exercise of options by participants. Restricted stock may be granted in consideration for (1) cash, check, bank draft or money order, (2) services rendered to us or our affiliates or (3) any other form of legal consideration approved by the administrator.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w:t>
      </w:r>
    </w:p>
    <w:p>
      <w:pPr>
        <w:spacing w:after="0" w:line="76"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i w:val="1"/>
          <w:iCs w:val="1"/>
          <w:color w:val="auto"/>
        </w:rPr>
        <w:t xml:space="preserve">Changes to Capital Structure. </w:t>
      </w:r>
      <w:r>
        <w:rPr>
          <w:rFonts w:ascii="Times New Roman" w:cs="Times New Roman" w:eastAsia="Times New Roman" w:hAnsi="Times New Roman"/>
          <w:sz w:val="12"/>
          <w:szCs w:val="12"/>
          <w:color w:val="auto"/>
        </w:rPr>
        <w:t>In the event there is a specified type of change in our capital structure, such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a stock dividend, stock split or reverse stock split, appropriate adjustments will be made to (1) the number of shares available for issuance under our 2024 POP, (2) the number of shares covered by and, as applicable, the exercise price of each outstanding award granted under our 2024 POP and (3) the number of shares that may be issued as ISOs under the 2024 POP.</w:t>
      </w:r>
    </w:p>
    <w:p>
      <w:pPr>
        <w:spacing w:after="0" w:line="65"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Corporate Transactions. </w:t>
      </w:r>
      <w:r>
        <w:rPr>
          <w:rFonts w:ascii="Times New Roman" w:cs="Times New Roman" w:eastAsia="Times New Roman" w:hAnsi="Times New Roman"/>
          <w:sz w:val="12"/>
          <w:szCs w:val="12"/>
          <w:color w:val="auto"/>
        </w:rPr>
        <w:t>If we are a party to a merger or consolidation, or in the event of a sale of all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substantially all of our stock or assets, outstanding awards under our 2024 POP will be treated in the manner set forth in the definitive transaction agreement (or, if the transaction does not involve such an agreement, in the manner determined by our board of directors), which agreement or determination need not treat all outstanding awards in an identical manner, and may include one or more of the following treatments with respect to each outstanding award: (i) continuation, assumption or substitution of the award by the surviving corporation (or its parent); (ii) cancellation of the award in exchange for a payment with respect to each share subject to the portion of the award that is vested as of the transaction date equal to the excess of (a) the value of the property (including cash) received by the holder of a share of our common stock as a result of the transaction over (b) the per share exercise price (if any) of the award; (iii) cancellation of the stock option for no consideration; however, the participant will be notified of such treatment and given an opportunity to exercise the option (to the extent it is vested or it becomes vested as of the effective date of the transaction) during a period that will generally be not less than five business days preceding the effective date of the transaction; (iv) suspension of the right to exercise the stock option for a limited period preceding the closing of the transaction if administratively necessary to permit the closing of the transaction; or (v) termination of any right to exercise shares subject to the stock option prior to vesting so that the stock option may only be exercised for vested shares after the closing of the transaction. Our board of directors has discretion to</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72" w:name="page173"/>
    <w:bookmarkEnd w:id="17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accelerate, in whole or part, the vesting and exercisability of an award in connection with a corporate transaction described above. Our board of directors need not take the same action or actions with respect to all stock awards or portions thereof or with respect to all participants or with respect to the vested or unvested portion of such stock awards. In addition, a stock award may provide for additional acceleration of vesting and exercisability upon or following a “change in control” (as​ defined in the 2024 POP) as may be provided in the award agreement evidencing such stock award or in any other written agreement with the holder thereof, but in the absence of such agreement, no such acceleration will occur.</w:t>
      </w:r>
    </w:p>
    <w:p>
      <w:pPr>
        <w:spacing w:after="0" w:line="78"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i w:val="1"/>
          <w:iCs w:val="1"/>
          <w:color w:val="auto"/>
        </w:rPr>
        <w:t xml:space="preserve">Plan Amendment or Termination. </w:t>
      </w:r>
      <w:r>
        <w:rPr>
          <w:rFonts w:ascii="Times New Roman" w:cs="Times New Roman" w:eastAsia="Times New Roman" w:hAnsi="Times New Roman"/>
          <w:sz w:val="12"/>
          <w:szCs w:val="12"/>
          <w:color w:val="auto"/>
        </w:rPr>
        <w:t>Our board of directors may amend, modify, suspend or terminate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2024 POP at any time. Unless terminated sooner by our board of directors, our 2024 POP will automatically terminate on the day before the tenth anniversary of the earlier of (1) the date our 2024 POP was approved by our board of directors, or (2) the date our 2024 POP was approved by our stockholders. No awards may be granted under the POP while it is suspended or after it is terminated. We will terminate our 2024 POP prior to the completion of this offering and no new awards will be granted thereunder following such termination.</w:t>
      </w:r>
    </w:p>
    <w:p>
      <w:pPr>
        <w:spacing w:after="0" w:line="26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2021 Stock Plan</w:t>
      </w:r>
    </w:p>
    <w:p>
      <w:pPr>
        <w:spacing w:after="0" w:line="111"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Our board of directors adopted, and our stockholders approved, our 2021 Plan on February 2, 2021. Our 2021 Plan was most recently amended by our board of directors on May 24, 2024 and approved by our stockholders on May 29, 2024. No further awards will be granted under our 2021 Plan on or after the effectiveness of our 2024 Plan; however, awards outstanding under our 2021 Plan will continue to be governed by their existing terms.</w:t>
      </w:r>
    </w:p>
    <w:p>
      <w:pPr>
        <w:spacing w:after="0" w:line="213" w:lineRule="exact"/>
        <w:rPr>
          <w:sz w:val="20"/>
          <w:szCs w:val="20"/>
          <w:color w:val="auto"/>
        </w:rPr>
      </w:pPr>
    </w:p>
    <w:p>
      <w:pPr>
        <w:jc w:val="both"/>
        <w:ind w:left="1720" w:right="1739"/>
        <w:spacing w:after="0" w:line="268" w:lineRule="auto"/>
        <w:rPr>
          <w:sz w:val="20"/>
          <w:szCs w:val="20"/>
          <w:color w:val="auto"/>
        </w:rPr>
      </w:pPr>
      <w:r>
        <w:rPr>
          <w:rFonts w:ascii="Times New Roman" w:cs="Times New Roman" w:eastAsia="Times New Roman" w:hAnsi="Times New Roman"/>
          <w:sz w:val="12"/>
          <w:szCs w:val="12"/>
          <w:i w:val="1"/>
          <w:iCs w:val="1"/>
          <w:color w:val="auto"/>
        </w:rPr>
        <w:t>Awards</w:t>
      </w:r>
      <w:r>
        <w:rPr>
          <w:rFonts w:ascii="Times New Roman" w:cs="Times New Roman" w:eastAsia="Times New Roman" w:hAnsi="Times New Roman"/>
          <w:sz w:val="12"/>
          <w:szCs w:val="12"/>
          <w:color w:val="auto"/>
        </w:rPr>
        <w:t>. Our 2021 Plan provides for the direct award or sale of shares and for the grant of ISOs within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meaning of Section 422 of the Code, NSOs, stock awards and RSU awards. ISOs may only be granted to our employees. All other awards may be granted to our employees, non-employee members of our board of directors and consultants and any of our subsidiary corporations’ employees and consultants.</w:t>
      </w:r>
    </w:p>
    <w:p>
      <w:pPr>
        <w:spacing w:after="0" w:line="71"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i w:val="1"/>
          <w:iCs w:val="1"/>
          <w:color w:val="auto"/>
        </w:rPr>
        <w:t>Authorized Shares</w:t>
      </w:r>
      <w:r>
        <w:rPr>
          <w:rFonts w:ascii="Times New Roman" w:cs="Times New Roman" w:eastAsia="Times New Roman" w:hAnsi="Times New Roman"/>
          <w:sz w:val="12"/>
          <w:szCs w:val="12"/>
          <w:color w:val="auto"/>
        </w:rPr>
        <w:t>. As of March 31, 2024, we had reserved 7,321,742 shares of our Class A common stock</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 issuance under our 2021 Plan, all of which could be issued on the exercise of ISOs. As of March 31, 2024, options to purchase 5,565,543 shares of our common stock were outstanding under our 2021 Plan, and 631,885 shares of our common stock remained available for issuance under our 2021 Plan. Unissued shares of our common stock underlying awards that expire or are canceled, or shares otherwise issuable under our 2021 Plan that are withheld by us for payment of the purchase price, exercise price or withholding taxes in respect of an award will remain available for issuance under our 2021 Plan. Shares issued under our 2021 Plan that are forfeited to or repurchased by us due to failure to vest are currently added back to the shares of common stock available for issuance under our 2021 Plan. Shares issued under our 2021 Plan that are settled in cash rather than in shares will not reduce the number of shares remaining available for issuance under our 2021 Plan. Upon the effectiveness of our 2024 Plan, shares available for issuance under our 2021 Plan will be added to the shares available for issuance under our 2024 Plan and no additional awards will be granted under the 2021 Plan. In addition, upon the effectiveness of our 2024 Plan, shares subject to awards granted under the 2021 Plan that expire, lapse or are terminated, exchanged for cash, surrendered, repurchased, or forfeited following the effective date of the 2024 Plan will be available for issuance under the 2024 Plan in accordance with its terms.</w:t>
      </w:r>
    </w:p>
    <w:p>
      <w:pPr>
        <w:spacing w:after="0" w:line="229" w:lineRule="exact"/>
        <w:rPr>
          <w:sz w:val="20"/>
          <w:szCs w:val="20"/>
          <w:color w:val="auto"/>
        </w:rPr>
      </w:pPr>
    </w:p>
    <w:p>
      <w:pPr>
        <w:jc w:val="both"/>
        <w:ind w:left="1720" w:right="1739"/>
        <w:spacing w:after="0" w:line="261" w:lineRule="auto"/>
        <w:rPr>
          <w:sz w:val="20"/>
          <w:szCs w:val="20"/>
          <w:color w:val="auto"/>
        </w:rPr>
      </w:pPr>
      <w:r>
        <w:rPr>
          <w:rFonts w:ascii="Times New Roman" w:cs="Times New Roman" w:eastAsia="Times New Roman" w:hAnsi="Times New Roman"/>
          <w:sz w:val="12"/>
          <w:szCs w:val="12"/>
          <w:i w:val="1"/>
          <w:iCs w:val="1"/>
          <w:color w:val="auto"/>
        </w:rPr>
        <w:t>Plan Administration</w:t>
      </w:r>
      <w:r>
        <w:rPr>
          <w:rFonts w:ascii="Times New Roman" w:cs="Times New Roman" w:eastAsia="Times New Roman" w:hAnsi="Times New Roman"/>
          <w:sz w:val="12"/>
          <w:szCs w:val="12"/>
          <w:color w:val="auto"/>
        </w:rPr>
        <w:t>. Our board of directors or one or more committees appointed by our board of directors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may administer our 2021 Plan. We sometimes refer to our board of directors, or the applicable committee appointed by our board of directors, as the administrator. Subject to the terms of our 2021 Plan, the administrator has full authority and discretion to take any actions it deems necessary or advisable for the plan administration of our 2021 Plan. With respect to the terms and conditions of awards granted to participants outside the United States, our board of directors may vary from the provisions of our 2021 Plan that do not require stockholder approval to the extent it determines it necessary and appropriate to do so.</w:t>
      </w:r>
    </w:p>
    <w:p>
      <w:pPr>
        <w:spacing w:after="0" w:line="69"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Within the limitations of our 2021 Plan, the administrator also has the authority to modify, reprice, extend or assume outstanding options and to accept the cancellation of outstanding options (whether granted by us or another issuer) in return for the grant of new options or a different type of award for the same or a different number of shares of our common stock and at the same or a different exercise price. However, no modification</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73" w:name="page174"/>
    <w:bookmarkEnd w:id="173"/>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of an option may impair the participant’s rights or increase the participant’s obligations under the option without the consent of the participant (except as otherwise provided in the 2021 Plan).</w:t>
      </w:r>
    </w:p>
    <w:p>
      <w:pPr>
        <w:spacing w:after="0" w:line="48"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i w:val="1"/>
          <w:iCs w:val="1"/>
          <w:color w:val="auto"/>
        </w:rPr>
        <w:t xml:space="preserve">Stock Options. </w:t>
      </w:r>
      <w:r>
        <w:rPr>
          <w:rFonts w:ascii="Times New Roman" w:cs="Times New Roman" w:eastAsia="Times New Roman" w:hAnsi="Times New Roman"/>
          <w:sz w:val="12"/>
          <w:szCs w:val="12"/>
          <w:color w:val="auto"/>
        </w:rPr>
        <w:t>Stock options have been granted under our 2021 Plan. Subject to the terms and conditions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our 2021 Plan, the administrator determines the terms and conditions of stock options, including, but not limited to, the number of shares subject to the stock option, the exercise price of the stock option, the term of the stock option and the time(s) at which the stock option may become exercisable. The exercise price of stock options granted under our 2021 Plan generally cannot be less than 100% of the fair market value of a share of our common stock on the grant date. The term of a stock option may not exceed ten years from the grant date. With respect to any participant who owns more than 10% of the voting power of all classes of our (or any of our parent’s or subsidiary’s) outstanding stock, the term of an ISO granted to such participant must not exceed five years from the grant date and the per share exercise price cannot be less than 110% of the fair market value of a share of our common stock on the grant date. The exercise price of a stock option may be paid by cash or cash equivalents, or by one or any combination of other payment methods permitted by the administrator, which may include (without limitation): (i) in consideration of services rendered,</w:t>
      </w:r>
    </w:p>
    <w:p>
      <w:pPr>
        <w:spacing w:after="0" w:line="2" w:lineRule="exact"/>
        <w:rPr>
          <w:sz w:val="20"/>
          <w:szCs w:val="20"/>
          <w:color w:val="auto"/>
        </w:rPr>
      </w:pPr>
    </w:p>
    <w:p>
      <w:pPr>
        <w:jc w:val="both"/>
        <w:ind w:left="1720" w:right="1739"/>
        <w:spacing w:after="0" w:line="244" w:lineRule="auto"/>
        <w:tabs>
          <w:tab w:leader="none" w:pos="193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delivery of a promissory note by the participant, (iii) the tender of shares of our common stock previously owned by the participant, (iv) “same day sale” or “cashless exercise” procedure, (v) “net exercise” or (vi) other legal consideration permitted by applicable law. Unless otherwise provided in a participant’s option agreement, if a participant’s service terminates, the participant’s then-vested stock options granted under our 2021 Plan will remain exercisable following termination for a period of three months if the termination is for any reason other than death or disability (as defined in our 2021 Plan), for a period of six months if the termination is due to disability, for a period of 12 months if the termination is due to death, or such longer or shorter period as the administrator may determine. In no event may a stock option be exercised later than the expiration of its term.</w:t>
      </w:r>
    </w:p>
    <w:p>
      <w:pPr>
        <w:spacing w:after="0" w:line="219"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RSU Awards. </w:t>
      </w:r>
      <w:r>
        <w:rPr>
          <w:rFonts w:ascii="Times New Roman" w:cs="Times New Roman" w:eastAsia="Times New Roman" w:hAnsi="Times New Roman"/>
          <w:sz w:val="12"/>
          <w:szCs w:val="12"/>
          <w:color w:val="auto"/>
        </w:rPr>
        <w:t>RSU awards may be granted in consideration for any form of legal consideration that may be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acceptable to our board of directors and permissible under applicable law. A RSU award may be settled by cash, delivery of stock, a combination of cash and stock as deemed appropriate by the administrator. Additionally, dividend equivalents may be credited in respect of shares covered by RSU awards.</w:t>
      </w:r>
    </w:p>
    <w:p>
      <w:pPr>
        <w:spacing w:after="0" w:line="68"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Stock Awards. </w:t>
      </w:r>
      <w:r>
        <w:rPr>
          <w:rFonts w:ascii="Times New Roman" w:cs="Times New Roman" w:eastAsia="Times New Roman" w:hAnsi="Times New Roman"/>
          <w:sz w:val="12"/>
          <w:szCs w:val="12"/>
          <w:color w:val="auto"/>
        </w:rPr>
        <w:t>Stock awards may be awarded in consideration for cash, check, bank draft or money order,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past services to us, or any other form of legal consideration that may be acceptable to our board of directors and permissible under applicable law. The administrator determines the terms and conditions of stock awards, including vesting and forfeiture terms.</w:t>
      </w:r>
    </w:p>
    <w:p>
      <w:pPr>
        <w:spacing w:after="0" w:line="68"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Transferability of Awards. </w:t>
      </w:r>
      <w:r>
        <w:rPr>
          <w:rFonts w:ascii="Times New Roman" w:cs="Times New Roman" w:eastAsia="Times New Roman" w:hAnsi="Times New Roman"/>
          <w:sz w:val="12"/>
          <w:szCs w:val="12"/>
          <w:color w:val="auto"/>
        </w:rPr>
        <w:t>Our 2021 Plan generally does not allow for the transfer of awards except by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beneficiary designation, a will or the laws of descent and distribution, and an ISO may be exercised during the lifetime of the participant only by the participant or the participant’s guardian or legal representative.</w:t>
      </w:r>
    </w:p>
    <w:p>
      <w:pPr>
        <w:spacing w:after="0" w:line="63"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i w:val="1"/>
          <w:iCs w:val="1"/>
          <w:color w:val="auto"/>
        </w:rPr>
        <w:t xml:space="preserve">Changes in Capitalization </w:t>
      </w:r>
      <w:r>
        <w:rPr>
          <w:rFonts w:ascii="Times New Roman" w:cs="Times New Roman" w:eastAsia="Times New Roman" w:hAnsi="Times New Roman"/>
          <w:sz w:val="12"/>
          <w:szCs w:val="12"/>
          <w:color w:val="auto"/>
        </w:rPr>
        <w:t>. In the event of a subdivision of our outstanding common stock, a stock</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dividend, a combination or consolidation of our outstanding common stock into a lesser number of shares, a reclassification or any other increase or decrease in the number of issued shares of our common stock effected without receipt of consideration by us, proportionate adjustments will automatically be made in each of (i) the number and kind of shares available for issuance under our 2021 Plan, (ii) the number and kind of shares covered by each outstanding award and any outstanding and unexercised right to purchase shares that has not yet expired, (iii) the exercise price or purchase price, if any, applicable to each outstanding award, and (iv) any repurchase price applicable to shares granted under our 2021 Plan. In the event of an extraordinary dividend payable in a form other than shares of our common stock in an amount that has a material effect on the fair market value of our common stock, a recapitalization, spin- off, or other similar occurrence, the administrator at its sole discretion may make appropriate adjustments to one or more of the items described above.</w:t>
      </w:r>
    </w:p>
    <w:p>
      <w:pPr>
        <w:spacing w:after="0" w:line="221"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i w:val="1"/>
          <w:iCs w:val="1"/>
          <w:color w:val="auto"/>
        </w:rPr>
        <w:t xml:space="preserve">Corporate Transactions. </w:t>
      </w:r>
      <w:r>
        <w:rPr>
          <w:rFonts w:ascii="Times New Roman" w:cs="Times New Roman" w:eastAsia="Times New Roman" w:hAnsi="Times New Roman"/>
          <w:sz w:val="12"/>
          <w:szCs w:val="12"/>
          <w:color w:val="auto"/>
        </w:rPr>
        <w:t>If we are a party to a merger or consolidation, or in the event of a sale of all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substantially all of our stock or assets, outstanding awards under our 2021 Plan will be treated in the manner set forth in the definitive transaction agreement (or, if the transaction does not involve such an agreement, in the manner determined by our board of directors), which agreement or determination need not treat all outstanding awards in an identical manner, and may include one or more of the following treatments with respect to each outstanding award: (i) continuation, assumption or substitution of the award by the surviving corporation (or its parent); (ii) cancellation of the award in exchange for a payment with respect to each share</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74" w:name="page175"/>
    <w:bookmarkEnd w:id="17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subject to the portion of the award that is vested as of the transaction date equal to the excess of (a) the value of the property (including cash) received by the holder of a share of our common stock as a result of the transaction over (b) the per share exercise price (if any) of the award; (iii) cancellation of the stock option for no consideration; however, the participant will be notified of such treatment and given an opportunity to exercise the option (to the extent it is vested or it becomes vested as of the effective date of the transaction) during a period that will generally be not less than five business days preceding the effective date of the transaction; (iv) suspension of the right to exercise the stock option for a limited period preceding the closing of the transaction if administratively necessary to permit the closing of the transaction; or (v) termination of any right to exercise shares subject to the stock option prior to vesting so that the stock option may only be exercised for vested shares after the closing of the transaction. Our board of directors has discretion to accelerate, in whole or part, the vesting and exercisability of an award in connection with a corporate transaction described above.</w:t>
      </w:r>
    </w:p>
    <w:p>
      <w:pPr>
        <w:spacing w:after="0" w:line="225"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i w:val="1"/>
          <w:iCs w:val="1"/>
          <w:color w:val="auto"/>
        </w:rPr>
        <w:t>Amendment and Termination</w:t>
      </w:r>
      <w:r>
        <w:rPr>
          <w:rFonts w:ascii="Times New Roman" w:cs="Times New Roman" w:eastAsia="Times New Roman" w:hAnsi="Times New Roman"/>
          <w:sz w:val="12"/>
          <w:szCs w:val="12"/>
          <w:color w:val="auto"/>
        </w:rPr>
        <w:t>. Our board of directors may amend, suspend or terminate our 2021 Plan 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any time and for any reason, subject to stockholder approval where such approval is required by applicable law. No termination or amendment of our 2021 Plan may adversely affect any then-outstanding award without the consent of the affected participant. As noted above, no further awards will be granted under our 2021 Plan on or after the effectiveness of our 2024 Plan; however, awards outstanding under our 2021 Plan will continue to be governed by their existing terms.</w:t>
      </w:r>
    </w:p>
    <w:p>
      <w:pPr>
        <w:spacing w:after="0" w:line="12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2024 Employee Stock Purchase Plan</w:t>
      </w:r>
    </w:p>
    <w:p>
      <w:pPr>
        <w:spacing w:after="0" w:line="111"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Our board of directors adopted, and our stockholders approved, our 2024 Employee Stock Purchase Plan, (ESPP) in June 2024. The ESPP will become effective immediately prior to the execution of the underwriting agreement for this offering. The purpose of the ESPP is to secure and retain the services of new employees, to retain the services of existing employees, and to provide incentives for such individuals to exert maximum efforts toward our success and that of our affiliates. Our ESPP will include two components. One component will be designed to allow eligible U.S. employees to purchase our ordinary shares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U.S. while complying with applicable foreign laws.</w:t>
      </w:r>
    </w:p>
    <w:p>
      <w:pPr>
        <w:spacing w:after="0" w:line="72"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i w:val="1"/>
          <w:iCs w:val="1"/>
          <w:color w:val="auto"/>
        </w:rPr>
        <w:t>Share Reserve</w:t>
      </w:r>
      <w:r>
        <w:rPr>
          <w:rFonts w:ascii="Times New Roman" w:cs="Times New Roman" w:eastAsia="Times New Roman" w:hAnsi="Times New Roman"/>
          <w:sz w:val="12"/>
          <w:szCs w:val="12"/>
          <w:color w:val="auto"/>
        </w:rPr>
        <w:t>. Following this offering, the ESPP authorizes the issuance of shares of our common stock</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under purchase rights granted to our employees or to employees of any of our designated affiliates. The number of shares of our common stock reserved for issuance will automatically increase on January 1 of each calendar year, beginning on January 1, 2025 (assuming the ESPP becomes effective in 2024) through January 1, 2034, by the lesser of (i) 1% of the total number of shares of our capital stock outstanding on the last day of the calendar month before the date of the automatic increase, and (ii) 1,950,000 shares; provided that before the date of any such increase, our board of directors may determine that such increase will be less than the amount set forth in clauses (i) and (ii). As of the date hereof, no shares of our common stock have been purchased under the ESPP.</w:t>
      </w:r>
    </w:p>
    <w:p>
      <w:pPr>
        <w:spacing w:after="0" w:line="224"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i w:val="1"/>
          <w:iCs w:val="1"/>
          <w:color w:val="auto"/>
        </w:rPr>
        <w:t>Administration</w:t>
      </w:r>
      <w:r>
        <w:rPr>
          <w:rFonts w:ascii="Times New Roman" w:cs="Times New Roman" w:eastAsia="Times New Roman" w:hAnsi="Times New Roman"/>
          <w:sz w:val="12"/>
          <w:szCs w:val="12"/>
          <w:color w:val="auto"/>
        </w:rPr>
        <w:t>. Our board of directors, or a duly authorized committee thereof, will administer our ESPP.</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Our board may delegate concurrent authority to administer the ESPP to our compensation committee under the terms of the compensation committee’s charter. The ESPP is 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ESPP may be terminated under certain circumstances.</w:t>
      </w:r>
    </w:p>
    <w:p>
      <w:pPr>
        <w:spacing w:after="0" w:line="77"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i w:val="1"/>
          <w:iCs w:val="1"/>
          <w:color w:val="auto"/>
        </w:rPr>
        <w:t>Payroll Deductions</w:t>
      </w:r>
      <w:r>
        <w:rPr>
          <w:rFonts w:ascii="Times New Roman" w:cs="Times New Roman" w:eastAsia="Times New Roman" w:hAnsi="Times New Roman"/>
          <w:sz w:val="12"/>
          <w:szCs w:val="12"/>
          <w:color w:val="auto"/>
        </w:rPr>
        <w:t>. Generally, all regular employees, including executive officers, employed by us or by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any of our designated affiliates, will be eligible to participate in the ESPP and to contribute, normally through payroll deductions, up to a maximum percentage of their earnings (as defined in the ESPP) or up to a set dollar amount for the purchase of our common stock under the ESPP. Unless otherwise determined by our board of directors, common stock will be purchased for the accounts of employees participating in the ESPP</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75" w:name="page176"/>
    <w:bookmarkEnd w:id="175"/>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at a price per share that is at least the lesser of (i) 85% of the fair market value of a share of our common stock on the first date of an offering; or (ii) 85% of the fair market value of a share of our common stock on the date of purchase.</w:t>
      </w:r>
    </w:p>
    <w:p>
      <w:pPr>
        <w:spacing w:after="0" w:line="69"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i w:val="1"/>
          <w:iCs w:val="1"/>
          <w:color w:val="auto"/>
        </w:rPr>
        <w:t>Limitations</w:t>
      </w:r>
      <w:r>
        <w:rPr>
          <w:rFonts w:ascii="Times New Roman" w:cs="Times New Roman" w:eastAsia="Times New Roman" w:hAnsi="Times New Roman"/>
          <w:sz w:val="12"/>
          <w:szCs w:val="12"/>
          <w:color w:val="auto"/>
        </w:rPr>
        <w:t>. Employees may have to satisfy one or more of the following service requirements before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participating in the ESPP, as determined by our board of directors, including: (i) customary employment with us or one of our affiliates for more than 20 hours per week and more than five months per calendar year; or (ii) continuous employment with us or one of our affiliates for a minimum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under Section 424(d) of the Code.</w:t>
      </w:r>
    </w:p>
    <w:p>
      <w:pPr>
        <w:spacing w:after="0" w:line="226"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i w:val="1"/>
          <w:iCs w:val="1"/>
          <w:color w:val="auto"/>
        </w:rPr>
        <w:t>Changes to Capital Structure</w:t>
      </w:r>
      <w:r>
        <w:rPr>
          <w:rFonts w:ascii="Times New Roman" w:cs="Times New Roman" w:eastAsia="Times New Roman" w:hAnsi="Times New Roman"/>
          <w:sz w:val="12"/>
          <w:szCs w:val="12"/>
          <w:color w:val="auto"/>
        </w:rPr>
        <w:t>. In the event that there occurs a change in our capital structure through such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ESPP; (ii) the maximum number of shares by which the share reserve may increase automatically each year; (iii) the number of shares and purchase price of all outstanding purchase rights; and (iv) the number of shares that are subject to purchase limits under ongoing offerings.</w:t>
      </w:r>
    </w:p>
    <w:p>
      <w:pPr>
        <w:spacing w:after="0" w:line="217" w:lineRule="exact"/>
        <w:rPr>
          <w:sz w:val="20"/>
          <w:szCs w:val="20"/>
          <w:color w:val="auto"/>
        </w:rPr>
      </w:pPr>
    </w:p>
    <w:p>
      <w:pPr>
        <w:jc w:val="both"/>
        <w:ind w:left="1720" w:right="1739"/>
        <w:spacing w:after="0" w:line="261" w:lineRule="auto"/>
        <w:rPr>
          <w:sz w:val="20"/>
          <w:szCs w:val="20"/>
          <w:color w:val="auto"/>
        </w:rPr>
      </w:pPr>
      <w:r>
        <w:rPr>
          <w:rFonts w:ascii="Times New Roman" w:cs="Times New Roman" w:eastAsia="Times New Roman" w:hAnsi="Times New Roman"/>
          <w:sz w:val="12"/>
          <w:szCs w:val="12"/>
          <w:i w:val="1"/>
          <w:iCs w:val="1"/>
          <w:color w:val="auto"/>
        </w:rPr>
        <w:t>Corporate Transactions</w:t>
      </w:r>
      <w:r>
        <w:rPr>
          <w:rFonts w:ascii="Times New Roman" w:cs="Times New Roman" w:eastAsia="Times New Roman" w:hAnsi="Times New Roman"/>
          <w:sz w:val="12"/>
          <w:szCs w:val="12"/>
          <w:color w:val="auto"/>
        </w:rPr>
        <w:t>. In the event of certain significant corporate transactions, including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consummation, in a single transaction or in a series of related transactions, of any one or more of the following events: (i) a sale of all or substantially all of our assets; (ii) a sale or disposition of more than 50% of our outstanding securities; (iii) a merger or consolidation where we do not survive the transaction; and</w:t>
      </w:r>
    </w:p>
    <w:p>
      <w:pPr>
        <w:jc w:val="both"/>
        <w:ind w:left="1720" w:right="1739"/>
        <w:spacing w:after="0" w:line="257" w:lineRule="auto"/>
        <w:tabs>
          <w:tab w:leader="none" w:pos="1957"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before such corporate transaction, and such purchase rights will terminate immediately after such purchase.</w:t>
      </w:r>
    </w:p>
    <w:p>
      <w:pPr>
        <w:spacing w:after="0" w:line="224" w:lineRule="exact"/>
        <w:rPr>
          <w:sz w:val="20"/>
          <w:szCs w:val="20"/>
          <w:color w:val="auto"/>
        </w:rPr>
      </w:pPr>
    </w:p>
    <w:p>
      <w:pPr>
        <w:jc w:val="both"/>
        <w:ind w:left="1720" w:right="1739"/>
        <w:spacing w:after="0" w:line="268" w:lineRule="auto"/>
        <w:rPr>
          <w:sz w:val="20"/>
          <w:szCs w:val="20"/>
          <w:color w:val="auto"/>
        </w:rPr>
      </w:pPr>
      <w:r>
        <w:rPr>
          <w:rFonts w:ascii="Times New Roman" w:cs="Times New Roman" w:eastAsia="Times New Roman" w:hAnsi="Times New Roman"/>
          <w:sz w:val="12"/>
          <w:szCs w:val="12"/>
          <w:i w:val="1"/>
          <w:iCs w:val="1"/>
          <w:color w:val="auto"/>
        </w:rPr>
        <w:t>ESPP Amendment or Termination</w:t>
      </w:r>
      <w:r>
        <w:rPr>
          <w:rFonts w:ascii="Times New Roman" w:cs="Times New Roman" w:eastAsia="Times New Roman" w:hAnsi="Times New Roman"/>
          <w:sz w:val="12"/>
          <w:szCs w:val="12"/>
          <w:color w:val="auto"/>
        </w:rPr>
        <w:t>. Our board of directors has the authority to amend or terminate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ESPP, provided that except in certain 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1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Limitations on Liability and Indemnification</w:t>
      </w:r>
    </w:p>
    <w:p>
      <w:pPr>
        <w:spacing w:after="0" w:line="111"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Our amended and restated certificate of incorporation, which will become effective immediately prior to the closing of this offering, will contain provisions that limit the liability of our current and former directors and officers for monetary damages to the fullest extent permitted by Delaware law. Delaware law provides that directors and officers of a corporation will not be personally liable for monetary damages for any breach of fiduciary duties as directors or officers, except liability for:</w:t>
      </w:r>
    </w:p>
    <w:p>
      <w:pPr>
        <w:spacing w:after="0" w:line="50" w:lineRule="exact"/>
        <w:rPr>
          <w:sz w:val="20"/>
          <w:szCs w:val="20"/>
          <w:color w:val="auto"/>
        </w:rPr>
      </w:pPr>
    </w:p>
    <w:p>
      <w:pPr>
        <w:ind w:left="2080" w:hanging="116"/>
        <w:spacing w:after="0"/>
        <w:tabs>
          <w:tab w:leader="none" w:pos="208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breach of the director’s or officer’s duty of loyalty to the corporation or its stockholders;</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65" w:lineRule="auto"/>
        <w:tabs>
          <w:tab w:leader="none" w:pos="208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 or omission not in good faith or that involves intentional misconduct or a knowing violation of law;</w:t>
      </w:r>
    </w:p>
    <w:p>
      <w:pPr>
        <w:spacing w:after="0" w:line="213"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director, unlawful payments of dividends or unlawful stock repurchases or redemptions;</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an officer, derivative claims brought on behalf of the corporation by a stockholder; or</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from which the director or officer derived an improper personal benefit.</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76" w:name="page177"/>
    <w:bookmarkEnd w:id="17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Such limitation of liability does not apply to liabilities arising under federal securities laws and does not affect the availability of equitable remedies such as injunctive relief or rescission.</w:t>
      </w:r>
    </w:p>
    <w:p>
      <w:pPr>
        <w:spacing w:after="0" w:line="59"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Our amended and restated certificate of incorporation will authorize us to indemnify our directors, officers, employees and other agents to the fullest extent permitted by Delaware law. Our amended and restated bylaws will provide that we are required to indemnify our directors and officers to the fullest extent permitted by Delaware law and may indemnify our other employees and agents. Our amended and restated bylaws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w:t>
      </w:r>
    </w:p>
    <w:p>
      <w:pPr>
        <w:spacing w:after="0" w:line="233"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62" w:lineRule="exact"/>
        <w:rPr>
          <w:sz w:val="20"/>
          <w:szCs w:val="20"/>
          <w:color w:val="auto"/>
        </w:rPr>
      </w:pPr>
    </w:p>
    <w:p>
      <w:pPr>
        <w:jc w:val="both"/>
        <w:ind w:left="1720" w:right="1739"/>
        <w:spacing w:after="0" w:line="261" w:lineRule="auto"/>
        <w:rPr>
          <w:sz w:val="20"/>
          <w:szCs w:val="20"/>
          <w:color w:val="auto"/>
        </w:rPr>
      </w:pPr>
      <w:r>
        <w:rPr>
          <w:rFonts w:ascii="Times New Roman" w:cs="Times New Roman" w:eastAsia="Times New Roman" w:hAnsi="Times New Roman"/>
          <w:sz w:val="12"/>
          <w:szCs w:val="12"/>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226"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Rule 10b5-1 Plans</w:t>
      </w:r>
    </w:p>
    <w:p>
      <w:pPr>
        <w:spacing w:after="0" w:line="111"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Our directors, officers and key employees may adopt written plans, known as Rule 10b5-1 plans, in which they will contract with a broker to buy or sell shares of our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 During the first 180 days from this offering, the sale of any shares under such plan would be subject to the lock-up agreement that the director or officer has entered into with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77" w:name="page178"/>
    <w:bookmarkEnd w:id="177"/>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CERTAIN RELATIONSHIPS AND RELATED PERSON TRANSACTIONS</w:t>
      </w:r>
    </w:p>
    <w:p>
      <w:pPr>
        <w:spacing w:after="0" w:line="111"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The following includes a summary of transactions since our inception and any currently proposed transactions to which we have been or are to be a party in which the amount involved exceeded or will exceed the lesser of $120,000 and 1% of our total assets,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the sections titled “Executive Compensation” and “Management—Non-Employee Director Compensation.” We also describe below certain other transactions with our directors, executive officers and stockholders.</w:t>
      </w:r>
    </w:p>
    <w:p>
      <w:pPr>
        <w:spacing w:after="0" w:line="27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Foresite Labs Asset Acquisition</w:t>
      </w:r>
    </w:p>
    <w:p>
      <w:pPr>
        <w:spacing w:after="0" w:line="111" w:lineRule="exact"/>
        <w:rPr>
          <w:sz w:val="20"/>
          <w:szCs w:val="20"/>
          <w:color w:val="auto"/>
        </w:rPr>
      </w:pPr>
    </w:p>
    <w:p>
      <w:pPr>
        <w:jc w:val="both"/>
        <w:ind w:left="1720" w:right="1739"/>
        <w:spacing w:after="0" w:line="261" w:lineRule="auto"/>
        <w:rPr>
          <w:sz w:val="20"/>
          <w:szCs w:val="20"/>
          <w:color w:val="auto"/>
        </w:rPr>
      </w:pPr>
      <w:r>
        <w:rPr>
          <w:rFonts w:ascii="Times New Roman" w:cs="Times New Roman" w:eastAsia="Times New Roman" w:hAnsi="Times New Roman"/>
          <w:sz w:val="12"/>
          <w:szCs w:val="12"/>
          <w:color w:val="auto"/>
        </w:rPr>
        <w:t>In February 2021, we agreed to assume certain simple agreements for future equity (SAFEs) of FL2020-003, Inc. held by Foresite Capital Fund V, L.P. and Labs Co-Invest V, LLC, both entities affiliated with Foresite Capital Management, a holder of more than 5% of our outstanding capital stock, in exchange for the intellectual property rights for an analytics platform in development, as well as prepaid assets and cash. The SAFEs immediately converted into 1,880,001 shares of our Series Seed redeemable convertible preferred stock. The transaction was measured based on the $1.9 million fair value of the Series Seed redeemable convertible preferred stock issued.</w:t>
      </w:r>
    </w:p>
    <w:p>
      <w:pPr>
        <w:spacing w:after="0" w:line="27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Foresite Labs Services Agreement</w:t>
      </w:r>
    </w:p>
    <w:p>
      <w:pPr>
        <w:spacing w:after="0" w:line="102"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In January 2021, we entered into a services agreement with Foresite Labs, an entity affiliated with Foresite Capital Management, a holder of more than 5% of our outstanding capital stock, which was amended on August 24, 2021 and further amended on December 22, 2023, and expires in December 2026, unless terminated earlier by the parties, pursuant to which Foresite Labs provides us with data and analytics services and other scientific support. Foresite Labs invoices us for the services quarterly in advance based on a mutually-agreed service fee estimate, which is reconciled at the end of each quarter. During the years ended December 31, 2022 and 2023, we recognized $1.6 million and $1.5 million as research and development expenses under the service agreement, respectively. General and administrative expenses under the service agreement were immaterial. Accrued expenses under the service agreement were $0 and less than $0.1 million as of December 31, 2022 and 2023, respectively.</w:t>
      </w:r>
    </w:p>
    <w:p>
      <w:pPr>
        <w:spacing w:after="0" w:line="27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Series Seed Redeemable Convertible Preferred Stock Financing</w:t>
      </w:r>
    </w:p>
    <w:p>
      <w:pPr>
        <w:spacing w:after="0" w:line="111"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In February 2021, we issued and sold an aggregate of 10,500,000 shares of our Series Seed Preferred convertible preferred stock, including 1,880,001 shares converted from simple agreements for future equity (SAFEs) held by Foresite Capital Fund V, L.P. and Labs Co-Invest V, LLC, both entities affiliated with Foresite Capital Management, a holder of more than 5% of our outstanding capital stock, at a purchase price of $1.00 per share for aggregate proceeds of $10.5 million, resulting in gross proceeds of $8.6 million.</w:t>
      </w:r>
    </w:p>
    <w:p>
      <w:pPr>
        <w:spacing w:after="0" w:line="77"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The following table summarizes the Series Seed redeemable convertible preferred stock purchased by holders of more than 5% of our capital stock and entities affiliated with our executive officers and members of our board of directors.</w:t>
      </w:r>
    </w:p>
    <w:p>
      <w:pPr>
        <w:spacing w:after="0" w:line="81"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Shares of Series Seed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0"/>
        </w:trPr>
        <w:tc>
          <w:tcPr>
            <w:tcW w:w="5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3"/>
              </w:rPr>
              <w:t>Redeemable Convertible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0"/>
        </w:trPr>
        <w:tc>
          <w:tcPr>
            <w:tcW w:w="5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3"/>
              </w:rPr>
              <w:t>Preferred Stock Purchased</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line="110" w:lineRule="exact"/>
              <w:rPr>
                <w:sz w:val="20"/>
                <w:szCs w:val="20"/>
                <w:color w:val="auto"/>
              </w:rPr>
            </w:pPr>
            <w:r>
              <w:rPr>
                <w:rFonts w:ascii="Times New Roman" w:cs="Times New Roman" w:eastAsia="Times New Roman" w:hAnsi="Times New Roman"/>
                <w:sz w:val="10"/>
                <w:szCs w:val="10"/>
                <w:b w:val="1"/>
                <w:bCs w:val="1"/>
                <w:color w:val="auto"/>
                <w:w w:val="92"/>
              </w:rPr>
              <w:t>Aggregate Proceeds</w:t>
            </w:r>
          </w:p>
        </w:tc>
        <w:tc>
          <w:tcPr>
            <w:tcW w:w="40" w:type="dxa"/>
            <w:vAlign w:val="bottom"/>
          </w:tcPr>
          <w:p>
            <w:pPr>
              <w:spacing w:after="0"/>
              <w:rPr>
                <w:sz w:val="9"/>
                <w:szCs w:val="9"/>
                <w:color w:val="auto"/>
              </w:rPr>
            </w:pPr>
          </w:p>
        </w:tc>
      </w:tr>
      <w:tr>
        <w:trPr>
          <w:trHeight w:val="146"/>
        </w:trPr>
        <w:tc>
          <w:tcPr>
            <w:tcW w:w="560" w:type="dxa"/>
            <w:vAlign w:val="bottom"/>
            <w:tcBorders>
              <w:bottom w:val="single" w:sz="8" w:color="auto"/>
            </w:tcBorders>
          </w:tcPr>
          <w:p>
            <w:pPr>
              <w:spacing w:after="0" w:line="126" w:lineRule="exact"/>
              <w:rPr>
                <w:sz w:val="20"/>
                <w:szCs w:val="20"/>
                <w:color w:val="auto"/>
              </w:rPr>
            </w:pPr>
            <w:r>
              <w:rPr>
                <w:rFonts w:ascii="Times New Roman" w:cs="Times New Roman" w:eastAsia="Times New Roman" w:hAnsi="Times New Roman"/>
                <w:sz w:val="10"/>
                <w:szCs w:val="10"/>
                <w:b w:val="1"/>
                <w:bCs w:val="1"/>
                <w:color w:val="auto"/>
                <w:w w:val="87"/>
              </w:rPr>
              <w:t>Participants</w:t>
            </w:r>
            <w:r>
              <w:rPr>
                <w:rFonts w:ascii="Times New Roman" w:cs="Times New Roman" w:eastAsia="Times New Roman" w:hAnsi="Times New Roman"/>
                <w:sz w:val="12"/>
                <w:szCs w:val="12"/>
                <w:b w:val="1"/>
                <w:bCs w:val="1"/>
                <w:color w:val="auto"/>
                <w:w w:val="87"/>
                <w:vertAlign w:val="superscript"/>
              </w:rPr>
              <w:t>(1)</w:t>
            </w:r>
          </w:p>
        </w:tc>
        <w:tc>
          <w:tcPr>
            <w:tcW w:w="2540" w:type="dxa"/>
            <w:vAlign w:val="bottom"/>
          </w:tcPr>
          <w:p>
            <w:pPr>
              <w:spacing w:after="0"/>
              <w:rPr>
                <w:sz w:val="12"/>
                <w:szCs w:val="12"/>
                <w:color w:val="auto"/>
              </w:rPr>
            </w:pPr>
          </w:p>
        </w:tc>
        <w:tc>
          <w:tcPr>
            <w:tcW w:w="400" w:type="dxa"/>
            <w:vAlign w:val="bottom"/>
          </w:tcPr>
          <w:p>
            <w:pPr>
              <w:ind w:left="300"/>
              <w:spacing w:after="0"/>
              <w:rPr>
                <w:sz w:val="20"/>
                <w:szCs w:val="20"/>
                <w:color w:val="auto"/>
              </w:rPr>
            </w:pPr>
            <w:r>
              <w:rPr>
                <w:rFonts w:ascii="Times New Roman" w:cs="Times New Roman" w:eastAsia="Times New Roman" w:hAnsi="Times New Roman"/>
                <w:sz w:val="10"/>
                <w:szCs w:val="10"/>
                <w:b w:val="1"/>
                <w:bCs w:val="1"/>
                <w:color w:val="auto"/>
              </w:rPr>
              <w:t>​ ​</w:t>
            </w:r>
          </w:p>
        </w:tc>
        <w:tc>
          <w:tcPr>
            <w:tcW w:w="1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800" w:type="dxa"/>
            <w:vAlign w:val="bottom"/>
          </w:tcPr>
          <w:p>
            <w:pPr>
              <w:jc w:val="right"/>
              <w:ind w:right="287"/>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1"/>
        </w:trPr>
        <w:tc>
          <w:tcPr>
            <w:tcW w:w="310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Entities affiliated with Foresite Capital Management</w:t>
            </w:r>
            <w:r>
              <w:rPr>
                <w:rFonts w:ascii="Times New Roman" w:cs="Times New Roman" w:eastAsia="Times New Roman" w:hAnsi="Times New Roman"/>
                <w:sz w:val="15"/>
                <w:szCs w:val="15"/>
                <w:color w:val="auto"/>
                <w:vertAlign w:val="superscript"/>
              </w:rPr>
              <w:t>(2)</w:t>
            </w:r>
          </w:p>
        </w:tc>
        <w:tc>
          <w:tcPr>
            <w:tcW w:w="40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 ​</w:t>
            </w: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​10,000,000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​10,000,000.00</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81280</wp:posOffset>
            </wp:positionV>
            <wp:extent cx="37211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194" w:lineRule="exact"/>
        <w:rPr>
          <w:sz w:val="20"/>
          <w:szCs w:val="20"/>
          <w:color w:val="auto"/>
        </w:rPr>
      </w:pPr>
    </w:p>
    <w:p>
      <w:pPr>
        <w:ind w:left="1960" w:right="1739" w:hanging="240"/>
        <w:spacing w:after="0" w:line="250" w:lineRule="auto"/>
        <w:tabs>
          <w:tab w:leader="none" w:pos="1960" w:val="left"/>
        </w:tabs>
        <w:numPr>
          <w:ilvl w:val="0"/>
          <w:numId w:val="10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Additional details regarding these stockholders and their equity holdings are included in this prospectus under the section titled “Principal Stockholders.”</w:t>
      </w:r>
    </w:p>
    <w:p>
      <w:pPr>
        <w:spacing w:after="0" w:line="26" w:lineRule="exact"/>
        <w:rPr>
          <w:rFonts w:ascii="Times New Roman" w:cs="Times New Roman" w:eastAsia="Times New Roman" w:hAnsi="Times New Roman"/>
          <w:sz w:val="10"/>
          <w:szCs w:val="10"/>
          <w:color w:val="auto"/>
        </w:rPr>
      </w:pPr>
    </w:p>
    <w:p>
      <w:pPr>
        <w:jc w:val="both"/>
        <w:ind w:left="1960" w:right="1739" w:hanging="240"/>
        <w:spacing w:after="0"/>
        <w:tabs>
          <w:tab w:leader="none" w:pos="1960" w:val="left"/>
        </w:tabs>
        <w:numPr>
          <w:ilvl w:val="0"/>
          <w:numId w:val="10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$7,381,810.80 new cash investment by Foresite Capital Fund V, L.P. and the cancellation of $1,709,089.20 in SAFEs held by Foresite Capital Fund V, L.P. converted in connection with the financing, and (ii) $738,189.20 new cash investment by Labs Co-Invest V, LLC and the cancellation of $170,910.80 in SAFEs held by Labs Co-Invest V, LLC converted in connection with the financing. Entities affiliated with Foresite Capital Management collectively beneficially own more than 5% of our outstanding capital stock. James B. Tananbaum, M.D., a member of our board of directors, is President, Chief Executive Officer and a director</w:t>
      </w: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78" w:name="page179"/>
    <w:bookmarkEnd w:id="17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both"/>
        <w:ind w:left="1960" w:right="1739"/>
        <w:spacing w:after="0" w:line="258" w:lineRule="auto"/>
        <w:rPr>
          <w:sz w:val="20"/>
          <w:szCs w:val="20"/>
          <w:color w:val="auto"/>
        </w:rPr>
      </w:pPr>
      <w:r>
        <w:rPr>
          <w:rFonts w:ascii="Times New Roman" w:cs="Times New Roman" w:eastAsia="Times New Roman" w:hAnsi="Times New Roman"/>
          <w:sz w:val="10"/>
          <w:szCs w:val="10"/>
          <w:color w:val="auto"/>
        </w:rPr>
        <w:t>of Foresite Capital Management. Immediately prior to the closing of this offering, all shares of our Series Seed redeemable convertible preferred stock held by entities affiliated with Foresite Capital Management will convert into 2,139,036 shares of our common stock.</w:t>
      </w:r>
    </w:p>
    <w:p>
      <w:pPr>
        <w:spacing w:after="0" w:line="12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Series A Redeemable Convertible Preferred Stock Financing</w:t>
      </w:r>
    </w:p>
    <w:p>
      <w:pPr>
        <w:spacing w:after="0" w:line="111"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In March 2021, we issued and sold an aggregate of 7,500,000 shares of our Series A redeemable convertible preferred stock at a purchase price of $4.00 per share for aggregate proceeds of $30.0 million.</w:t>
      </w:r>
    </w:p>
    <w:p>
      <w:pPr>
        <w:spacing w:after="0" w:line="59" w:lineRule="exact"/>
        <w:rPr>
          <w:sz w:val="20"/>
          <w:szCs w:val="20"/>
          <w:color w:val="auto"/>
        </w:rPr>
      </w:pPr>
    </w:p>
    <w:p>
      <w:pPr>
        <w:jc w:val="both"/>
        <w:ind w:left="1720" w:right="1739"/>
        <w:spacing w:after="0" w:line="280" w:lineRule="auto"/>
        <w:rPr>
          <w:sz w:val="20"/>
          <w:szCs w:val="20"/>
          <w:color w:val="auto"/>
        </w:rPr>
      </w:pPr>
      <w:r>
        <w:rPr>
          <w:rFonts w:ascii="Times New Roman" w:cs="Times New Roman" w:eastAsia="Times New Roman" w:hAnsi="Times New Roman"/>
          <w:sz w:val="12"/>
          <w:szCs w:val="12"/>
          <w:color w:val="auto"/>
        </w:rPr>
        <w:t>The following table summarizes the Series A redeemable convertible preferred stock purchased by holders of more than 5% of our capital stock and entities affiliated with our executive officers and members of our board of directors.</w:t>
      </w:r>
    </w:p>
    <w:p>
      <w:pPr>
        <w:spacing w:after="0" w:line="85"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Shares of Series A</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0"/>
        </w:trPr>
        <w:tc>
          <w:tcPr>
            <w:tcW w:w="5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1"/>
              </w:rPr>
              <w:t>Redeemable</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0"/>
        </w:trPr>
        <w:tc>
          <w:tcPr>
            <w:tcW w:w="5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Convertible Preferred Stock</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0"/>
        </w:trPr>
        <w:tc>
          <w:tcPr>
            <w:tcW w:w="5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3"/>
              </w:rPr>
              <w:t>Purchased</w:t>
            </w:r>
          </w:p>
        </w:tc>
        <w:tc>
          <w:tcPr>
            <w:tcW w:w="160" w:type="dxa"/>
            <w:vAlign w:val="bottom"/>
          </w:tcPr>
          <w:p>
            <w:pPr>
              <w:spacing w:after="0"/>
              <w:rPr>
                <w:sz w:val="9"/>
                <w:szCs w:val="9"/>
                <w:color w:val="auto"/>
              </w:rPr>
            </w:pPr>
          </w:p>
        </w:tc>
        <w:tc>
          <w:tcPr>
            <w:tcW w:w="800" w:type="dxa"/>
            <w:vAlign w:val="bottom"/>
          </w:tcPr>
          <w:p>
            <w:pPr>
              <w:spacing w:after="0" w:line="110" w:lineRule="exact"/>
              <w:rPr>
                <w:sz w:val="20"/>
                <w:szCs w:val="20"/>
                <w:color w:val="auto"/>
              </w:rPr>
            </w:pPr>
            <w:r>
              <w:rPr>
                <w:rFonts w:ascii="Times New Roman" w:cs="Times New Roman" w:eastAsia="Times New Roman" w:hAnsi="Times New Roman"/>
                <w:sz w:val="10"/>
                <w:szCs w:val="10"/>
                <w:b w:val="1"/>
                <w:bCs w:val="1"/>
                <w:color w:val="auto"/>
                <w:w w:val="92"/>
              </w:rPr>
              <w:t>Aggregate Proceeds</w:t>
            </w:r>
          </w:p>
        </w:tc>
        <w:tc>
          <w:tcPr>
            <w:tcW w:w="40" w:type="dxa"/>
            <w:vAlign w:val="bottom"/>
          </w:tcPr>
          <w:p>
            <w:pPr>
              <w:spacing w:after="0"/>
              <w:rPr>
                <w:sz w:val="9"/>
                <w:szCs w:val="9"/>
                <w:color w:val="auto"/>
              </w:rPr>
            </w:pPr>
          </w:p>
        </w:tc>
      </w:tr>
      <w:tr>
        <w:trPr>
          <w:trHeight w:val="146"/>
        </w:trPr>
        <w:tc>
          <w:tcPr>
            <w:tcW w:w="560" w:type="dxa"/>
            <w:vAlign w:val="bottom"/>
            <w:tcBorders>
              <w:bottom w:val="single" w:sz="8" w:color="auto"/>
            </w:tcBorders>
          </w:tcPr>
          <w:p>
            <w:pPr>
              <w:spacing w:after="0" w:line="126" w:lineRule="exact"/>
              <w:rPr>
                <w:sz w:val="20"/>
                <w:szCs w:val="20"/>
                <w:color w:val="auto"/>
              </w:rPr>
            </w:pPr>
            <w:r>
              <w:rPr>
                <w:rFonts w:ascii="Times New Roman" w:cs="Times New Roman" w:eastAsia="Times New Roman" w:hAnsi="Times New Roman"/>
                <w:sz w:val="10"/>
                <w:szCs w:val="10"/>
                <w:b w:val="1"/>
                <w:bCs w:val="1"/>
                <w:color w:val="auto"/>
                <w:w w:val="87"/>
              </w:rPr>
              <w:t>Participants</w:t>
            </w:r>
            <w:r>
              <w:rPr>
                <w:rFonts w:ascii="Times New Roman" w:cs="Times New Roman" w:eastAsia="Times New Roman" w:hAnsi="Times New Roman"/>
                <w:sz w:val="12"/>
                <w:szCs w:val="12"/>
                <w:b w:val="1"/>
                <w:bCs w:val="1"/>
                <w:color w:val="auto"/>
                <w:w w:val="87"/>
                <w:vertAlign w:val="superscript"/>
              </w:rPr>
              <w:t>(1)</w:t>
            </w:r>
          </w:p>
        </w:tc>
        <w:tc>
          <w:tcPr>
            <w:tcW w:w="2500" w:type="dxa"/>
            <w:vAlign w:val="bottom"/>
          </w:tcPr>
          <w:p>
            <w:pPr>
              <w:spacing w:after="0"/>
              <w:rPr>
                <w:sz w:val="12"/>
                <w:szCs w:val="12"/>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800" w:type="dxa"/>
            <w:vAlign w:val="bottom"/>
          </w:tcPr>
          <w:p>
            <w:pPr>
              <w:jc w:val="right"/>
              <w:ind w:right="287"/>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1"/>
        </w:trPr>
        <w:tc>
          <w:tcPr>
            <w:tcW w:w="306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Entities affiliated with Foresite Capital Management</w:t>
            </w:r>
            <w:r>
              <w:rPr>
                <w:rFonts w:ascii="Times New Roman" w:cs="Times New Roman" w:eastAsia="Times New Roman" w:hAnsi="Times New Roman"/>
                <w:sz w:val="15"/>
                <w:szCs w:val="15"/>
                <w:color w:val="auto"/>
                <w:vertAlign w:val="superscript"/>
              </w:rPr>
              <w:t>(2)</w:t>
            </w:r>
          </w:p>
        </w:tc>
        <w:tc>
          <w:tcPr>
            <w:tcW w:w="4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w:t>
            </w: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7,500,000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​30,000,000.00</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93345</wp:posOffset>
            </wp:positionV>
            <wp:extent cx="37211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22" w:lineRule="exact"/>
        <w:rPr>
          <w:sz w:val="20"/>
          <w:szCs w:val="20"/>
          <w:color w:val="auto"/>
        </w:rPr>
      </w:pPr>
    </w:p>
    <w:p>
      <w:pPr>
        <w:ind w:left="1960" w:right="1739" w:hanging="240"/>
        <w:spacing w:after="0" w:line="250" w:lineRule="auto"/>
        <w:tabs>
          <w:tab w:leader="none" w:pos="1960" w:val="left"/>
        </w:tabs>
        <w:numPr>
          <w:ilvl w:val="0"/>
          <w:numId w:val="10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Additional details regarding these stockholders and their equity holdings are included in this prospectus under the section titled “Principal Stockholders.”</w:t>
      </w:r>
    </w:p>
    <w:p>
      <w:pPr>
        <w:spacing w:after="0" w:line="44" w:lineRule="exact"/>
        <w:rPr>
          <w:rFonts w:ascii="Times New Roman" w:cs="Times New Roman" w:eastAsia="Times New Roman" w:hAnsi="Times New Roman"/>
          <w:sz w:val="10"/>
          <w:szCs w:val="10"/>
          <w:color w:val="auto"/>
        </w:rPr>
      </w:pPr>
    </w:p>
    <w:p>
      <w:pPr>
        <w:ind w:left="1960" w:hanging="240"/>
        <w:spacing w:after="0"/>
        <w:tabs>
          <w:tab w:leader="none" w:pos="1960" w:val="left"/>
        </w:tabs>
        <w:numPr>
          <w:ilvl w:val="0"/>
          <w:numId w:val="10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5,250,000 shares of Series A redeemable convertible preferred stock issued to Foresite Capital Fund V, L.P. and</w:t>
      </w:r>
    </w:p>
    <w:p>
      <w:pPr>
        <w:spacing w:after="0" w:line="4" w:lineRule="exact"/>
        <w:rPr>
          <w:rFonts w:ascii="Times New Roman" w:cs="Times New Roman" w:eastAsia="Times New Roman" w:hAnsi="Times New Roman"/>
          <w:sz w:val="10"/>
          <w:szCs w:val="10"/>
          <w:color w:val="auto"/>
        </w:rPr>
      </w:pPr>
    </w:p>
    <w:p>
      <w:pPr>
        <w:jc w:val="both"/>
        <w:ind w:left="1960" w:right="1739" w:firstLine="4"/>
        <w:spacing w:after="0" w:line="231" w:lineRule="auto"/>
        <w:tabs>
          <w:tab w:leader="none" w:pos="2128" w:val="left"/>
        </w:tabs>
        <w:numPr>
          <w:ilvl w:val="1"/>
          <w:numId w:val="10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2,250,000 shares of Series A redeemable convertible preferred stock issued to Foresite Capital Opportunity Fund V, L.P. Entities affiliated with Foresite Capital Management beneficially own more than 5% of our outstanding capital stock. James B. Tananbaum, M.D., a member of our board of directors, is President, Chief Executive Officer and a director of Foresite Capital Management. Immediately prior to the closing of this offering, all shares of our Series A redeemable convertible preferred stock held by entities affiliated with Foresite Capital Management will convert into 1,604,277 shares of our common stock.</w:t>
      </w:r>
    </w:p>
    <w:p>
      <w:pPr>
        <w:spacing w:after="0" w:line="1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Convertible Promissory Notes</w:t>
      </w:r>
    </w:p>
    <w:p>
      <w:pPr>
        <w:spacing w:after="0" w:line="102" w:lineRule="exact"/>
        <w:rPr>
          <w:sz w:val="20"/>
          <w:szCs w:val="20"/>
          <w:color w:val="auto"/>
        </w:rPr>
      </w:pPr>
    </w:p>
    <w:p>
      <w:pPr>
        <w:jc w:val="both"/>
        <w:ind w:left="1720" w:right="1739"/>
        <w:spacing w:after="0" w:line="268" w:lineRule="auto"/>
        <w:rPr>
          <w:sz w:val="20"/>
          <w:szCs w:val="20"/>
          <w:color w:val="auto"/>
        </w:rPr>
      </w:pPr>
      <w:r>
        <w:rPr>
          <w:rFonts w:ascii="Times New Roman" w:cs="Times New Roman" w:eastAsia="Times New Roman" w:hAnsi="Times New Roman"/>
          <w:sz w:val="12"/>
          <w:szCs w:val="12"/>
          <w:color w:val="auto"/>
        </w:rPr>
        <w:t>In March 2021, we issued convertible promissory notes to entities affiliated with Foresight Capital Management, a holder of more than 5% of our outstanding capital stock,with a total principal amount of $30.0 million in exchange for $30.0 million in cash. In August 2021, we issued additional convertible promissory notes to entities affiliated with Foresight Capital Management with a total principal amount of $1.5 million in exchange for $1.5 million in cash. In September 2021, we amended and restated all outstanding convertible promissory notes and issued an additional convertible promissory note to an entity affiliated with Foresight Capital Management with a total principal amount of $6.0 million in exchange for $6.0 million in cash. Pursuant to the terms of such notes, the outstanding indebtedness was cancelled, and the convertible promissory notes converted into 9,760,088 shares of Series B-1 redeemable convertible preferred stock in connection with the Series B and Series B-1 redeemable convertible preferred stock financing, as described below under the subsection titled “—Series B and Series B-1 Redeemable Convertible Preferred Stock Financing.” All of the convertible promissory notes bore interest at a rate of 6% per year, compounded annually and could not be prepaid without written consent from the holders.</w:t>
      </w:r>
    </w:p>
    <w:p>
      <w:pPr>
        <w:spacing w:after="0" w:line="28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Series B and Series B-1 Redeemable Convertible Preferred Stock Financing</w:t>
      </w:r>
    </w:p>
    <w:p>
      <w:pPr>
        <w:spacing w:after="0" w:line="102"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In multiple closings between December 2021 and January 2022, we issued and sold an aggregate of 40,200,000 shares of our Series B redeemable convertible preferred stock at a purchase price of $5.00 per share, resulting in aggregate gross proceeds of $201.0 million. In December 2021, upon the occurrence of a qualified financing, the convertible notes automatically converted into 9,760,088 shares of our Series B-1 redeemable convertible preferred stock at a conversion price of $4.00 per share, which was equal to 80% of the cash issuance price of our Series B redeemable convertible preferred stock, resulting in the cancelation of indebtedness of $39.0 million.</w:t>
      </w:r>
    </w:p>
    <w:p>
      <w:pPr>
        <w:spacing w:after="0" w:line="234" w:lineRule="exact"/>
        <w:rPr>
          <w:sz w:val="20"/>
          <w:szCs w:val="20"/>
          <w:color w:val="auto"/>
        </w:rPr>
      </w:pPr>
    </w:p>
    <w:p>
      <w:pPr>
        <w:jc w:val="both"/>
        <w:ind w:left="1720" w:right="1739"/>
        <w:spacing w:after="0" w:line="280" w:lineRule="auto"/>
        <w:rPr>
          <w:sz w:val="20"/>
          <w:szCs w:val="20"/>
          <w:color w:val="auto"/>
        </w:rPr>
      </w:pPr>
      <w:r>
        <w:rPr>
          <w:rFonts w:ascii="Times New Roman" w:cs="Times New Roman" w:eastAsia="Times New Roman" w:hAnsi="Times New Roman"/>
          <w:sz w:val="12"/>
          <w:szCs w:val="12"/>
          <w:color w:val="auto"/>
        </w:rPr>
        <w:t>The following table summarizes the Series B and Series B-1 redeemable convertible preferred stock purchased by holders of more than 5% of our capital stock and entities affiliated with our executive officers and members of our board of directors.</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79" w:name="page180"/>
    <w:bookmarkEnd w:id="17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49"/>
              <w:spacing w:after="0"/>
              <w:rPr>
                <w:sz w:val="20"/>
                <w:szCs w:val="20"/>
                <w:color w:val="auto"/>
              </w:rPr>
            </w:pPr>
            <w:r>
              <w:rPr>
                <w:rFonts w:ascii="Times New Roman" w:cs="Times New Roman" w:eastAsia="Times New Roman" w:hAnsi="Times New Roman"/>
                <w:sz w:val="10"/>
                <w:szCs w:val="10"/>
                <w:b w:val="1"/>
                <w:bCs w:val="1"/>
                <w:color w:val="auto"/>
                <w:w w:val="90"/>
              </w:rPr>
              <w:t>Shares of</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ind w:right="66"/>
              <w:spacing w:after="0"/>
              <w:rPr>
                <w:sz w:val="20"/>
                <w:szCs w:val="20"/>
                <w:color w:val="auto"/>
              </w:rPr>
            </w:pPr>
            <w:r>
              <w:rPr>
                <w:rFonts w:ascii="Times New Roman" w:cs="Times New Roman" w:eastAsia="Times New Roman" w:hAnsi="Times New Roman"/>
                <w:sz w:val="10"/>
                <w:szCs w:val="10"/>
                <w:b w:val="1"/>
                <w:bCs w:val="1"/>
                <w:color w:val="auto"/>
                <w:w w:val="95"/>
              </w:rPr>
              <w:t>Shares of</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ind w:right="49"/>
              <w:spacing w:after="0" w:line="110" w:lineRule="exact"/>
              <w:rPr>
                <w:sz w:val="20"/>
                <w:szCs w:val="20"/>
                <w:color w:val="auto"/>
              </w:rPr>
            </w:pPr>
            <w:r>
              <w:rPr>
                <w:rFonts w:ascii="Times New Roman" w:cs="Times New Roman" w:eastAsia="Times New Roman" w:hAnsi="Times New Roman"/>
                <w:sz w:val="10"/>
                <w:szCs w:val="10"/>
                <w:b w:val="1"/>
                <w:bCs w:val="1"/>
                <w:color w:val="auto"/>
                <w:w w:val="92"/>
              </w:rPr>
              <w:t>Series B</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center"/>
              <w:ind w:right="86"/>
              <w:spacing w:after="0" w:line="110" w:lineRule="exact"/>
              <w:rPr>
                <w:sz w:val="20"/>
                <w:szCs w:val="20"/>
                <w:color w:val="auto"/>
              </w:rPr>
            </w:pPr>
            <w:r>
              <w:rPr>
                <w:rFonts w:ascii="Times New Roman" w:cs="Times New Roman" w:eastAsia="Times New Roman" w:hAnsi="Times New Roman"/>
                <w:sz w:val="10"/>
                <w:szCs w:val="10"/>
                <w:b w:val="1"/>
                <w:bCs w:val="1"/>
                <w:color w:val="auto"/>
                <w:w w:val="92"/>
              </w:rPr>
              <w:t>Series B-1</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1"/>
              </w:rPr>
              <w:t>Redeemable</w:t>
            </w:r>
          </w:p>
        </w:tc>
        <w:tc>
          <w:tcPr>
            <w:tcW w:w="140" w:type="dxa"/>
            <w:vAlign w:val="bottom"/>
          </w:tcPr>
          <w:p>
            <w:pPr>
              <w:spacing w:after="0"/>
              <w:rPr>
                <w:sz w:val="9"/>
                <w:szCs w:val="9"/>
                <w:color w:val="auto"/>
              </w:rPr>
            </w:pPr>
          </w:p>
        </w:tc>
        <w:tc>
          <w:tcPr>
            <w:tcW w:w="66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Redeemable</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ind w:right="49"/>
              <w:spacing w:after="0" w:line="110" w:lineRule="exact"/>
              <w:rPr>
                <w:sz w:val="20"/>
                <w:szCs w:val="20"/>
                <w:color w:val="auto"/>
              </w:rPr>
            </w:pPr>
            <w:r>
              <w:rPr>
                <w:rFonts w:ascii="Times New Roman" w:cs="Times New Roman" w:eastAsia="Times New Roman" w:hAnsi="Times New Roman"/>
                <w:sz w:val="10"/>
                <w:szCs w:val="10"/>
                <w:b w:val="1"/>
                <w:bCs w:val="1"/>
                <w:color w:val="auto"/>
                <w:w w:val="94"/>
              </w:rPr>
              <w:t>Convertible</w:t>
            </w:r>
          </w:p>
        </w:tc>
        <w:tc>
          <w:tcPr>
            <w:tcW w:w="140" w:type="dxa"/>
            <w:vAlign w:val="bottom"/>
          </w:tcPr>
          <w:p>
            <w:pPr>
              <w:spacing w:after="0"/>
              <w:rPr>
                <w:sz w:val="9"/>
                <w:szCs w:val="9"/>
                <w:color w:val="auto"/>
              </w:rPr>
            </w:pPr>
          </w:p>
        </w:tc>
        <w:tc>
          <w:tcPr>
            <w:tcW w:w="66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Convertible</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Preferred Stock</w:t>
            </w:r>
          </w:p>
        </w:tc>
        <w:tc>
          <w:tcPr>
            <w:tcW w:w="140" w:type="dxa"/>
            <w:vAlign w:val="bottom"/>
          </w:tcPr>
          <w:p>
            <w:pPr>
              <w:spacing w:after="0"/>
              <w:rPr>
                <w:sz w:val="9"/>
                <w:szCs w:val="9"/>
                <w:color w:val="auto"/>
              </w:rPr>
            </w:pPr>
          </w:p>
        </w:tc>
        <w:tc>
          <w:tcPr>
            <w:tcW w:w="66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Preferred Stock</w:t>
            </w:r>
          </w:p>
        </w:tc>
        <w:tc>
          <w:tcPr>
            <w:tcW w:w="160" w:type="dxa"/>
            <w:vAlign w:val="bottom"/>
          </w:tcPr>
          <w:p>
            <w:pPr>
              <w:spacing w:after="0"/>
              <w:rPr>
                <w:sz w:val="9"/>
                <w:szCs w:val="9"/>
                <w:color w:val="auto"/>
              </w:rPr>
            </w:pPr>
          </w:p>
        </w:tc>
        <w:tc>
          <w:tcPr>
            <w:tcW w:w="80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b w:val="1"/>
                <w:bCs w:val="1"/>
                <w:color w:val="auto"/>
                <w:w w:val="89"/>
              </w:rPr>
              <w:t>Aggregate Proceeds</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60" w:type="dxa"/>
            <w:vAlign w:val="bottom"/>
            <w:tcBorders>
              <w:bottom w:val="single" w:sz="8" w:color="auto"/>
            </w:tcBorders>
          </w:tcPr>
          <w:p>
            <w:pPr>
              <w:spacing w:after="0" w:line="126" w:lineRule="exact"/>
              <w:rPr>
                <w:sz w:val="20"/>
                <w:szCs w:val="20"/>
                <w:color w:val="auto"/>
              </w:rPr>
            </w:pPr>
            <w:r>
              <w:rPr>
                <w:rFonts w:ascii="Times New Roman" w:cs="Times New Roman" w:eastAsia="Times New Roman" w:hAnsi="Times New Roman"/>
                <w:sz w:val="10"/>
                <w:szCs w:val="10"/>
                <w:b w:val="1"/>
                <w:bCs w:val="1"/>
                <w:color w:val="auto"/>
                <w:w w:val="87"/>
              </w:rPr>
              <w:t>Participants</w:t>
            </w:r>
            <w:r>
              <w:rPr>
                <w:rFonts w:ascii="Times New Roman" w:cs="Times New Roman" w:eastAsia="Times New Roman" w:hAnsi="Times New Roman"/>
                <w:sz w:val="12"/>
                <w:szCs w:val="12"/>
                <w:b w:val="1"/>
                <w:bCs w:val="1"/>
                <w:color w:val="auto"/>
                <w:w w:val="87"/>
                <w:vertAlign w:val="superscript"/>
              </w:rPr>
              <w:t>(1)</w:t>
            </w:r>
          </w:p>
        </w:tc>
        <w:tc>
          <w:tcPr>
            <w:tcW w:w="2340" w:type="dxa"/>
            <w:vAlign w:val="bottom"/>
          </w:tcPr>
          <w:p>
            <w:pPr>
              <w:spacing w:after="0"/>
              <w:rPr>
                <w:sz w:val="10"/>
                <w:szCs w:val="10"/>
                <w:color w:val="auto"/>
              </w:rPr>
            </w:pP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 ​</w:t>
            </w:r>
          </w:p>
        </w:tc>
        <w:tc>
          <w:tcPr>
            <w:tcW w:w="580" w:type="dxa"/>
            <w:vAlign w:val="bottom"/>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120" w:type="dxa"/>
            <w:vAlign w:val="bottom"/>
          </w:tcPr>
          <w:p>
            <w:pPr>
              <w:spacing w:after="0"/>
              <w:rPr>
                <w:sz w:val="10"/>
                <w:szCs w:val="10"/>
                <w:color w:val="auto"/>
              </w:rPr>
            </w:pPr>
          </w:p>
        </w:tc>
        <w:tc>
          <w:tcPr>
            <w:tcW w:w="540" w:type="dxa"/>
            <w:vAlign w:val="bottom"/>
          </w:tcPr>
          <w:p>
            <w:pPr>
              <w:jc w:val="center"/>
              <w:ind w:right="46"/>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0"/>
        </w:trPr>
        <w:tc>
          <w:tcPr>
            <w:tcW w:w="29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AyurMaya Capital Management Fund, LP</w:t>
            </w:r>
            <w:r>
              <w:rPr>
                <w:rFonts w:ascii="Times New Roman" w:cs="Times New Roman" w:eastAsia="Times New Roman" w:hAnsi="Times New Roman"/>
                <w:sz w:val="15"/>
                <w:szCs w:val="15"/>
                <w:color w:val="auto"/>
                <w:vertAlign w:val="superscript"/>
              </w:rPr>
              <w:t>(2)</w:t>
            </w:r>
          </w:p>
        </w:tc>
        <w:tc>
          <w:tcPr>
            <w:tcW w:w="2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900" w:type="dxa"/>
            <w:vAlign w:val="bottom"/>
            <w:gridSpan w:val="2"/>
            <w:vMerge w:val="continue"/>
            <w:shd w:val="clear" w:color="auto" w:fill="CCEEFF"/>
          </w:tcPr>
          <w:p>
            <w:pPr>
              <w:spacing w:after="0"/>
              <w:rPr>
                <w:sz w:val="14"/>
                <w:szCs w:val="14"/>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20,000,000 ​​ ​</w:t>
            </w:r>
          </w:p>
        </w:tc>
        <w:tc>
          <w:tcPr>
            <w:tcW w:w="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​100,000,000.00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92"/>
        </w:trPr>
        <w:tc>
          <w:tcPr>
            <w:tcW w:w="2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Entities affiliated with BBA</w:t>
            </w:r>
            <w:r>
              <w:rPr>
                <w:rFonts w:ascii="Times New Roman" w:cs="Times New Roman" w:eastAsia="Times New Roman" w:hAnsi="Times New Roman"/>
                <w:sz w:val="15"/>
                <w:szCs w:val="15"/>
                <w:color w:val="auto"/>
                <w:vertAlign w:val="superscript"/>
              </w:rPr>
              <w:t>(3)</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20,000,000 ​​ ​</w:t>
            </w:r>
          </w:p>
        </w:tc>
        <w:tc>
          <w:tcPr>
            <w:tcW w:w="1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xml:space="preserve">​​ ​ ​100,000,000.00 </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92"/>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Entities affiliated with Foresite Capital Management</w:t>
            </w:r>
            <w:r>
              <w:rPr>
                <w:rFonts w:ascii="Times New Roman" w:cs="Times New Roman" w:eastAsia="Times New Roman" w:hAnsi="Times New Roman"/>
                <w:sz w:val="15"/>
                <w:szCs w:val="15"/>
                <w:color w:val="auto"/>
                <w:vertAlign w:val="superscript"/>
              </w:rPr>
              <w:t>(4)</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6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​9,760,088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 39,040,356.18</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86995</wp:posOffset>
            </wp:positionV>
            <wp:extent cx="37211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13" w:lineRule="exact"/>
        <w:rPr>
          <w:sz w:val="20"/>
          <w:szCs w:val="20"/>
          <w:color w:val="auto"/>
        </w:rPr>
      </w:pPr>
    </w:p>
    <w:p>
      <w:pPr>
        <w:ind w:left="1960" w:right="1739" w:hanging="240"/>
        <w:spacing w:after="0" w:line="250" w:lineRule="auto"/>
        <w:tabs>
          <w:tab w:leader="none" w:pos="1960" w:val="left"/>
        </w:tabs>
        <w:numPr>
          <w:ilvl w:val="0"/>
          <w:numId w:val="10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Additional details regarding these stockholders and their equity holdings are included in this prospectus under the section titled “Principal Stockholders.”</w:t>
      </w:r>
    </w:p>
    <w:p>
      <w:pPr>
        <w:spacing w:after="0" w:line="44" w:lineRule="exact"/>
        <w:rPr>
          <w:rFonts w:ascii="Times New Roman" w:cs="Times New Roman" w:eastAsia="Times New Roman" w:hAnsi="Times New Roman"/>
          <w:sz w:val="10"/>
          <w:szCs w:val="10"/>
          <w:color w:val="auto"/>
        </w:rPr>
      </w:pPr>
    </w:p>
    <w:p>
      <w:pPr>
        <w:jc w:val="both"/>
        <w:ind w:left="1960" w:right="1739" w:hanging="240"/>
        <w:spacing w:after="0" w:line="237" w:lineRule="auto"/>
        <w:tabs>
          <w:tab w:leader="none" w:pos="1960" w:val="left"/>
        </w:tabs>
        <w:numPr>
          <w:ilvl w:val="0"/>
          <w:numId w:val="10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Alan Colowick, M.D., M.P.H., a member of our board of directors, is Managing Director of Matrix Capital Management Company, an affiliate of AyurMaya Capital Management Fund LP, a holder of greater than 5% of our capital stock. Immediately prior to the closing of this offering, all shares of our Series B redeemable convertible preferred stock held by AyurMaya Capital Management Fund, LP will convert into 4,278,074 shares of our common stock.</w:t>
      </w:r>
    </w:p>
    <w:p>
      <w:pPr>
        <w:spacing w:after="0" w:line="49" w:lineRule="exact"/>
        <w:rPr>
          <w:rFonts w:ascii="Times New Roman" w:cs="Times New Roman" w:eastAsia="Times New Roman" w:hAnsi="Times New Roman"/>
          <w:sz w:val="10"/>
          <w:szCs w:val="10"/>
          <w:color w:val="auto"/>
        </w:rPr>
      </w:pPr>
    </w:p>
    <w:p>
      <w:pPr>
        <w:jc w:val="both"/>
        <w:ind w:left="1960" w:right="1739" w:hanging="240"/>
        <w:spacing w:after="0"/>
        <w:tabs>
          <w:tab w:leader="none" w:pos="1960" w:val="left"/>
        </w:tabs>
        <w:numPr>
          <w:ilvl w:val="0"/>
          <w:numId w:val="10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18,506,264 shares of Series B redeemable convertible preferred stock issued to Baker Brothers Life Sciences, L.P. (BBA) and (ii) 1,493,736 shares of Series B redeemable convertible preferred stock issued to 667, L.P. (together with BBA, the BBA Funds). Julian C. Baker, a former member of our board of directors who resigned from our board of directors in June 2024, is a Managing Partner of BBA, the management company and investment adviser to the BBA Funds. The BBA Funds beneficially own more than 5% of our outstanding capital stock. Immediately prior to the closing of this offering, all shares of our Series B redeemable convertible preferred stock held by the BBA Funds will convert into 4,278,074 shares of our non-voting common stock.</w:t>
      </w:r>
    </w:p>
    <w:p>
      <w:pPr>
        <w:spacing w:after="0" w:line="143" w:lineRule="exact"/>
        <w:rPr>
          <w:rFonts w:ascii="Times New Roman" w:cs="Times New Roman" w:eastAsia="Times New Roman" w:hAnsi="Times New Roman"/>
          <w:sz w:val="10"/>
          <w:szCs w:val="10"/>
          <w:color w:val="auto"/>
        </w:rPr>
      </w:pPr>
    </w:p>
    <w:p>
      <w:pPr>
        <w:ind w:left="1960" w:hanging="240"/>
        <w:spacing w:after="0"/>
        <w:tabs>
          <w:tab w:leader="none" w:pos="1960" w:val="left"/>
        </w:tabs>
        <w:numPr>
          <w:ilvl w:val="0"/>
          <w:numId w:val="10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2,618,356 shares of Series B-1 redeemable convertible preferred stock issued to Foresite Capital Fund V, L.P.,</w:t>
      </w:r>
    </w:p>
    <w:p>
      <w:pPr>
        <w:spacing w:after="0" w:line="4" w:lineRule="exact"/>
        <w:rPr>
          <w:rFonts w:ascii="Times New Roman" w:cs="Times New Roman" w:eastAsia="Times New Roman" w:hAnsi="Times New Roman"/>
          <w:sz w:val="10"/>
          <w:szCs w:val="10"/>
          <w:color w:val="auto"/>
        </w:rPr>
      </w:pPr>
    </w:p>
    <w:p>
      <w:pPr>
        <w:jc w:val="both"/>
        <w:ind w:left="1960" w:right="1739" w:firstLine="4"/>
        <w:spacing w:after="0" w:line="231" w:lineRule="auto"/>
        <w:tabs>
          <w:tab w:leader="none" w:pos="2121" w:val="left"/>
        </w:tabs>
        <w:numPr>
          <w:ilvl w:val="1"/>
          <w:numId w:val="10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2,618,356 shares of Series B-1 redeemable convertible preferred stock issued to Foresite Capital Opportunity Fund V, L.P., and (iii) 4,523,376 shares of Series B-1 redeemable convertible preferred stock issued to Foresite Labs Fund I, L.P. Entities affiliated with Foresite Capital Management beneficially own more than 5% of our outstanding capital stock. James B. Tananbaum, M.D., a member of our board of directors, is President, Chief Executive Officer and a director of Foresite Capital Management. Immediately prior to the closing of this offering, all shares of our Series B-1 redeemable convertible preferred stock held by entities affiliated with Foresite Capital Management will convert into 2,087,719 shares of our common stock.</w:t>
      </w:r>
    </w:p>
    <w:p>
      <w:pPr>
        <w:spacing w:after="0" w:line="1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Series B-2 and Series B-2A Convertible Preferred Stock Financing</w:t>
      </w:r>
    </w:p>
    <w:p>
      <w:pPr>
        <w:spacing w:after="0" w:line="111" w:lineRule="exact"/>
        <w:rPr>
          <w:sz w:val="20"/>
          <w:szCs w:val="20"/>
          <w:color w:val="auto"/>
        </w:r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color w:val="auto"/>
        </w:rPr>
        <w:t>In May 2023 and October 2023, we issued and sold an aggregate of 14,943,510 shares of our Series B-2 redeemable convertible preferred stock at a purchase price of $5.00 per share. We also sold an aggregate of 3,056,490 shares of our Series B-2A redeemable convertible preferred stock at a price of $5.00 per share. The aggregate proceeds for the Series B-2 and Series B-2A redeemable convertible preferred shares were $90,000,000.00.</w:t>
      </w:r>
    </w:p>
    <w:p>
      <w:pPr>
        <w:spacing w:after="0" w:line="82" w:lineRule="exact"/>
        <w:rPr>
          <w:sz w:val="20"/>
          <w:szCs w:val="20"/>
          <w:color w:val="auto"/>
        </w:rPr>
      </w:pPr>
    </w:p>
    <w:p>
      <w:pPr>
        <w:jc w:val="both"/>
        <w:ind w:left="1720" w:right="1739"/>
        <w:spacing w:after="0" w:line="280" w:lineRule="auto"/>
        <w:rPr>
          <w:sz w:val="20"/>
          <w:szCs w:val="20"/>
          <w:color w:val="auto"/>
        </w:rPr>
      </w:pPr>
      <w:r>
        <w:rPr>
          <w:rFonts w:ascii="Times New Roman" w:cs="Times New Roman" w:eastAsia="Times New Roman" w:hAnsi="Times New Roman"/>
          <w:sz w:val="12"/>
          <w:szCs w:val="12"/>
          <w:color w:val="auto"/>
        </w:rPr>
        <w:t>The following table summarizes the Series B-2 and Series B-2A convertible preferred stock purchased by holders of more than 5% of our capital stock and entities affiliated with our executive officers and members of our board of directors.</w:t>
      </w:r>
    </w:p>
    <w:p>
      <w:pPr>
        <w:sectPr>
          <w:pgSz w:w="11900" w:h="16838" w:orient="portrait"/>
          <w:cols w:equalWidth="0" w:num="1">
            <w:col w:w="9019"/>
          </w:cols>
          <w:pgMar w:left="1440" w:top="106"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b w:val="1"/>
          <w:bCs w:val="1"/>
          <w:u w:val="single" w:color="auto"/>
          <w:color w:val="auto"/>
        </w:rPr>
        <w:t>Participants</w:t>
      </w:r>
      <w:r>
        <w:rPr>
          <w:rFonts w:ascii="Times New Roman" w:cs="Times New Roman" w:eastAsia="Times New Roman" w:hAnsi="Times New Roman"/>
          <w:sz w:val="12"/>
          <w:szCs w:val="12"/>
          <w:b w:val="1"/>
          <w:bCs w:val="1"/>
          <w:u w:val="single" w:color="auto"/>
          <w:color w:val="auto"/>
          <w:vertAlign w:val="superscript"/>
        </w:rPr>
        <w:t>(1)</w:t>
      </w:r>
    </w:p>
    <w:p>
      <w:pPr>
        <w:spacing w:after="0" w:line="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AyurMaya Capital Management Fund, LP</w:t>
      </w:r>
      <w:r>
        <w:rPr>
          <w:rFonts w:ascii="Times New Roman" w:cs="Times New Roman" w:eastAsia="Times New Roman" w:hAnsi="Times New Roman"/>
          <w:sz w:val="15"/>
          <w:szCs w:val="15"/>
          <w:color w:val="auto"/>
          <w:vertAlign w:val="superscript"/>
        </w:rPr>
        <w:t>(2)</w:t>
      </w:r>
    </w:p>
    <w:p>
      <w:pPr>
        <w:spacing w:after="0" w:line="2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Entities affiliated with BBA</w:t>
      </w:r>
      <w:r>
        <w:rPr>
          <w:rFonts w:ascii="Times New Roman" w:cs="Times New Roman" w:eastAsia="Times New Roman" w:hAnsi="Times New Roman"/>
          <w:sz w:val="15"/>
          <w:szCs w:val="15"/>
          <w:color w:val="auto"/>
          <w:vertAlign w:val="superscript"/>
        </w:rPr>
        <w:t>(3)</w:t>
      </w:r>
    </w:p>
    <w:p>
      <w:pPr>
        <w:spacing w:after="0" w:line="2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Entities affiliated with Foresite Capital</w:t>
      </w:r>
    </w:p>
    <w:p>
      <w:pPr>
        <w:ind w:left="1840"/>
        <w:spacing w:after="0" w:line="232" w:lineRule="auto"/>
        <w:rPr>
          <w:sz w:val="20"/>
          <w:szCs w:val="20"/>
          <w:color w:val="auto"/>
        </w:rPr>
      </w:pPr>
      <w:r>
        <w:rPr>
          <w:rFonts w:ascii="Times New Roman" w:cs="Times New Roman" w:eastAsia="Times New Roman" w:hAnsi="Times New Roman"/>
          <w:sz w:val="12"/>
          <w:szCs w:val="12"/>
          <w:color w:val="auto"/>
        </w:rPr>
        <w:t>Management</w:t>
      </w:r>
      <w:r>
        <w:rPr>
          <w:rFonts w:ascii="Times New Roman" w:cs="Times New Roman" w:eastAsia="Times New Roman" w:hAnsi="Times New Roman"/>
          <w:sz w:val="15"/>
          <w:szCs w:val="1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96520</wp:posOffset>
            </wp:positionV>
            <wp:extent cx="37211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Shares of Series B-2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Shares of Series B-2A</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0"/>
        </w:trPr>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Redeemable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1"/>
              </w:rPr>
              <w:t>Redeemable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0"/>
        </w:trPr>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0"/>
              </w:rPr>
              <w:t>Convertible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Convertible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0"/>
        </w:trPr>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1"/>
              </w:rPr>
              <w:t>Preferred Stock</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Preferred Stock</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3"/>
          </w:tcPr>
          <w:p>
            <w:pPr>
              <w:spacing w:after="0" w:line="110" w:lineRule="exact"/>
              <w:rPr>
                <w:sz w:val="20"/>
                <w:szCs w:val="20"/>
                <w:color w:val="auto"/>
              </w:rPr>
            </w:pPr>
            <w:r>
              <w:rPr>
                <w:rFonts w:ascii="Times New Roman" w:cs="Times New Roman" w:eastAsia="Times New Roman" w:hAnsi="Times New Roman"/>
                <w:sz w:val="10"/>
                <w:szCs w:val="10"/>
                <w:b w:val="1"/>
                <w:bCs w:val="1"/>
                <w:color w:val="auto"/>
                <w:w w:val="96"/>
              </w:rPr>
              <w:t>Aggregate Proceeds</w:t>
            </w:r>
          </w:p>
        </w:tc>
      </w:tr>
      <w:tr>
        <w:trPr>
          <w:trHeight w:val="145"/>
        </w:trPr>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Borders>
              <w:bottom w:val="single" w:sz="8" w:color="auto"/>
            </w:tcBorders>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245"/>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20" w:type="dxa"/>
            <w:vAlign w:val="bottom"/>
            <w:tcBorders>
              <w:bottom w:val="single" w:sz="8" w:color="auto"/>
            </w:tcBorders>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90"/>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​4,058,829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25"/>
              <w:spacing w:after="0"/>
              <w:rPr>
                <w:sz w:val="20"/>
                <w:szCs w:val="20"/>
                <w:color w:val="auto"/>
              </w:rPr>
            </w:pPr>
            <w:r>
              <w:rPr>
                <w:rFonts w:ascii="Times New Roman" w:cs="Times New Roman" w:eastAsia="Times New Roman" w:hAnsi="Times New Roman"/>
                <w:sz w:val="12"/>
                <w:szCs w:val="12"/>
                <w:color w:val="auto"/>
              </w:rPr>
              <w:t>​1,277,660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​26,682,445.00</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92"/>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​3,557,659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25"/>
              <w:spacing w:after="0"/>
              <w:rPr>
                <w:sz w:val="20"/>
                <w:szCs w:val="20"/>
                <w:color w:val="auto"/>
              </w:rPr>
            </w:pPr>
            <w:r>
              <w:rPr>
                <w:rFonts w:ascii="Times New Roman" w:cs="Times New Roman" w:eastAsia="Times New Roman" w:hAnsi="Times New Roman"/>
                <w:sz w:val="12"/>
                <w:szCs w:val="12"/>
                <w:color w:val="auto"/>
              </w:rPr>
              <w:t>​1,778,830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​26,682,445.00</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21"/>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​7,273,658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125"/>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​36,368,290.00</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-458470</wp:posOffset>
            </wp:positionV>
            <wp:extent cx="3535680" cy="1219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535680" cy="121920"/>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-213995</wp:posOffset>
            </wp:positionV>
            <wp:extent cx="3535680" cy="2152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535680" cy="2152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360"/>
            <w:col w:w="4699"/>
          </w:cols>
          <w:pgMar w:left="1440" w:top="106" w:right="1440" w:bottom="1440" w:gutter="0" w:footer="0" w:header="0"/>
          <w:type w:val="continuous"/>
        </w:sectPr>
      </w:pPr>
    </w:p>
    <w:p>
      <w:pPr>
        <w:spacing w:after="0" w:line="33" w:lineRule="exact"/>
        <w:rPr>
          <w:sz w:val="20"/>
          <w:szCs w:val="20"/>
          <w:color w:val="auto"/>
        </w:rPr>
      </w:pPr>
    </w:p>
    <w:p>
      <w:pPr>
        <w:ind w:left="1960" w:right="1739" w:hanging="240"/>
        <w:spacing w:after="0" w:line="250" w:lineRule="auto"/>
        <w:tabs>
          <w:tab w:leader="none" w:pos="1960" w:val="left"/>
        </w:tabs>
        <w:numPr>
          <w:ilvl w:val="0"/>
          <w:numId w:val="10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Additional details regarding these stockholders and their equity holdings are included in this prospectus under the section titled “Principal Stockholders.”</w:t>
      </w:r>
    </w:p>
    <w:p>
      <w:pPr>
        <w:spacing w:after="0" w:line="44" w:lineRule="exact"/>
        <w:rPr>
          <w:rFonts w:ascii="Times New Roman" w:cs="Times New Roman" w:eastAsia="Times New Roman" w:hAnsi="Times New Roman"/>
          <w:sz w:val="10"/>
          <w:szCs w:val="10"/>
          <w:color w:val="auto"/>
        </w:rPr>
      </w:pPr>
    </w:p>
    <w:p>
      <w:pPr>
        <w:jc w:val="both"/>
        <w:ind w:left="1960" w:right="1739" w:hanging="240"/>
        <w:spacing w:after="0" w:line="234" w:lineRule="auto"/>
        <w:tabs>
          <w:tab w:leader="none" w:pos="1960" w:val="left"/>
        </w:tabs>
        <w:numPr>
          <w:ilvl w:val="0"/>
          <w:numId w:val="10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Alan Colowick, M.D., M.P.H., a member of our board of directors, is Managing Director of Matrix Capital Management Company, an affiliate of AyurMaya Capital Management Fund LP, a holder of greater than 5% of our capital stock. Note that AyurMaya Capital Management Fund, LP later converted its Series B-2A redeemable convertible preferred stock into Series B-2 redeemable convertible preferred stock in July 2023. Immediately prior to the closing of this offering, all shares of our Series B-2 redeemable convertible preferred stock held by AyurMaya Capital Management Fund, LP will convert into 1,141,494 shares of our common stock.</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180" w:name="page181"/>
    <w:bookmarkEnd w:id="18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both"/>
        <w:ind w:left="1960" w:right="1739" w:hanging="240"/>
        <w:spacing w:after="0"/>
        <w:tabs>
          <w:tab w:leader="none" w:pos="1960" w:val="left"/>
        </w:tabs>
        <w:numPr>
          <w:ilvl w:val="0"/>
          <w:numId w:val="10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3,263,415 shares of our Series B-2 redeemable convertible preferred stock and 1,631,708 shares of our Series B-2A redeemable convertible preferred stock issued to BBA and (ii) 294,244 shares of our Series B-2 redeemable convertible preferred stock and 147,122 shares of our Series B-2A redeemable convertible preferred stock issued to 667, L.P. Julian C. Baker, a former member of our board of directors who resigned from our board of directors in June 2024, is a Managing Partner of BBA, the management company and investment adviser to the BBA Funds. The BBA Funds beneficially own more than 5% of our outstanding capital stock. Immediately prior to the closing of this offering, all shares of our Series B-2 and Series B-2A redeemable convertible preferred stock held by the BBA Funds will convert into 1,141,492 shares of our non-voting common stock.</w:t>
      </w:r>
    </w:p>
    <w:p>
      <w:pPr>
        <w:spacing w:after="0" w:line="138" w:lineRule="exact"/>
        <w:rPr>
          <w:rFonts w:ascii="Times New Roman" w:cs="Times New Roman" w:eastAsia="Times New Roman" w:hAnsi="Times New Roman"/>
          <w:sz w:val="10"/>
          <w:szCs w:val="10"/>
          <w:color w:val="auto"/>
        </w:rPr>
      </w:pPr>
    </w:p>
    <w:p>
      <w:pPr>
        <w:ind w:left="1960" w:hanging="240"/>
        <w:spacing w:after="0"/>
        <w:tabs>
          <w:tab w:leader="none" w:pos="1960" w:val="left"/>
        </w:tabs>
        <w:numPr>
          <w:ilvl w:val="0"/>
          <w:numId w:val="10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2,909,464 shares of our Series B-2 redeemable convertible preferred stock issued to Foresite Capital Fund V, L.P.,</w:t>
      </w:r>
    </w:p>
    <w:p>
      <w:pPr>
        <w:spacing w:after="0" w:line="4" w:lineRule="exact"/>
        <w:rPr>
          <w:rFonts w:ascii="Times New Roman" w:cs="Times New Roman" w:eastAsia="Times New Roman" w:hAnsi="Times New Roman"/>
          <w:sz w:val="10"/>
          <w:szCs w:val="10"/>
          <w:color w:val="auto"/>
        </w:rPr>
      </w:pPr>
    </w:p>
    <w:p>
      <w:pPr>
        <w:jc w:val="both"/>
        <w:ind w:left="1960" w:right="1739" w:firstLine="4"/>
        <w:spacing w:after="0" w:line="229" w:lineRule="auto"/>
        <w:tabs>
          <w:tab w:leader="none" w:pos="2124" w:val="left"/>
        </w:tabs>
        <w:numPr>
          <w:ilvl w:val="1"/>
          <w:numId w:val="10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1,454,731 shares of our Series B-2 redeemable convertible preferred stock issued to Foresite Capital Opportunity Fund V, L.P., (iii) 1,454,732 shares of our Series B-2 redeemable convertible preferred stock issued to Foresite Labs Fund I, L.P., and</w:t>
      </w:r>
    </w:p>
    <w:p>
      <w:pPr>
        <w:jc w:val="both"/>
        <w:ind w:left="1960" w:right="1739" w:firstLine="4"/>
        <w:spacing w:after="0" w:line="231" w:lineRule="auto"/>
        <w:tabs>
          <w:tab w:leader="none" w:pos="2141" w:val="left"/>
        </w:tabs>
        <w:numPr>
          <w:ilvl w:val="1"/>
          <w:numId w:val="10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1,454,731 shares of our Series B-2 redeemable convertible preferred stock issued to Foresite Capital Fund VI, L.P. Entities affiliated with Foresite Capital Management beneficially own more than 5% of our outstanding capital stock. James B. Tananbaum, M.D., a member of our board of directors, is President, Chief Executive Officer and a director of Foresite Capital Management. Immediately prior to the closing of this offering, all shares of our Series B-2 redeemable convertible preferred stock held by entities affiliated with Foresite Capital Management will convert into 1,555,860 shares of our common stock.</w:t>
      </w:r>
    </w:p>
    <w:p>
      <w:pPr>
        <w:spacing w:after="0" w:line="1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Series C and Series C-1 Convertible Preferred Stock Financing</w:t>
      </w:r>
    </w:p>
    <w:p>
      <w:pPr>
        <w:spacing w:after="0" w:line="111" w:lineRule="exact"/>
        <w:rPr>
          <w:sz w:val="20"/>
          <w:szCs w:val="20"/>
          <w:color w:val="auto"/>
        </w:rPr>
      </w:pPr>
    </w:p>
    <w:p>
      <w:pPr>
        <w:jc w:val="both"/>
        <w:ind w:left="1720" w:right="1739"/>
        <w:spacing w:after="0" w:line="280" w:lineRule="auto"/>
        <w:rPr>
          <w:sz w:val="20"/>
          <w:szCs w:val="20"/>
          <w:color w:val="auto"/>
        </w:rPr>
      </w:pPr>
      <w:r>
        <w:rPr>
          <w:rFonts w:ascii="Times New Roman" w:cs="Times New Roman" w:eastAsia="Times New Roman" w:hAnsi="Times New Roman"/>
          <w:sz w:val="12"/>
          <w:szCs w:val="12"/>
          <w:color w:val="auto"/>
        </w:rPr>
        <w:t>In March and May 2024, we issued and sold an aggregate of 82,529,783 shares of our Series C redeemable convertible preferred stock at a purchase price of $3.13826 per share. The aggregate proceeds for the Series C redeemable convertible preferred shares were $258,999,917.04.</w:t>
      </w:r>
    </w:p>
    <w:p>
      <w:pPr>
        <w:spacing w:after="0" w:line="76"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The following table summarizes the Series C and Series C-1 convertible preferred stock purchased by holders of more than 5% of our capital stock and entities affiliated with our executive officers and members of our board of directors.</w:t>
      </w:r>
    </w:p>
    <w:p>
      <w:pPr>
        <w:spacing w:after="0" w:line="81"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Shares of Series C</w:t>
            </w:r>
          </w:p>
        </w:tc>
        <w:tc>
          <w:tcPr>
            <w:tcW w:w="14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Shares of Series C-1</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0"/>
        </w:trPr>
        <w:tc>
          <w:tcPr>
            <w:tcW w:w="5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7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Redeemable</w:t>
            </w:r>
          </w:p>
        </w:tc>
        <w:tc>
          <w:tcPr>
            <w:tcW w:w="140" w:type="dxa"/>
            <w:vAlign w:val="bottom"/>
          </w:tcPr>
          <w:p>
            <w:pPr>
              <w:spacing w:after="0"/>
              <w:rPr>
                <w:sz w:val="9"/>
                <w:szCs w:val="9"/>
                <w:color w:val="auto"/>
              </w:rPr>
            </w:pPr>
          </w:p>
        </w:tc>
        <w:tc>
          <w:tcPr>
            <w:tcW w:w="84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Redeemable</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0"/>
        </w:trPr>
        <w:tc>
          <w:tcPr>
            <w:tcW w:w="5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7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0"/>
              </w:rPr>
              <w:t>Convertible</w:t>
            </w:r>
          </w:p>
        </w:tc>
        <w:tc>
          <w:tcPr>
            <w:tcW w:w="140" w:type="dxa"/>
            <w:vAlign w:val="bottom"/>
          </w:tcPr>
          <w:p>
            <w:pPr>
              <w:spacing w:after="0"/>
              <w:rPr>
                <w:sz w:val="9"/>
                <w:szCs w:val="9"/>
                <w:color w:val="auto"/>
              </w:rPr>
            </w:pPr>
          </w:p>
        </w:tc>
        <w:tc>
          <w:tcPr>
            <w:tcW w:w="84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Convertible</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0"/>
        </w:trPr>
        <w:tc>
          <w:tcPr>
            <w:tcW w:w="5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7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1"/>
              </w:rPr>
              <w:t>Preferred Stock</w:t>
            </w:r>
          </w:p>
        </w:tc>
        <w:tc>
          <w:tcPr>
            <w:tcW w:w="140" w:type="dxa"/>
            <w:vAlign w:val="bottom"/>
          </w:tcPr>
          <w:p>
            <w:pPr>
              <w:spacing w:after="0"/>
              <w:rPr>
                <w:sz w:val="9"/>
                <w:szCs w:val="9"/>
                <w:color w:val="auto"/>
              </w:rPr>
            </w:pPr>
          </w:p>
        </w:tc>
        <w:tc>
          <w:tcPr>
            <w:tcW w:w="84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Preferred Stock</w:t>
            </w:r>
          </w:p>
        </w:tc>
        <w:tc>
          <w:tcPr>
            <w:tcW w:w="160" w:type="dxa"/>
            <w:vAlign w:val="bottom"/>
          </w:tcPr>
          <w:p>
            <w:pPr>
              <w:spacing w:after="0"/>
              <w:rPr>
                <w:sz w:val="9"/>
                <w:szCs w:val="9"/>
                <w:color w:val="auto"/>
              </w:rPr>
            </w:pPr>
          </w:p>
        </w:tc>
        <w:tc>
          <w:tcPr>
            <w:tcW w:w="80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Aggregate Proceeds</w:t>
            </w:r>
          </w:p>
        </w:tc>
        <w:tc>
          <w:tcPr>
            <w:tcW w:w="40" w:type="dxa"/>
            <w:vAlign w:val="bottom"/>
          </w:tcPr>
          <w:p>
            <w:pPr>
              <w:spacing w:after="0"/>
              <w:rPr>
                <w:sz w:val="9"/>
                <w:szCs w:val="9"/>
                <w:color w:val="auto"/>
              </w:rPr>
            </w:pPr>
          </w:p>
        </w:tc>
      </w:tr>
      <w:tr>
        <w:trPr>
          <w:trHeight w:val="134"/>
        </w:trPr>
        <w:tc>
          <w:tcPr>
            <w:tcW w:w="560" w:type="dxa"/>
            <w:vAlign w:val="bottom"/>
            <w:tcBorders>
              <w:bottom w:val="single" w:sz="8" w:color="auto"/>
            </w:tcBorders>
          </w:tcPr>
          <w:p>
            <w:pPr>
              <w:spacing w:after="0" w:line="126" w:lineRule="exact"/>
              <w:rPr>
                <w:sz w:val="20"/>
                <w:szCs w:val="20"/>
                <w:color w:val="auto"/>
              </w:rPr>
            </w:pPr>
            <w:r>
              <w:rPr>
                <w:rFonts w:ascii="Times New Roman" w:cs="Times New Roman" w:eastAsia="Times New Roman" w:hAnsi="Times New Roman"/>
                <w:sz w:val="10"/>
                <w:szCs w:val="10"/>
                <w:b w:val="1"/>
                <w:bCs w:val="1"/>
                <w:color w:val="auto"/>
                <w:w w:val="87"/>
              </w:rPr>
              <w:t>Participants</w:t>
            </w:r>
            <w:r>
              <w:rPr>
                <w:rFonts w:ascii="Times New Roman" w:cs="Times New Roman" w:eastAsia="Times New Roman" w:hAnsi="Times New Roman"/>
                <w:sz w:val="12"/>
                <w:szCs w:val="12"/>
                <w:b w:val="1"/>
                <w:bCs w:val="1"/>
                <w:color w:val="auto"/>
                <w:w w:val="87"/>
                <w:vertAlign w:val="superscript"/>
              </w:rPr>
              <w:t>(1)</w:t>
            </w:r>
          </w:p>
        </w:tc>
        <w:tc>
          <w:tcPr>
            <w:tcW w:w="2300" w:type="dxa"/>
            <w:vAlign w:val="bottom"/>
          </w:tcPr>
          <w:p>
            <w:pPr>
              <w:ind w:left="2200"/>
              <w:spacing w:after="0"/>
              <w:rPr>
                <w:sz w:val="20"/>
                <w:szCs w:val="20"/>
                <w:color w:val="auto"/>
              </w:rPr>
            </w:pPr>
            <w:r>
              <w:rPr>
                <w:rFonts w:ascii="Times New Roman" w:cs="Times New Roman" w:eastAsia="Times New Roman" w:hAnsi="Times New Roman"/>
                <w:sz w:val="10"/>
                <w:szCs w:val="10"/>
                <w:b w:val="1"/>
                <w:bCs w:val="1"/>
                <w:color w:val="auto"/>
              </w:rPr>
              <w:t>​ ​</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-5080</wp:posOffset>
            </wp:positionV>
            <wp:extent cx="3535680" cy="1219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535680" cy="12192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p>
      <w:pPr>
        <w:ind w:left="1720"/>
        <w:spacing w:after="0"/>
        <w:rPr>
          <w:sz w:val="20"/>
          <w:szCs w:val="20"/>
          <w:color w:val="auto"/>
        </w:rPr>
      </w:pPr>
      <w:r>
        <w:rPr>
          <w:rFonts w:ascii="Times New Roman" w:cs="Times New Roman" w:eastAsia="Times New Roman" w:hAnsi="Times New Roman"/>
          <w:sz w:val="12"/>
          <w:szCs w:val="12"/>
          <w:color w:val="auto"/>
        </w:rPr>
        <w:t>AyurMaya Capital Management Fund, LP</w:t>
      </w:r>
      <w:r>
        <w:rPr>
          <w:rFonts w:ascii="Times New Roman" w:cs="Times New Roman" w:eastAsia="Times New Roman" w:hAnsi="Times New Roman"/>
          <w:sz w:val="15"/>
          <w:szCs w:val="15"/>
          <w:color w:val="auto"/>
          <w:vertAlign w:val="superscript"/>
        </w:rPr>
        <w:t>(2)</w:t>
      </w:r>
    </w:p>
    <w:p>
      <w:pPr>
        <w:spacing w:after="0" w:line="2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Entities affiliated with BBA</w:t>
      </w:r>
      <w:r>
        <w:rPr>
          <w:rFonts w:ascii="Times New Roman" w:cs="Times New Roman" w:eastAsia="Times New Roman" w:hAnsi="Times New Roman"/>
          <w:sz w:val="15"/>
          <w:szCs w:val="15"/>
          <w:color w:val="auto"/>
          <w:vertAlign w:val="superscript"/>
        </w:rPr>
        <w:t>(3)</w:t>
      </w:r>
    </w:p>
    <w:p>
      <w:pPr>
        <w:spacing w:after="0" w:line="2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Entities affiliated with Foresite Capital</w:t>
      </w:r>
    </w:p>
    <w:p>
      <w:pPr>
        <w:ind w:left="1840"/>
        <w:spacing w:after="0" w:line="232" w:lineRule="auto"/>
        <w:rPr>
          <w:sz w:val="20"/>
          <w:szCs w:val="20"/>
          <w:color w:val="auto"/>
        </w:rPr>
      </w:pPr>
      <w:r>
        <w:rPr>
          <w:rFonts w:ascii="Times New Roman" w:cs="Times New Roman" w:eastAsia="Times New Roman" w:hAnsi="Times New Roman"/>
          <w:sz w:val="12"/>
          <w:szCs w:val="12"/>
          <w:color w:val="auto"/>
        </w:rPr>
        <w:t>Management</w:t>
      </w:r>
      <w:r>
        <w:rPr>
          <w:rFonts w:ascii="Times New Roman" w:cs="Times New Roman" w:eastAsia="Times New Roman" w:hAnsi="Times New Roman"/>
          <w:sz w:val="15"/>
          <w:szCs w:val="15"/>
          <w:color w:val="auto"/>
          <w:vertAlign w:val="superscript"/>
        </w:rPr>
        <w:t>(4)</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Samsara BioCapital, LP</w:t>
      </w:r>
      <w:r>
        <w:rPr>
          <w:rFonts w:ascii="Times New Roman" w:cs="Times New Roman" w:eastAsia="Times New Roman" w:hAnsi="Times New Roman"/>
          <w:sz w:val="15"/>
          <w:szCs w:val="15"/>
          <w:color w:val="auto"/>
          <w:vertAlign w:val="superscript"/>
        </w:rPr>
        <w:t>(5)</w:t>
      </w:r>
    </w:p>
    <w:p>
      <w:pPr>
        <w:spacing w:after="0" w:line="2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venBio Global Strategic Fund IV, L.P.</w:t>
      </w:r>
      <w:r>
        <w:rPr>
          <w:rFonts w:ascii="Times New Roman" w:cs="Times New Roman" w:eastAsia="Times New Roman" w:hAnsi="Times New Roman"/>
          <w:sz w:val="15"/>
          <w:szCs w:val="15"/>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98425</wp:posOffset>
            </wp:positionV>
            <wp:extent cx="37211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12,745,916</w:t>
            </w:r>
          </w:p>
        </w:tc>
        <w:tc>
          <w:tcPr>
            <w:tcW w:w="3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xml:space="preserve">​​ ​ ​39,999,998.36 </w:t>
            </w:r>
            <w:r>
              <w:rPr>
                <w:rFonts w:ascii="Times New Roman" w:cs="Times New Roman" w:eastAsia="Times New Roman" w:hAnsi="Times New Roman"/>
                <w:sz w:val="12"/>
                <w:szCs w:val="12"/>
                <w:b w:val="1"/>
                <w:bCs w:val="1"/>
                <w:color w:val="auto"/>
              </w:rPr>
              <w:t>​</w:t>
            </w:r>
          </w:p>
        </w:tc>
      </w:tr>
      <w:tr>
        <w:trPr>
          <w:trHeight w:val="192"/>
        </w:trPr>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8,252,980</w:t>
            </w:r>
          </w:p>
        </w:tc>
        <w:tc>
          <w:tcPr>
            <w:tcW w:w="3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 ​</w:t>
            </w:r>
          </w:p>
        </w:tc>
        <w:tc>
          <w:tcPr>
            <w:tcW w:w="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​25,899,997.04</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11"/>
        </w:trPr>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19,118,870</w:t>
            </w:r>
          </w:p>
        </w:tc>
        <w:tc>
          <w:tcPr>
            <w:tcW w:w="3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 ​</w:t>
            </w:r>
          </w:p>
        </w:tc>
        <w:tc>
          <w:tcPr>
            <w:tcW w:w="7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59,999,985.00</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11"/>
        </w:trPr>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7,966,196</w:t>
            </w:r>
          </w:p>
        </w:tc>
        <w:tc>
          <w:tcPr>
            <w:tcW w:w="3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 ​</w:t>
            </w:r>
          </w:p>
        </w:tc>
        <w:tc>
          <w:tcPr>
            <w:tcW w:w="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​24,999,994.26</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92"/>
        </w:trPr>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9,559,436</w:t>
            </w:r>
          </w:p>
        </w:tc>
        <w:tc>
          <w:tcPr>
            <w:tcW w:w="3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 ​</w:t>
            </w:r>
          </w:p>
        </w:tc>
        <w:tc>
          <w:tcPr>
            <w:tcW w:w="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​29,999,995.64</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-464185</wp:posOffset>
            </wp:positionV>
            <wp:extent cx="3535680" cy="2095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535680" cy="209550"/>
                    </a:xfrm>
                    <a:prstGeom prst="rect">
                      <a:avLst/>
                    </a:prstGeom>
                    <a:noFill/>
                  </pic:spPr>
                </pic:pic>
              </a:graphicData>
            </a:graphic>
          </wp:anchor>
        </w:drawing>
        <w:drawing>
          <wp:anchor simplePos="0" relativeHeight="251657728" behindDoc="1" locked="0" layoutInCell="0" allowOverlap="1">
            <wp:simplePos x="0" y="0"/>
            <wp:positionH relativeFrom="column">
              <wp:posOffset>-1751965</wp:posOffset>
            </wp:positionH>
            <wp:positionV relativeFrom="paragraph">
              <wp:posOffset>-132715</wp:posOffset>
            </wp:positionV>
            <wp:extent cx="3535680" cy="1219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535680" cy="121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520"/>
            <w:col w:w="4539"/>
          </w:cols>
          <w:pgMar w:left="1440" w:top="106" w:right="1440" w:bottom="1440" w:gutter="0" w:footer="0" w:header="0"/>
          <w:type w:val="continuous"/>
        </w:sectPr>
      </w:pPr>
    </w:p>
    <w:p>
      <w:pPr>
        <w:spacing w:after="0" w:line="24" w:lineRule="exact"/>
        <w:rPr>
          <w:sz w:val="20"/>
          <w:szCs w:val="20"/>
          <w:color w:val="auto"/>
        </w:rPr>
      </w:pPr>
    </w:p>
    <w:p>
      <w:pPr>
        <w:ind w:left="1960" w:right="1739" w:hanging="240"/>
        <w:spacing w:after="0" w:line="250" w:lineRule="auto"/>
        <w:tabs>
          <w:tab w:leader="none" w:pos="1960" w:val="left"/>
        </w:tabs>
        <w:numPr>
          <w:ilvl w:val="0"/>
          <w:numId w:val="10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Additional details regarding these stockholders and their equity holdings are included in this prospectus under the section titled “Principal Stockholders.”</w:t>
      </w:r>
    </w:p>
    <w:p>
      <w:pPr>
        <w:spacing w:after="0" w:line="44" w:lineRule="exact"/>
        <w:rPr>
          <w:rFonts w:ascii="Times New Roman" w:cs="Times New Roman" w:eastAsia="Times New Roman" w:hAnsi="Times New Roman"/>
          <w:sz w:val="10"/>
          <w:szCs w:val="10"/>
          <w:color w:val="auto"/>
        </w:rPr>
      </w:pPr>
    </w:p>
    <w:p>
      <w:pPr>
        <w:jc w:val="both"/>
        <w:ind w:left="1960" w:right="1739" w:hanging="240"/>
        <w:spacing w:after="0" w:line="237" w:lineRule="auto"/>
        <w:tabs>
          <w:tab w:leader="none" w:pos="1960" w:val="left"/>
        </w:tabs>
        <w:numPr>
          <w:ilvl w:val="0"/>
          <w:numId w:val="10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Alan Colowick, M.D., M.P.H., a member of our board of directors, is Managing Director of Matrix Capital Management Company, an affiliate of AyurMaya Capital Management Fund LP, a holder of greater than 5% of our capital stock. Immediately prior to the closing of this offering, all shares of our Series C redeemable convertible preferred stock held by AyurMaya Capital Management Fund, LP will convert into 2,726,398 shares of our common stock.</w:t>
      </w:r>
    </w:p>
    <w:p>
      <w:pPr>
        <w:spacing w:after="0" w:line="49" w:lineRule="exact"/>
        <w:rPr>
          <w:rFonts w:ascii="Times New Roman" w:cs="Times New Roman" w:eastAsia="Times New Roman" w:hAnsi="Times New Roman"/>
          <w:sz w:val="10"/>
          <w:szCs w:val="10"/>
          <w:color w:val="auto"/>
        </w:rPr>
      </w:pPr>
    </w:p>
    <w:p>
      <w:pPr>
        <w:jc w:val="both"/>
        <w:ind w:left="1960" w:right="1739" w:hanging="240"/>
        <w:spacing w:after="0" w:line="237" w:lineRule="auto"/>
        <w:tabs>
          <w:tab w:leader="none" w:pos="1960" w:val="left"/>
        </w:tabs>
        <w:numPr>
          <w:ilvl w:val="0"/>
          <w:numId w:val="10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7,573,328 shares of our Series C redeemable convertible preferred stock issued to BBA and (ii) 679,652 shares of our Series C redeemable convertible preferred stock issued to 667, L.P. The BBA Funds beneficially own more than 5% of our outstanding capital stock. Immediately prior to the closing of this offering, all shares of our Series C redeemable convertible preferred stock held by entities affiliated with BBA will convert into 1,765,342 shares of our non-voting common stock.</w:t>
      </w:r>
    </w:p>
    <w:p>
      <w:pPr>
        <w:spacing w:after="0" w:line="40" w:lineRule="exact"/>
        <w:rPr>
          <w:rFonts w:ascii="Times New Roman" w:cs="Times New Roman" w:eastAsia="Times New Roman" w:hAnsi="Times New Roman"/>
          <w:sz w:val="10"/>
          <w:szCs w:val="10"/>
          <w:color w:val="auto"/>
        </w:rPr>
      </w:pPr>
    </w:p>
    <w:p>
      <w:pPr>
        <w:ind w:left="1960" w:hanging="240"/>
        <w:spacing w:after="0"/>
        <w:tabs>
          <w:tab w:leader="none" w:pos="1960" w:val="left"/>
        </w:tabs>
        <w:numPr>
          <w:ilvl w:val="0"/>
          <w:numId w:val="10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4,779,718 shares of our Series C redeemable convertible preferred stock issued to Foresite Capital Fund V, L.P.,</w:t>
      </w:r>
    </w:p>
    <w:p>
      <w:pPr>
        <w:spacing w:after="0" w:line="4" w:lineRule="exact"/>
        <w:rPr>
          <w:rFonts w:ascii="Times New Roman" w:cs="Times New Roman" w:eastAsia="Times New Roman" w:hAnsi="Times New Roman"/>
          <w:sz w:val="10"/>
          <w:szCs w:val="10"/>
          <w:color w:val="auto"/>
        </w:rPr>
      </w:pPr>
    </w:p>
    <w:p>
      <w:pPr>
        <w:ind w:left="2120" w:hanging="156"/>
        <w:spacing w:after="0" w:line="229" w:lineRule="auto"/>
        <w:tabs>
          <w:tab w:leader="none" w:pos="2120" w:val="left"/>
        </w:tabs>
        <w:numPr>
          <w:ilvl w:val="1"/>
          <w:numId w:val="10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3,186,478 shares of our Series C redeemable convertible preferred stock issued to Foresite Capital Opportunity Fund V, L.P.,</w:t>
      </w:r>
    </w:p>
    <w:p>
      <w:pPr>
        <w:ind w:left="2180" w:hanging="216"/>
        <w:spacing w:after="0" w:line="229" w:lineRule="auto"/>
        <w:tabs>
          <w:tab w:leader="none" w:pos="2180" w:val="left"/>
        </w:tabs>
        <w:numPr>
          <w:ilvl w:val="1"/>
          <w:numId w:val="10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3,186,478 shares of our Series C redeemable convertible preferred stock issued to Foresite Labs Fund I, L.P., and</w:t>
      </w:r>
    </w:p>
    <w:p>
      <w:pPr>
        <w:jc w:val="both"/>
        <w:ind w:left="1960" w:right="1739" w:firstLine="4"/>
        <w:spacing w:after="0" w:line="231" w:lineRule="auto"/>
        <w:tabs>
          <w:tab w:leader="none" w:pos="2146" w:val="left"/>
        </w:tabs>
        <w:numPr>
          <w:ilvl w:val="1"/>
          <w:numId w:val="10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7,966,196 shares of our Series C redeemable convertible preferred stock issued to Foresite Capital Fund VI, L.P. Entities affiliated with Foresite Capital Management beneficially own more than 5% of our outstanding capital stock. James B. Tananbaum, M.D., a member of our board of directors, is President, Chief Executive Officer and a director of Foresite Capital Management. Immediately prior to the closing of this offering, all shares of our Series C redeemable convertible preferred stock held by entities affiliated with Foresite Capital Management will convert into 4,089,592 shares of our common stock.</w:t>
      </w:r>
    </w:p>
    <w:p>
      <w:pPr>
        <w:spacing w:after="0" w:line="50" w:lineRule="exact"/>
        <w:rPr>
          <w:rFonts w:ascii="Times New Roman" w:cs="Times New Roman" w:eastAsia="Times New Roman" w:hAnsi="Times New Roman"/>
          <w:sz w:val="10"/>
          <w:szCs w:val="10"/>
          <w:color w:val="auto"/>
        </w:rPr>
      </w:pPr>
    </w:p>
    <w:p>
      <w:pPr>
        <w:jc w:val="both"/>
        <w:ind w:left="1960" w:right="1739" w:hanging="240"/>
        <w:spacing w:after="0" w:line="239" w:lineRule="auto"/>
        <w:tabs>
          <w:tab w:leader="none" w:pos="1960" w:val="left"/>
        </w:tabs>
        <w:numPr>
          <w:ilvl w:val="0"/>
          <w:numId w:val="10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Srinivas Akkaraju, M.D., Ph.D., one of our directors, is the managing member of Samsara BioCapital, LP. Immediately prior to the closing of this offering, all shares of our Series C redeemable convertible preferred stock held by Samsara BioCapital, LP will convert into 1,703,998 shares of our common stock.</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181" w:name="page182"/>
    <w:bookmarkEnd w:id="181"/>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both"/>
        <w:ind w:left="1960" w:right="1739" w:hanging="240"/>
        <w:spacing w:after="0"/>
        <w:tabs>
          <w:tab w:leader="none" w:pos="1960" w:val="left"/>
        </w:tabs>
        <w:numPr>
          <w:ilvl w:val="0"/>
          <w:numId w:val="10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Richard Gaster, M.D., Ph.D., a former member of our board of directors who resigned from our board of directors in June 2024, is a managing partner of venBio Partners LLC. Immediately prior to the closing of this offering, all shares of our Series C redeemable convertible preferred stock held by venBio Global Strategic Fund IV, L.P. will convert into 2,044,798 shares of our common stock.</w:t>
      </w:r>
    </w:p>
    <w:p>
      <w:pPr>
        <w:spacing w:after="0" w:line="24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Employment Agreements and Stock Option Grants to Directors and Executive Officers</w:t>
      </w:r>
    </w:p>
    <w:p>
      <w:pPr>
        <w:spacing w:after="0" w:line="111"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We have entered into employment agreements with certain of our named executive officers, and granted stock options to our named executive officers and certain of our directors, as more fully described in the sections titled “Executive Compensation” and “Management—Non-Employee Director Compensation.”</w:t>
      </w:r>
    </w:p>
    <w:p>
      <w:pPr>
        <w:spacing w:after="0" w:line="1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Investor Rights, Voting and Right of First Refusal Agreements</w:t>
      </w:r>
    </w:p>
    <w:p>
      <w:pPr>
        <w:spacing w:after="0" w:line="111"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In connection with our redeemable convertible preferred stock financings, we entered into investor rights, voting and right of first refusal agreements containing registration rights, information rights, voting rights, board representation rights, indemnification provisions and rights of first refusal, among other things, with certain holders of our redeemable convertible preferred stock and certain holders of our common stock, including AyurMaya Capital Management Fund LP, which is affiliated with our director Alan Colowick, M.D., M.P.H., entities affiliated with Foresite Capital Management, which are affiliated with our director, James B. Tananbaum, M.D., entities affiliated with BBA, which are affiliated with our former director Julian C. Baker who resigned from our board of directors in June 2024, Martin Babler, our Chief Executive Officer, each of which hold greater than 5% of our outstanding capital stock, Samsara BioCapital, LP, which is affiliated with our director Srinivas Akkaraju, M.D., Ph.D., and venBio Partners LLC, which is affiliated with our former director Richard Gaster M.D., Ph.D. who resigned from our board of directors in June 2024.</w:t>
      </w:r>
    </w:p>
    <w:p>
      <w:pPr>
        <w:spacing w:after="0" w:line="77"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The covenants included in these stockholder agreements generally will terminate upon the closing of this offering, except with respect to registration rights, as more fully described in the section titled “Description of Capital Stock—Registration Rights.” See also the section titled “Principal Stockholders” for additional information regarding beneficial ownership of our capital stock.</w:t>
      </w:r>
    </w:p>
    <w:p>
      <w:pPr>
        <w:spacing w:after="0" w:line="11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Registration Rights Agreement</w:t>
      </w:r>
    </w:p>
    <w:p>
      <w:pPr>
        <w:spacing w:after="0" w:line="111"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In connection with the sale of our Series B redeemable convertible preferred stock, we agreed to offer the BBA Funds, upon their election, the option to enter into a registration rights agreement, pursuant to which, among other things, we would provide the BBA Funds certain “resale” registration rights and related “piggyback” rights. The BBA Funds have not elected to enter into such a registration rights agreement as of the date of this prospectus.</w:t>
      </w:r>
    </w:p>
    <w:p>
      <w:pPr>
        <w:spacing w:after="0" w:line="26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Limitations on Liability and Indemnification Agreements</w:t>
      </w:r>
    </w:p>
    <w:p>
      <w:pPr>
        <w:spacing w:after="0" w:line="111"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Our amended and restated certificate of incorporation will contain provisions limiting the liability of directors, and our amended and restated bylaws will provide that we will indemnify each of our directors and officers to the fullest extent permitted under Delaware law. Our amended and restated certificate of incorporation and amended and restated bylaws will also provide our board of directors with discretion to indemnify our employees and other agents when determined appropriate by the board. In addition, we have entered into or intend to enter into an indemnification agreement with each of our directors and executive officers, which will require us to indemnify them. For more information regarding these agreements, see the section titled “Executive Compensation—Limitations on Liability and Indemnification.”</w:t>
      </w:r>
    </w:p>
    <w:p>
      <w:pPr>
        <w:spacing w:after="0" w:line="13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Policies and Procedures for Transactions with Related Persons</w:t>
      </w:r>
    </w:p>
    <w:p>
      <w:pPr>
        <w:spacing w:after="0" w:line="102"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Prior to closing of this offering, we intend to adopt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(or, if less, 1% of the average of our total assets in a fiscal year) and such person would have a direct or indirect</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82" w:name="page183"/>
    <w:bookmarkEnd w:id="18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83" w:name="page184"/>
    <w:bookmarkEnd w:id="183"/>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2"/>
          <w:szCs w:val="12"/>
          <w:b w:val="1"/>
          <w:bCs w:val="1"/>
          <w:color w:val="auto"/>
        </w:rPr>
        <w:t>PRINCIPAL STOCKHOLDERS</w:t>
      </w:r>
    </w:p>
    <w:p>
      <w:pPr>
        <w:spacing w:after="0" w:line="1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The following table sets forth information regarding beneficial ownership of our capital stock as of June 24,</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2024 by:</w:t>
      </w:r>
    </w:p>
    <w:p>
      <w:pPr>
        <w:spacing w:after="0" w:line="70" w:lineRule="exact"/>
        <w:rPr>
          <w:sz w:val="20"/>
          <w:szCs w:val="20"/>
          <w:color w:val="auto"/>
        </w:rPr>
      </w:pPr>
    </w:p>
    <w:p>
      <w:pPr>
        <w:ind w:left="2080" w:right="1739" w:hanging="116"/>
        <w:spacing w:after="0" w:line="291" w:lineRule="auto"/>
        <w:tabs>
          <w:tab w:leader="none" w:pos="208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person, or group of affiliated persons, known by us to beneficially own more than 5% of our common stock;</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our directors;</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our of named executive officers; and</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our current executive officers and directors as a group.</w:t>
      </w:r>
    </w:p>
    <w:p>
      <w:pPr>
        <w:spacing w:after="0" w:line="109"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68"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Applicable percentage ownership before the offering is based on 38,782,062 shares of our common stock and nonvoting common stock (including 295,801 shares of unvested restricted common stock subject to repurchase as of such date) outstanding as of June 24, 2024, after giving effect to the Preferred Stock Conversion and the Common Stock Reclassification (as if each had occurred as of June 24, 2024).</w:t>
      </w:r>
    </w:p>
    <w:p>
      <w:pPr>
        <w:spacing w:after="0" w:line="75"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Applicable percentage ownership after the offering is based on 56,432,062 shares of our common stock and nonvoting common stock (including 295,801 shares of unvested restricted common stock subject to repurchase as of such date) outstanding immediately after the closing of this offering (assuming no exercise of the underwriters’ over-allotment option), after giving effect to the Preferred Stock Conversion and the Common Stock Reclassification (as if each had occurred as of June 24, 2024) . In computing the number of shares beneficially owned by a person and the percentage ownership of such person, we divided the number of shares held by the sum of (1) the number of shares of common stock outstanding as of June 24, 2024 and</w:t>
      </w:r>
    </w:p>
    <w:p>
      <w:pPr>
        <w:spacing w:after="0" w:line="4" w:lineRule="exact"/>
        <w:rPr>
          <w:sz w:val="20"/>
          <w:szCs w:val="20"/>
          <w:color w:val="auto"/>
        </w:rPr>
      </w:pPr>
    </w:p>
    <w:p>
      <w:pPr>
        <w:jc w:val="both"/>
        <w:ind w:left="1720" w:right="1739"/>
        <w:spacing w:after="0" w:line="262" w:lineRule="auto"/>
        <w:tabs>
          <w:tab w:leader="none" w:pos="1903"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common stock that a person has the right to acquire within 60 days after the date of this table (which includes the number of shares of non-voting common stock owned by such person to the extent they can be converted to common stock within 60 days after the date of this table).</w:t>
      </w:r>
    </w:p>
    <w:p>
      <w:pPr>
        <w:spacing w:after="0" w:line="76" w:lineRule="exact"/>
        <w:rPr>
          <w:sz w:val="20"/>
          <w:szCs w:val="20"/>
          <w:color w:val="auto"/>
        </w:rPr>
      </w:pPr>
    </w:p>
    <w:p>
      <w:pPr>
        <w:ind w:left="1720" w:right="1739"/>
        <w:spacing w:after="0" w:line="291" w:lineRule="auto"/>
        <w:rPr>
          <w:sz w:val="20"/>
          <w:szCs w:val="20"/>
          <w:color w:val="auto"/>
        </w:rPr>
      </w:pPr>
      <w:r>
        <w:rPr>
          <w:rFonts w:ascii="Times New Roman" w:cs="Times New Roman" w:eastAsia="Times New Roman" w:hAnsi="Times New Roman"/>
          <w:sz w:val="12"/>
          <w:szCs w:val="12"/>
          <w:color w:val="auto"/>
        </w:rPr>
        <w:t>Unless otherwise indicated, the address for each beneficial owner listed in the table below is c/o Alumis Inc., 280 East Grand Avenue, South San Francisco, CA 94080.</w:t>
      </w:r>
    </w:p>
    <w:p>
      <w:pPr>
        <w:spacing w:after="0" w:line="65" w:lineRule="exact"/>
        <w:rPr>
          <w:sz w:val="20"/>
          <w:szCs w:val="20"/>
          <w:color w:val="auto"/>
        </w:rPr>
      </w:pPr>
    </w:p>
    <w:tbl>
      <w:tblPr>
        <w:tblLayout w:type="fixed"/>
        <w:tblInd w:w="860" w:type="dxa"/>
        <w:tblCellMar>
          <w:top w:w="0" w:type="dxa"/>
          <w:left w:w="0" w:type="dxa"/>
          <w:bottom w:w="0" w:type="dxa"/>
          <w:right w:w="0" w:type="dxa"/>
        </w:tblCellMar>
      </w:tblPr>
      <w:tr>
        <w:trPr>
          <w:trHeight w:val="154"/>
        </w:trPr>
        <w:tc>
          <w:tcPr>
            <w:tcW w:w="860" w:type="dxa"/>
            <w:vAlign w:val="bottom"/>
          </w:tcPr>
          <w:p>
            <w:pPr>
              <w:spacing w:after="0"/>
              <w:rPr>
                <w:sz w:val="13"/>
                <w:szCs w:val="13"/>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500" w:type="dxa"/>
            <w:vAlign w:val="bottom"/>
          </w:tcPr>
          <w:p>
            <w:pPr>
              <w:spacing w:after="0"/>
              <w:rPr>
                <w:sz w:val="13"/>
                <w:szCs w:val="13"/>
                <w:color w:val="auto"/>
              </w:rPr>
            </w:pPr>
          </w:p>
        </w:tc>
        <w:tc>
          <w:tcPr>
            <w:tcW w:w="880" w:type="dxa"/>
            <w:vAlign w:val="bottom"/>
            <w:gridSpan w:val="4"/>
          </w:tcPr>
          <w:p>
            <w:pPr>
              <w:jc w:val="center"/>
              <w:ind w:right="111"/>
              <w:spacing w:after="0"/>
              <w:rPr>
                <w:sz w:val="20"/>
                <w:szCs w:val="20"/>
                <w:color w:val="auto"/>
              </w:rPr>
            </w:pPr>
            <w:r>
              <w:rPr>
                <w:rFonts w:ascii="Times New Roman" w:cs="Times New Roman" w:eastAsia="Times New Roman" w:hAnsi="Times New Roman"/>
                <w:sz w:val="10"/>
                <w:szCs w:val="10"/>
                <w:b w:val="1"/>
                <w:bCs w:val="1"/>
                <w:color w:val="auto"/>
                <w:w w:val="93"/>
              </w:rPr>
              <w:t>Prior to Offering</w:t>
            </w:r>
          </w:p>
        </w:tc>
        <w:tc>
          <w:tcPr>
            <w:tcW w:w="3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520" w:type="dxa"/>
            <w:vAlign w:val="bottom"/>
          </w:tcPr>
          <w:p>
            <w:pPr>
              <w:spacing w:after="0"/>
              <w:rPr>
                <w:sz w:val="13"/>
                <w:szCs w:val="13"/>
                <w:color w:val="auto"/>
              </w:rPr>
            </w:pPr>
          </w:p>
        </w:tc>
        <w:tc>
          <w:tcPr>
            <w:tcW w:w="700" w:type="dxa"/>
            <w:vAlign w:val="bottom"/>
            <w:gridSpan w:val="3"/>
          </w:tcPr>
          <w:p>
            <w:pPr>
              <w:jc w:val="right"/>
              <w:ind w:right="5"/>
              <w:spacing w:after="0"/>
              <w:rPr>
                <w:sz w:val="20"/>
                <w:szCs w:val="20"/>
                <w:color w:val="auto"/>
              </w:rPr>
            </w:pPr>
            <w:r>
              <w:rPr>
                <w:rFonts w:ascii="Times New Roman" w:cs="Times New Roman" w:eastAsia="Times New Roman" w:hAnsi="Times New Roman"/>
                <w:sz w:val="10"/>
                <w:szCs w:val="10"/>
                <w:b w:val="1"/>
                <w:bCs w:val="1"/>
                <w:color w:val="auto"/>
              </w:rPr>
              <w:t>After Offering</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ind w:right="760"/>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10"/>
        </w:trPr>
        <w:tc>
          <w:tcPr>
            <w:tcW w:w="8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0"/>
              </w:rPr>
              <w:t>Number of</w:t>
            </w:r>
          </w:p>
        </w:tc>
        <w:tc>
          <w:tcPr>
            <w:tcW w:w="1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6"/>
              </w:rPr>
              <w:t>Number of</w:t>
            </w:r>
          </w:p>
        </w:tc>
        <w:tc>
          <w:tcPr>
            <w:tcW w:w="1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60" w:type="dxa"/>
            <w:vAlign w:val="bottom"/>
          </w:tcPr>
          <w:p>
            <w:pPr>
              <w:spacing w:after="0"/>
              <w:rPr>
                <w:sz w:val="9"/>
                <w:szCs w:val="9"/>
                <w:color w:val="auto"/>
              </w:rPr>
            </w:pPr>
          </w:p>
        </w:tc>
      </w:tr>
      <w:tr>
        <w:trPr>
          <w:trHeight w:val="110"/>
        </w:trPr>
        <w:tc>
          <w:tcPr>
            <w:tcW w:w="8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center"/>
              <w:ind w:right="7"/>
              <w:spacing w:after="0" w:line="110"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140" w:type="dxa"/>
            <w:vAlign w:val="bottom"/>
          </w:tcPr>
          <w:p>
            <w:pPr>
              <w:spacing w:after="0"/>
              <w:rPr>
                <w:sz w:val="9"/>
                <w:szCs w:val="9"/>
                <w:color w:val="auto"/>
              </w:rPr>
            </w:pPr>
          </w:p>
        </w:tc>
        <w:tc>
          <w:tcPr>
            <w:tcW w:w="4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7"/>
              </w:rPr>
              <w:t>Non-Voting</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center"/>
              <w:ind w:right="27"/>
              <w:spacing w:after="0" w:line="110"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140" w:type="dxa"/>
            <w:vAlign w:val="bottom"/>
          </w:tcPr>
          <w:p>
            <w:pPr>
              <w:spacing w:after="0"/>
              <w:rPr>
                <w:sz w:val="9"/>
                <w:szCs w:val="9"/>
                <w:color w:val="auto"/>
              </w:rPr>
            </w:pPr>
          </w:p>
        </w:tc>
        <w:tc>
          <w:tcPr>
            <w:tcW w:w="44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3"/>
              </w:rPr>
              <w:t>Non-Voting</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10"/>
        </w:trPr>
        <w:tc>
          <w:tcPr>
            <w:tcW w:w="8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center"/>
              <w:ind w:right="7"/>
              <w:spacing w:after="0" w:line="110" w:lineRule="exact"/>
              <w:rPr>
                <w:sz w:val="20"/>
                <w:szCs w:val="20"/>
                <w:color w:val="auto"/>
              </w:rPr>
            </w:pPr>
            <w:r>
              <w:rPr>
                <w:rFonts w:ascii="Times New Roman" w:cs="Times New Roman" w:eastAsia="Times New Roman" w:hAnsi="Times New Roman"/>
                <w:sz w:val="10"/>
                <w:szCs w:val="10"/>
                <w:b w:val="1"/>
                <w:bCs w:val="1"/>
                <w:color w:val="auto"/>
                <w:w w:val="91"/>
              </w:rPr>
              <w:t>Common</w:t>
            </w:r>
          </w:p>
        </w:tc>
        <w:tc>
          <w:tcPr>
            <w:tcW w:w="140" w:type="dxa"/>
            <w:vAlign w:val="bottom"/>
          </w:tcPr>
          <w:p>
            <w:pPr>
              <w:spacing w:after="0"/>
              <w:rPr>
                <w:sz w:val="9"/>
                <w:szCs w:val="9"/>
                <w:color w:val="auto"/>
              </w:rPr>
            </w:pPr>
          </w:p>
        </w:tc>
        <w:tc>
          <w:tcPr>
            <w:tcW w:w="460" w:type="dxa"/>
            <w:vAlign w:val="bottom"/>
          </w:tcPr>
          <w:p>
            <w:pPr>
              <w:jc w:val="center"/>
              <w:ind w:right="5"/>
              <w:spacing w:after="0" w:line="110" w:lineRule="exact"/>
              <w:rPr>
                <w:sz w:val="20"/>
                <w:szCs w:val="20"/>
                <w:color w:val="auto"/>
              </w:rPr>
            </w:pPr>
            <w:r>
              <w:rPr>
                <w:rFonts w:ascii="Times New Roman" w:cs="Times New Roman" w:eastAsia="Times New Roman" w:hAnsi="Times New Roman"/>
                <w:sz w:val="10"/>
                <w:szCs w:val="10"/>
                <w:b w:val="1"/>
                <w:bCs w:val="1"/>
                <w:color w:val="auto"/>
                <w:w w:val="91"/>
              </w:rPr>
              <w:t>Common</w:t>
            </w:r>
          </w:p>
        </w:tc>
        <w:tc>
          <w:tcPr>
            <w:tcW w:w="100" w:type="dxa"/>
            <w:vAlign w:val="bottom"/>
          </w:tcPr>
          <w:p>
            <w:pPr>
              <w:spacing w:after="0"/>
              <w:rPr>
                <w:sz w:val="9"/>
                <w:szCs w:val="9"/>
                <w:color w:val="auto"/>
              </w:rPr>
            </w:pPr>
          </w:p>
        </w:tc>
        <w:tc>
          <w:tcPr>
            <w:tcW w:w="56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Percentage of</w:t>
            </w:r>
          </w:p>
        </w:tc>
        <w:tc>
          <w:tcPr>
            <w:tcW w:w="140" w:type="dxa"/>
            <w:vAlign w:val="bottom"/>
          </w:tcPr>
          <w:p>
            <w:pPr>
              <w:spacing w:after="0"/>
              <w:rPr>
                <w:sz w:val="9"/>
                <w:szCs w:val="9"/>
                <w:color w:val="auto"/>
              </w:rPr>
            </w:pPr>
          </w:p>
        </w:tc>
        <w:tc>
          <w:tcPr>
            <w:tcW w:w="520" w:type="dxa"/>
            <w:vAlign w:val="bottom"/>
          </w:tcPr>
          <w:p>
            <w:pPr>
              <w:jc w:val="center"/>
              <w:ind w:right="7"/>
              <w:spacing w:after="0" w:line="110" w:lineRule="exact"/>
              <w:rPr>
                <w:sz w:val="20"/>
                <w:szCs w:val="20"/>
                <w:color w:val="auto"/>
              </w:rPr>
            </w:pPr>
            <w:r>
              <w:rPr>
                <w:rFonts w:ascii="Times New Roman" w:cs="Times New Roman" w:eastAsia="Times New Roman" w:hAnsi="Times New Roman"/>
                <w:sz w:val="10"/>
                <w:szCs w:val="10"/>
                <w:b w:val="1"/>
                <w:bCs w:val="1"/>
                <w:color w:val="auto"/>
                <w:w w:val="96"/>
              </w:rPr>
              <w:t>Common</w:t>
            </w:r>
          </w:p>
        </w:tc>
        <w:tc>
          <w:tcPr>
            <w:tcW w:w="140" w:type="dxa"/>
            <w:vAlign w:val="bottom"/>
          </w:tcPr>
          <w:p>
            <w:pPr>
              <w:spacing w:after="0"/>
              <w:rPr>
                <w:sz w:val="9"/>
                <w:szCs w:val="9"/>
                <w:color w:val="auto"/>
              </w:rPr>
            </w:pPr>
          </w:p>
        </w:tc>
        <w:tc>
          <w:tcPr>
            <w:tcW w:w="440" w:type="dxa"/>
            <w:vAlign w:val="bottom"/>
          </w:tcPr>
          <w:p>
            <w:pPr>
              <w:jc w:val="center"/>
              <w:ind w:right="6"/>
              <w:spacing w:after="0" w:line="110" w:lineRule="exact"/>
              <w:rPr>
                <w:sz w:val="20"/>
                <w:szCs w:val="20"/>
                <w:color w:val="auto"/>
              </w:rPr>
            </w:pPr>
            <w:r>
              <w:rPr>
                <w:rFonts w:ascii="Times New Roman" w:cs="Times New Roman" w:eastAsia="Times New Roman" w:hAnsi="Times New Roman"/>
                <w:sz w:val="10"/>
                <w:szCs w:val="10"/>
                <w:b w:val="1"/>
                <w:bCs w:val="1"/>
                <w:color w:val="auto"/>
                <w:w w:val="96"/>
              </w:rPr>
              <w:t>Common</w:t>
            </w:r>
          </w:p>
        </w:tc>
        <w:tc>
          <w:tcPr>
            <w:tcW w:w="120" w:type="dxa"/>
            <w:vAlign w:val="bottom"/>
          </w:tcPr>
          <w:p>
            <w:pPr>
              <w:spacing w:after="0"/>
              <w:rPr>
                <w:sz w:val="9"/>
                <w:szCs w:val="9"/>
                <w:color w:val="auto"/>
              </w:rPr>
            </w:pPr>
          </w:p>
        </w:tc>
        <w:tc>
          <w:tcPr>
            <w:tcW w:w="540" w:type="dxa"/>
            <w:vAlign w:val="bottom"/>
            <w:gridSpan w:val="2"/>
          </w:tcPr>
          <w:p>
            <w:pPr>
              <w:spacing w:after="0" w:line="110" w:lineRule="exact"/>
              <w:rPr>
                <w:sz w:val="20"/>
                <w:szCs w:val="20"/>
                <w:color w:val="auto"/>
              </w:rPr>
            </w:pPr>
            <w:r>
              <w:rPr>
                <w:rFonts w:ascii="Times New Roman" w:cs="Times New Roman" w:eastAsia="Times New Roman" w:hAnsi="Times New Roman"/>
                <w:sz w:val="10"/>
                <w:szCs w:val="10"/>
                <w:b w:val="1"/>
                <w:bCs w:val="1"/>
                <w:color w:val="auto"/>
                <w:w w:val="89"/>
              </w:rPr>
              <w:t>Percentage of</w:t>
            </w:r>
          </w:p>
        </w:tc>
        <w:tc>
          <w:tcPr>
            <w:tcW w:w="860" w:type="dxa"/>
            <w:vAlign w:val="bottom"/>
          </w:tcPr>
          <w:p>
            <w:pPr>
              <w:spacing w:after="0"/>
              <w:rPr>
                <w:sz w:val="9"/>
                <w:szCs w:val="9"/>
                <w:color w:val="auto"/>
              </w:rPr>
            </w:pPr>
          </w:p>
        </w:tc>
      </w:tr>
      <w:tr>
        <w:trPr>
          <w:trHeight w:val="110"/>
        </w:trPr>
        <w:tc>
          <w:tcPr>
            <w:tcW w:w="8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center"/>
              <w:ind w:right="7"/>
              <w:spacing w:after="0" w:line="110" w:lineRule="exact"/>
              <w:rPr>
                <w:sz w:val="20"/>
                <w:szCs w:val="20"/>
                <w:color w:val="auto"/>
              </w:rPr>
            </w:pPr>
            <w:r>
              <w:rPr>
                <w:rFonts w:ascii="Times New Roman" w:cs="Times New Roman" w:eastAsia="Times New Roman" w:hAnsi="Times New Roman"/>
                <w:sz w:val="10"/>
                <w:szCs w:val="10"/>
                <w:b w:val="1"/>
                <w:bCs w:val="1"/>
                <w:color w:val="auto"/>
              </w:rPr>
              <w:t>Stock</w:t>
            </w:r>
          </w:p>
        </w:tc>
        <w:tc>
          <w:tcPr>
            <w:tcW w:w="140" w:type="dxa"/>
            <w:vAlign w:val="bottom"/>
          </w:tcPr>
          <w:p>
            <w:pPr>
              <w:spacing w:after="0"/>
              <w:rPr>
                <w:sz w:val="9"/>
                <w:szCs w:val="9"/>
                <w:color w:val="auto"/>
              </w:rPr>
            </w:pPr>
          </w:p>
        </w:tc>
        <w:tc>
          <w:tcPr>
            <w:tcW w:w="460" w:type="dxa"/>
            <w:vAlign w:val="bottom"/>
          </w:tcPr>
          <w:p>
            <w:pPr>
              <w:jc w:val="center"/>
              <w:ind w:right="5"/>
              <w:spacing w:after="0" w:line="110" w:lineRule="exact"/>
              <w:rPr>
                <w:sz w:val="20"/>
                <w:szCs w:val="20"/>
                <w:color w:val="auto"/>
              </w:rPr>
            </w:pPr>
            <w:r>
              <w:rPr>
                <w:rFonts w:ascii="Times New Roman" w:cs="Times New Roman" w:eastAsia="Times New Roman" w:hAnsi="Times New Roman"/>
                <w:sz w:val="10"/>
                <w:szCs w:val="10"/>
                <w:b w:val="1"/>
                <w:bCs w:val="1"/>
                <w:color w:val="auto"/>
              </w:rPr>
              <w:t>Stock</w:t>
            </w:r>
          </w:p>
        </w:tc>
        <w:tc>
          <w:tcPr>
            <w:tcW w:w="100" w:type="dxa"/>
            <w:vAlign w:val="bottom"/>
          </w:tcPr>
          <w:p>
            <w:pPr>
              <w:spacing w:after="0"/>
              <w:rPr>
                <w:sz w:val="9"/>
                <w:szCs w:val="9"/>
                <w:color w:val="auto"/>
              </w:rPr>
            </w:pPr>
          </w:p>
        </w:tc>
        <w:tc>
          <w:tcPr>
            <w:tcW w:w="56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Total Voting</w:t>
            </w:r>
          </w:p>
        </w:tc>
        <w:tc>
          <w:tcPr>
            <w:tcW w:w="140" w:type="dxa"/>
            <w:vAlign w:val="bottom"/>
          </w:tcPr>
          <w:p>
            <w:pPr>
              <w:spacing w:after="0"/>
              <w:rPr>
                <w:sz w:val="9"/>
                <w:szCs w:val="9"/>
                <w:color w:val="auto"/>
              </w:rPr>
            </w:pPr>
          </w:p>
        </w:tc>
        <w:tc>
          <w:tcPr>
            <w:tcW w:w="520" w:type="dxa"/>
            <w:vAlign w:val="bottom"/>
          </w:tcPr>
          <w:p>
            <w:pPr>
              <w:jc w:val="center"/>
              <w:ind w:right="7"/>
              <w:spacing w:after="0" w:line="110" w:lineRule="exact"/>
              <w:rPr>
                <w:sz w:val="20"/>
                <w:szCs w:val="20"/>
                <w:color w:val="auto"/>
              </w:rPr>
            </w:pPr>
            <w:r>
              <w:rPr>
                <w:rFonts w:ascii="Times New Roman" w:cs="Times New Roman" w:eastAsia="Times New Roman" w:hAnsi="Times New Roman"/>
                <w:sz w:val="10"/>
                <w:szCs w:val="10"/>
                <w:b w:val="1"/>
                <w:bCs w:val="1"/>
                <w:color w:val="auto"/>
                <w:w w:val="91"/>
              </w:rPr>
              <w:t>Stock</w:t>
            </w:r>
          </w:p>
        </w:tc>
        <w:tc>
          <w:tcPr>
            <w:tcW w:w="140" w:type="dxa"/>
            <w:vAlign w:val="bottom"/>
          </w:tcPr>
          <w:p>
            <w:pPr>
              <w:spacing w:after="0"/>
              <w:rPr>
                <w:sz w:val="9"/>
                <w:szCs w:val="9"/>
                <w:color w:val="auto"/>
              </w:rPr>
            </w:pPr>
          </w:p>
        </w:tc>
        <w:tc>
          <w:tcPr>
            <w:tcW w:w="440" w:type="dxa"/>
            <w:vAlign w:val="bottom"/>
          </w:tcPr>
          <w:p>
            <w:pPr>
              <w:jc w:val="center"/>
              <w:ind w:right="6"/>
              <w:spacing w:after="0" w:line="110" w:lineRule="exact"/>
              <w:rPr>
                <w:sz w:val="20"/>
                <w:szCs w:val="20"/>
                <w:color w:val="auto"/>
              </w:rPr>
            </w:pPr>
            <w:r>
              <w:rPr>
                <w:rFonts w:ascii="Times New Roman" w:cs="Times New Roman" w:eastAsia="Times New Roman" w:hAnsi="Times New Roman"/>
                <w:sz w:val="10"/>
                <w:szCs w:val="10"/>
                <w:b w:val="1"/>
                <w:bCs w:val="1"/>
                <w:color w:val="auto"/>
                <w:w w:val="91"/>
              </w:rPr>
              <w:t>Stock</w:t>
            </w:r>
          </w:p>
        </w:tc>
        <w:tc>
          <w:tcPr>
            <w:tcW w:w="120" w:type="dxa"/>
            <w:vAlign w:val="bottom"/>
          </w:tcPr>
          <w:p>
            <w:pPr>
              <w:spacing w:after="0"/>
              <w:rPr>
                <w:sz w:val="9"/>
                <w:szCs w:val="9"/>
                <w:color w:val="auto"/>
              </w:rPr>
            </w:pPr>
          </w:p>
        </w:tc>
        <w:tc>
          <w:tcPr>
            <w:tcW w:w="540" w:type="dxa"/>
            <w:vAlign w:val="bottom"/>
            <w:gridSpan w:val="2"/>
          </w:tcPr>
          <w:p>
            <w:pPr>
              <w:spacing w:after="0" w:line="110" w:lineRule="exact"/>
              <w:rPr>
                <w:sz w:val="20"/>
                <w:szCs w:val="20"/>
                <w:color w:val="auto"/>
              </w:rPr>
            </w:pPr>
            <w:r>
              <w:rPr>
                <w:rFonts w:ascii="Times New Roman" w:cs="Times New Roman" w:eastAsia="Times New Roman" w:hAnsi="Times New Roman"/>
                <w:sz w:val="10"/>
                <w:szCs w:val="10"/>
                <w:b w:val="1"/>
                <w:bCs w:val="1"/>
                <w:color w:val="auto"/>
                <w:w w:val="95"/>
              </w:rPr>
              <w:t>Total Voting</w:t>
            </w:r>
          </w:p>
        </w:tc>
        <w:tc>
          <w:tcPr>
            <w:tcW w:w="860" w:type="dxa"/>
            <w:vAlign w:val="bottom"/>
          </w:tcPr>
          <w:p>
            <w:pPr>
              <w:spacing w:after="0"/>
              <w:rPr>
                <w:sz w:val="9"/>
                <w:szCs w:val="9"/>
                <w:color w:val="auto"/>
              </w:rPr>
            </w:pPr>
          </w:p>
        </w:tc>
      </w:tr>
      <w:tr>
        <w:trPr>
          <w:trHeight w:val="110"/>
        </w:trPr>
        <w:tc>
          <w:tcPr>
            <w:tcW w:w="8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1"/>
              </w:rPr>
              <w:t>Beneficially</w:t>
            </w:r>
          </w:p>
        </w:tc>
        <w:tc>
          <w:tcPr>
            <w:tcW w:w="140" w:type="dxa"/>
            <w:vAlign w:val="bottom"/>
          </w:tcPr>
          <w:p>
            <w:pPr>
              <w:spacing w:after="0"/>
              <w:rPr>
                <w:sz w:val="9"/>
                <w:szCs w:val="9"/>
                <w:color w:val="auto"/>
              </w:rPr>
            </w:pPr>
          </w:p>
        </w:tc>
        <w:tc>
          <w:tcPr>
            <w:tcW w:w="4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7"/>
              </w:rPr>
              <w:t>Beneficially</w:t>
            </w:r>
          </w:p>
        </w:tc>
        <w:tc>
          <w:tcPr>
            <w:tcW w:w="100" w:type="dxa"/>
            <w:vAlign w:val="bottom"/>
          </w:tcPr>
          <w:p>
            <w:pPr>
              <w:spacing w:after="0"/>
              <w:rPr>
                <w:sz w:val="9"/>
                <w:szCs w:val="9"/>
                <w:color w:val="auto"/>
              </w:rPr>
            </w:pPr>
          </w:p>
        </w:tc>
        <w:tc>
          <w:tcPr>
            <w:tcW w:w="56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Power Before</w:t>
            </w:r>
          </w:p>
        </w:tc>
        <w:tc>
          <w:tcPr>
            <w:tcW w:w="140" w:type="dxa"/>
            <w:vAlign w:val="bottom"/>
          </w:tcPr>
          <w:p>
            <w:pPr>
              <w:spacing w:after="0"/>
              <w:rPr>
                <w:sz w:val="9"/>
                <w:szCs w:val="9"/>
                <w:color w:val="auto"/>
              </w:rPr>
            </w:pPr>
          </w:p>
        </w:tc>
        <w:tc>
          <w:tcPr>
            <w:tcW w:w="520" w:type="dxa"/>
            <w:vAlign w:val="bottom"/>
          </w:tcPr>
          <w:p>
            <w:pPr>
              <w:jc w:val="center"/>
              <w:ind w:right="7"/>
              <w:spacing w:after="0" w:line="110" w:lineRule="exact"/>
              <w:rPr>
                <w:sz w:val="20"/>
                <w:szCs w:val="20"/>
                <w:color w:val="auto"/>
              </w:rPr>
            </w:pPr>
            <w:r>
              <w:rPr>
                <w:rFonts w:ascii="Times New Roman" w:cs="Times New Roman" w:eastAsia="Times New Roman" w:hAnsi="Times New Roman"/>
                <w:sz w:val="10"/>
                <w:szCs w:val="10"/>
                <w:b w:val="1"/>
                <w:bCs w:val="1"/>
                <w:color w:val="auto"/>
                <w:w w:val="91"/>
              </w:rPr>
              <w:t>Beneficially</w:t>
            </w:r>
          </w:p>
        </w:tc>
        <w:tc>
          <w:tcPr>
            <w:tcW w:w="140" w:type="dxa"/>
            <w:vAlign w:val="bottom"/>
          </w:tcPr>
          <w:p>
            <w:pPr>
              <w:spacing w:after="0"/>
              <w:rPr>
                <w:sz w:val="9"/>
                <w:szCs w:val="9"/>
                <w:color w:val="auto"/>
              </w:rPr>
            </w:pPr>
          </w:p>
        </w:tc>
        <w:tc>
          <w:tcPr>
            <w:tcW w:w="44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3"/>
              </w:rPr>
              <w:t>Beneficially</w:t>
            </w:r>
          </w:p>
        </w:tc>
        <w:tc>
          <w:tcPr>
            <w:tcW w:w="120" w:type="dxa"/>
            <w:vAlign w:val="bottom"/>
          </w:tcPr>
          <w:p>
            <w:pPr>
              <w:spacing w:after="0"/>
              <w:rPr>
                <w:sz w:val="9"/>
                <w:szCs w:val="9"/>
                <w:color w:val="auto"/>
              </w:rPr>
            </w:pPr>
          </w:p>
        </w:tc>
        <w:tc>
          <w:tcPr>
            <w:tcW w:w="540" w:type="dxa"/>
            <w:vAlign w:val="bottom"/>
            <w:gridSpan w:val="2"/>
          </w:tcPr>
          <w:p>
            <w:pPr>
              <w:spacing w:after="0" w:line="110" w:lineRule="exact"/>
              <w:rPr>
                <w:sz w:val="20"/>
                <w:szCs w:val="20"/>
                <w:color w:val="auto"/>
              </w:rPr>
            </w:pPr>
            <w:r>
              <w:rPr>
                <w:rFonts w:ascii="Times New Roman" w:cs="Times New Roman" w:eastAsia="Times New Roman" w:hAnsi="Times New Roman"/>
                <w:sz w:val="10"/>
                <w:szCs w:val="10"/>
                <w:b w:val="1"/>
                <w:bCs w:val="1"/>
                <w:color w:val="auto"/>
                <w:w w:val="99"/>
              </w:rPr>
              <w:t>Power After</w:t>
            </w:r>
          </w:p>
        </w:tc>
        <w:tc>
          <w:tcPr>
            <w:tcW w:w="860" w:type="dxa"/>
            <w:vAlign w:val="bottom"/>
          </w:tcPr>
          <w:p>
            <w:pPr>
              <w:spacing w:after="0"/>
              <w:rPr>
                <w:sz w:val="9"/>
                <w:szCs w:val="9"/>
                <w:color w:val="auto"/>
              </w:rPr>
            </w:pPr>
          </w:p>
        </w:tc>
      </w:tr>
      <w:tr>
        <w:trPr>
          <w:trHeight w:val="145"/>
        </w:trPr>
        <w:tc>
          <w:tcPr>
            <w:tcW w:w="860" w:type="dxa"/>
            <w:vAlign w:val="bottom"/>
          </w:tcPr>
          <w:p>
            <w:pPr>
              <w:spacing w:after="0"/>
              <w:rPr>
                <w:sz w:val="12"/>
                <w:szCs w:val="12"/>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Name of Beneficial Owner</w:t>
            </w:r>
          </w:p>
        </w:tc>
        <w:tc>
          <w:tcPr>
            <w:tcW w:w="1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66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the Offering</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Owned</w:t>
            </w:r>
          </w:p>
        </w:tc>
        <w:tc>
          <w:tcPr>
            <w:tcW w:w="140" w:type="dxa"/>
            <w:vAlign w:val="bottom"/>
          </w:tcPr>
          <w:p>
            <w:pPr>
              <w:jc w:val="right"/>
              <w:ind w:right="5"/>
              <w:spacing w:after="0"/>
              <w:rPr>
                <w:sz w:val="20"/>
                <w:szCs w:val="20"/>
                <w:color w:val="auto"/>
              </w:rPr>
            </w:pPr>
            <w:r>
              <w:rPr>
                <w:rFonts w:ascii="Times New Roman" w:cs="Times New Roman" w:eastAsia="Times New Roman" w:hAnsi="Times New Roman"/>
                <w:sz w:val="10"/>
                <w:szCs w:val="10"/>
                <w:b w:val="1"/>
                <w:bCs w:val="1"/>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Owned</w:t>
            </w:r>
          </w:p>
        </w:tc>
        <w:tc>
          <w:tcPr>
            <w:tcW w:w="1520" w:type="dxa"/>
            <w:vAlign w:val="bottom"/>
            <w:gridSpan w:val="4"/>
          </w:tcPr>
          <w:p>
            <w:pPr>
              <w:jc w:val="right"/>
              <w:ind w:right="76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the Offering </w:t>
            </w:r>
            <w:r>
              <w:rPr>
                <w:rFonts w:ascii="Times New Roman" w:cs="Times New Roman" w:eastAsia="Times New Roman" w:hAnsi="Times New Roman"/>
                <w:sz w:val="16"/>
                <w:szCs w:val="16"/>
                <w:b w:val="1"/>
                <w:bCs w:val="1"/>
                <w:color w:val="auto"/>
                <w:vertAlign w:val="subscript"/>
              </w:rPr>
              <w:t>​</w:t>
            </w:r>
          </w:p>
        </w:tc>
      </w:tr>
      <w:tr>
        <w:trPr>
          <w:trHeight w:val="20"/>
        </w:trPr>
        <w:tc>
          <w:tcPr>
            <w:tcW w:w="8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5"/>
        </w:trPr>
        <w:tc>
          <w:tcPr>
            <w:tcW w:w="860" w:type="dxa"/>
            <w:vAlign w:val="bottom"/>
          </w:tcPr>
          <w:p>
            <w:pPr>
              <w:spacing w:after="0"/>
              <w:rPr>
                <w:sz w:val="12"/>
                <w:szCs w:val="12"/>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Greater than 5% Holders:</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2"/>
                <w:szCs w:val="12"/>
                <w:b w:val="1"/>
                <w:bCs w:val="1"/>
                <w:color w:val="auto"/>
              </w:rPr>
              <w:t>​​​ ​</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0"/>
        </w:trPr>
        <w:tc>
          <w:tcPr>
            <w:tcW w:w="860" w:type="dxa"/>
            <w:vAlign w:val="bottom"/>
          </w:tcPr>
          <w:p>
            <w:pPr>
              <w:spacing w:after="0"/>
              <w:rPr>
                <w:sz w:val="13"/>
                <w:szCs w:val="13"/>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2"/>
                <w:szCs w:val="12"/>
                <w:color w:val="auto"/>
              </w:rPr>
              <w:t>AyurMaya Capital Management</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9"/>
        </w:trPr>
        <w:tc>
          <w:tcPr>
            <w:tcW w:w="860" w:type="dxa"/>
            <w:vAlign w:val="bottom"/>
          </w:tcPr>
          <w:p>
            <w:pPr>
              <w:spacing w:after="0"/>
              <w:rPr>
                <w:sz w:val="15"/>
                <w:szCs w:val="15"/>
                <w:color w:val="auto"/>
              </w:rPr>
            </w:pPr>
          </w:p>
        </w:tc>
        <w:tc>
          <w:tcPr>
            <w:tcW w:w="1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Fund, LP</w:t>
            </w:r>
            <w:r>
              <w:rPr>
                <w:rFonts w:ascii="Times New Roman" w:cs="Times New Roman" w:eastAsia="Times New Roman" w:hAnsi="Times New Roman"/>
                <w:sz w:val="15"/>
                <w:szCs w:val="15"/>
                <w:color w:val="auto"/>
                <w:vertAlign w:val="superscript"/>
              </w:rPr>
              <w:t>(1)</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8,145,966​​​</w:t>
            </w:r>
            <w:r>
              <w:rPr>
                <w:rFonts w:ascii="Times New Roman" w:cs="Times New Roman" w:eastAsia="Times New Roman" w:hAnsi="Times New Roman"/>
                <w:sz w:val="12"/>
                <w:szCs w:val="12"/>
                <w:b w:val="1"/>
                <w:bCs w:val="1"/>
                <w:color w:val="auto"/>
              </w:rPr>
              <w:t>​</w:t>
            </w:r>
          </w:p>
        </w:tc>
        <w:tc>
          <w:tcPr>
            <w:tcW w:w="1920" w:type="dxa"/>
            <w:vAlign w:val="bottom"/>
            <w:gridSpan w:val="7"/>
          </w:tcPr>
          <w:p>
            <w:pPr>
              <w:jc w:val="right"/>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21.0%​​​</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8,145,966​​​</w:t>
            </w:r>
            <w:r>
              <w:rPr>
                <w:rFonts w:ascii="Times New Roman" w:cs="Times New Roman" w:eastAsia="Times New Roman" w:hAnsi="Times New Roman"/>
                <w:sz w:val="12"/>
                <w:szCs w:val="12"/>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14.4%</w:t>
            </w:r>
          </w:p>
        </w:tc>
        <w:tc>
          <w:tcPr>
            <w:tcW w:w="860" w:type="dxa"/>
            <w:vAlign w:val="bottom"/>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0"/>
        </w:trPr>
        <w:tc>
          <w:tcPr>
            <w:tcW w:w="860" w:type="dxa"/>
            <w:vAlign w:val="bottom"/>
          </w:tcPr>
          <w:p>
            <w:pPr>
              <w:spacing w:after="0"/>
              <w:rPr>
                <w:sz w:val="13"/>
                <w:szCs w:val="13"/>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Entities affiliated with Baker</w:t>
            </w:r>
          </w:p>
        </w:tc>
        <w:tc>
          <w:tcPr>
            <w:tcW w:w="14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tcPr>
          <w:p>
            <w:pPr>
              <w:spacing w:after="0"/>
              <w:rPr>
                <w:sz w:val="13"/>
                <w:szCs w:val="13"/>
                <w:color w:val="auto"/>
              </w:rPr>
            </w:pPr>
          </w:p>
        </w:tc>
      </w:tr>
      <w:tr>
        <w:trPr>
          <w:trHeight w:val="179"/>
        </w:trPr>
        <w:tc>
          <w:tcPr>
            <w:tcW w:w="860" w:type="dxa"/>
            <w:vAlign w:val="bottom"/>
          </w:tcPr>
          <w:p>
            <w:pPr>
              <w:spacing w:after="0"/>
              <w:rPr>
                <w:sz w:val="15"/>
                <w:szCs w:val="15"/>
                <w:color w:val="auto"/>
              </w:rPr>
            </w:pPr>
          </w:p>
        </w:tc>
        <w:tc>
          <w:tcPr>
            <w:tcW w:w="1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Brothers Life Sciences, L.P.</w:t>
            </w:r>
            <w:r>
              <w:rPr>
                <w:rFonts w:ascii="Times New Roman" w:cs="Times New Roman" w:eastAsia="Times New Roman" w:hAnsi="Times New Roman"/>
                <w:sz w:val="15"/>
                <w:szCs w:val="15"/>
                <w:color w:val="auto"/>
                <w:vertAlign w:val="superscript"/>
              </w:rPr>
              <w:t>(2)</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1380" w:type="dxa"/>
            <w:vAlign w:val="bottom"/>
            <w:gridSpan w:val="5"/>
            <w:shd w:val="clear" w:color="auto" w:fill="CCEEFF"/>
          </w:tcPr>
          <w:p>
            <w:pPr>
              <w:jc w:val="right"/>
              <w:ind w:right="51"/>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7,184,908​​​ </w:t>
            </w: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p>
        </w:tc>
        <w:tc>
          <w:tcPr>
            <w:tcW w:w="12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7,184,908​​​</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0"/>
        </w:trPr>
        <w:tc>
          <w:tcPr>
            <w:tcW w:w="860" w:type="dxa"/>
            <w:vAlign w:val="bottom"/>
          </w:tcPr>
          <w:p>
            <w:pPr>
              <w:spacing w:after="0"/>
              <w:rPr>
                <w:sz w:val="13"/>
                <w:szCs w:val="13"/>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2"/>
                <w:szCs w:val="12"/>
                <w:color w:val="auto"/>
              </w:rPr>
              <w:t>Entities affiliated with Foresite</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9"/>
        </w:trPr>
        <w:tc>
          <w:tcPr>
            <w:tcW w:w="860" w:type="dxa"/>
            <w:vAlign w:val="bottom"/>
          </w:tcPr>
          <w:p>
            <w:pPr>
              <w:spacing w:after="0"/>
              <w:rPr>
                <w:sz w:val="15"/>
                <w:szCs w:val="15"/>
                <w:color w:val="auto"/>
              </w:rPr>
            </w:pPr>
          </w:p>
        </w:tc>
        <w:tc>
          <w:tcPr>
            <w:tcW w:w="1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Capital Management</w:t>
            </w:r>
            <w:r>
              <w:rPr>
                <w:rFonts w:ascii="Times New Roman" w:cs="Times New Roman" w:eastAsia="Times New Roman" w:hAnsi="Times New Roman"/>
                <w:sz w:val="15"/>
                <w:szCs w:val="15"/>
                <w:color w:val="auto"/>
                <w:vertAlign w:val="superscript"/>
              </w:rPr>
              <w:t>(3)</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12,652,954​​​</w:t>
            </w:r>
            <w:r>
              <w:rPr>
                <w:rFonts w:ascii="Times New Roman" w:cs="Times New Roman" w:eastAsia="Times New Roman" w:hAnsi="Times New Roman"/>
                <w:sz w:val="12"/>
                <w:szCs w:val="12"/>
                <w:b w:val="1"/>
                <w:bCs w:val="1"/>
                <w:color w:val="auto"/>
              </w:rPr>
              <w:t>​</w:t>
            </w:r>
          </w:p>
        </w:tc>
        <w:tc>
          <w:tcPr>
            <w:tcW w:w="740" w:type="dxa"/>
            <w:vAlign w:val="bottom"/>
            <w:gridSpan w:val="3"/>
          </w:tcPr>
          <w:p>
            <w:pPr>
              <w:jc w:val="right"/>
              <w:ind w:right="51"/>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32.6%​​​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12,652,954​​​</w:t>
            </w:r>
            <w:r>
              <w:rPr>
                <w:rFonts w:ascii="Times New Roman" w:cs="Times New Roman" w:eastAsia="Times New Roman" w:hAnsi="Times New Roman"/>
                <w:sz w:val="12"/>
                <w:szCs w:val="12"/>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22.4%</w:t>
            </w:r>
          </w:p>
        </w:tc>
        <w:tc>
          <w:tcPr>
            <w:tcW w:w="860" w:type="dxa"/>
            <w:vAlign w:val="bottom"/>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9"/>
        </w:trPr>
        <w:tc>
          <w:tcPr>
            <w:tcW w:w="860" w:type="dxa"/>
            <w:vAlign w:val="bottom"/>
          </w:tcPr>
          <w:p>
            <w:pPr>
              <w:spacing w:after="0"/>
              <w:rPr>
                <w:sz w:val="13"/>
                <w:szCs w:val="13"/>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Directors and Named Executive</w:t>
            </w:r>
          </w:p>
        </w:tc>
        <w:tc>
          <w:tcPr>
            <w:tcW w:w="14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tcPr>
          <w:p>
            <w:pPr>
              <w:spacing w:after="0"/>
              <w:rPr>
                <w:sz w:val="13"/>
                <w:szCs w:val="13"/>
                <w:color w:val="auto"/>
              </w:rPr>
            </w:pPr>
          </w:p>
        </w:tc>
      </w:tr>
      <w:tr>
        <w:trPr>
          <w:trHeight w:val="161"/>
        </w:trPr>
        <w:tc>
          <w:tcPr>
            <w:tcW w:w="860" w:type="dxa"/>
            <w:vAlign w:val="bottom"/>
          </w:tcPr>
          <w:p>
            <w:pPr>
              <w:spacing w:after="0"/>
              <w:rPr>
                <w:sz w:val="14"/>
                <w:szCs w:val="14"/>
                <w:color w:val="auto"/>
              </w:rPr>
            </w:pPr>
          </w:p>
        </w:tc>
        <w:tc>
          <w:tcPr>
            <w:tcW w:w="1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Officers:</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2"/>
                <w:szCs w:val="12"/>
                <w:b w:val="1"/>
                <w:bCs w:val="1"/>
                <w:color w:val="auto"/>
              </w:rPr>
              <w:t>​​​ ​</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5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860" w:type="dxa"/>
            <w:vAlign w:val="bottom"/>
          </w:tcPr>
          <w:p>
            <w:pPr>
              <w:spacing w:after="0"/>
              <w:rPr>
                <w:sz w:val="15"/>
                <w:szCs w:val="15"/>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2"/>
                <w:szCs w:val="12"/>
                <w:color w:val="auto"/>
              </w:rPr>
              <w:t>Martin Babler</w:t>
            </w:r>
            <w:r>
              <w:rPr>
                <w:rFonts w:ascii="Times New Roman" w:cs="Times New Roman" w:eastAsia="Times New Roman" w:hAnsi="Times New Roman"/>
                <w:sz w:val="15"/>
                <w:szCs w:val="15"/>
                <w:color w:val="auto"/>
                <w:vertAlign w:val="superscript"/>
              </w:rPr>
              <w:t>(4)</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1,970,694​​​</w:t>
            </w:r>
            <w:r>
              <w:rPr>
                <w:rFonts w:ascii="Times New Roman" w:cs="Times New Roman" w:eastAsia="Times New Roman" w:hAnsi="Times New Roman"/>
                <w:sz w:val="12"/>
                <w:szCs w:val="12"/>
                <w:b w:val="1"/>
                <w:bCs w:val="1"/>
                <w:color w:val="auto"/>
              </w:rPr>
              <w:t>​</w:t>
            </w:r>
          </w:p>
        </w:tc>
        <w:tc>
          <w:tcPr>
            <w:tcW w:w="740" w:type="dxa"/>
            <w:vAlign w:val="bottom"/>
            <w:gridSpan w:val="3"/>
          </w:tcPr>
          <w:p>
            <w:pPr>
              <w:jc w:val="right"/>
              <w:ind w:right="51"/>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4.8%​​​</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1,970,694​​​</w:t>
            </w:r>
            <w:r>
              <w:rPr>
                <w:rFonts w:ascii="Times New Roman" w:cs="Times New Roman" w:eastAsia="Times New Roman" w:hAnsi="Times New Roman"/>
                <w:sz w:val="12"/>
                <w:szCs w:val="12"/>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3.4%</w:t>
            </w:r>
          </w:p>
        </w:tc>
        <w:tc>
          <w:tcPr>
            <w:tcW w:w="860" w:type="dxa"/>
            <w:vAlign w:val="bottom"/>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860" w:type="dxa"/>
            <w:vAlign w:val="bottom"/>
          </w:tcPr>
          <w:p>
            <w:pPr>
              <w:spacing w:after="0"/>
              <w:rPr>
                <w:sz w:val="15"/>
                <w:szCs w:val="15"/>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David Goldstein, Ph.D.</w:t>
            </w:r>
            <w:r>
              <w:rPr>
                <w:rFonts w:ascii="Times New Roman" w:cs="Times New Roman" w:eastAsia="Times New Roman" w:hAnsi="Times New Roman"/>
                <w:sz w:val="15"/>
                <w:szCs w:val="15"/>
                <w:color w:val="auto"/>
                <w:vertAlign w:val="superscript"/>
              </w:rPr>
              <w:t>(5)</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526,894​​​</w:t>
            </w:r>
            <w:r>
              <w:rPr>
                <w:rFonts w:ascii="Times New Roman" w:cs="Times New Roman" w:eastAsia="Times New Roman" w:hAnsi="Times New Roman"/>
                <w:sz w:val="12"/>
                <w:szCs w:val="12"/>
                <w:b w:val="1"/>
                <w:bCs w:val="1"/>
                <w:color w:val="auto"/>
              </w:rPr>
              <w:t>​</w:t>
            </w:r>
          </w:p>
        </w:tc>
        <w:tc>
          <w:tcPr>
            <w:tcW w:w="740" w:type="dxa"/>
            <w:vAlign w:val="bottom"/>
            <w:gridSpan w:val="3"/>
            <w:shd w:val="clear" w:color="auto" w:fill="CCEEFF"/>
          </w:tcPr>
          <w:p>
            <w:pPr>
              <w:jc w:val="right"/>
              <w:ind w:right="51"/>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r>
              <w:rPr>
                <w:rFonts w:ascii="Times New Roman" w:cs="Times New Roman" w:eastAsia="Times New Roman" w:hAnsi="Times New Roman"/>
                <w:sz w:val="12"/>
                <w:szCs w:val="12"/>
                <w:b w:val="1"/>
                <w:bCs w:val="1"/>
                <w:color w:val="auto"/>
              </w:rPr>
              <w:t>​</w:t>
            </w: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526,894​​​</w:t>
            </w:r>
            <w:r>
              <w:rPr>
                <w:rFonts w:ascii="Times New Roman" w:cs="Times New Roman" w:eastAsia="Times New Roman" w:hAnsi="Times New Roman"/>
                <w:sz w:val="12"/>
                <w:szCs w:val="12"/>
                <w:b w:val="1"/>
                <w:bCs w:val="1"/>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22"/>
        </w:trPr>
        <w:tc>
          <w:tcPr>
            <w:tcW w:w="86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2"/>
                <w:szCs w:val="12"/>
                <w:color w:val="auto"/>
              </w:rPr>
              <w:t>Roy Hardiman</w:t>
            </w:r>
            <w:r>
              <w:rPr>
                <w:rFonts w:ascii="Times New Roman" w:cs="Times New Roman" w:eastAsia="Times New Roman" w:hAnsi="Times New Roman"/>
                <w:sz w:val="15"/>
                <w:szCs w:val="15"/>
                <w:color w:val="auto"/>
                <w:vertAlign w:val="superscript"/>
              </w:rPr>
              <w:t>(6)</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475,559​​​</w:t>
            </w:r>
            <w:r>
              <w:rPr>
                <w:rFonts w:ascii="Times New Roman" w:cs="Times New Roman" w:eastAsia="Times New Roman" w:hAnsi="Times New Roman"/>
                <w:sz w:val="12"/>
                <w:szCs w:val="12"/>
                <w:b w:val="1"/>
                <w:bCs w:val="1"/>
                <w:color w:val="auto"/>
              </w:rPr>
              <w:t>​</w:t>
            </w:r>
          </w:p>
        </w:tc>
        <w:tc>
          <w:tcPr>
            <w:tcW w:w="740" w:type="dxa"/>
            <w:vAlign w:val="bottom"/>
            <w:gridSpan w:val="3"/>
          </w:tcPr>
          <w:p>
            <w:pPr>
              <w:jc w:val="right"/>
              <w:ind w:right="51"/>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w:t>
            </w:r>
            <w:r>
              <w:rPr>
                <w:rFonts w:ascii="Times New Roman" w:cs="Times New Roman" w:eastAsia="Times New Roman" w:hAnsi="Times New Roman"/>
                <w:sz w:val="12"/>
                <w:szCs w:val="12"/>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475,559​​​</w:t>
            </w:r>
            <w:r>
              <w:rPr>
                <w:rFonts w:ascii="Times New Roman" w:cs="Times New Roman" w:eastAsia="Times New Roman" w:hAnsi="Times New Roman"/>
                <w:sz w:val="12"/>
                <w:szCs w:val="12"/>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401"/>
        </w:trPr>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ind w:right="85"/>
              <w:spacing w:after="0"/>
              <w:rPr>
                <w:sz w:val="20"/>
                <w:szCs w:val="20"/>
                <w:color w:val="auto"/>
              </w:rPr>
            </w:pPr>
            <w:r>
              <w:rPr>
                <w:rFonts w:ascii="Times New Roman" w:cs="Times New Roman" w:eastAsia="Times New Roman" w:hAnsi="Times New Roman"/>
                <w:sz w:val="12"/>
                <w:szCs w:val="12"/>
                <w:color w:val="auto"/>
              </w:rPr>
              <w:t>181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6"/>
        </w:trPr>
        <w:tc>
          <w:tcPr>
            <w:tcW w:w="860" w:type="dxa"/>
            <w:vAlign w:val="bottom"/>
            <w:tcBorders>
              <w:bottom w:val="single" w:sz="8" w:color="9A9A9A"/>
            </w:tcBorders>
          </w:tcPr>
          <w:p>
            <w:pPr>
              <w:spacing w:after="0"/>
              <w:rPr>
                <w:sz w:val="23"/>
                <w:szCs w:val="23"/>
                <w:color w:val="auto"/>
              </w:rPr>
            </w:pPr>
          </w:p>
        </w:tc>
        <w:tc>
          <w:tcPr>
            <w:tcW w:w="176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50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52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-1744345</wp:posOffset>
            </wp:positionV>
            <wp:extent cx="5842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8420" cy="571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-1744345</wp:posOffset>
            </wp:positionV>
            <wp:extent cx="5842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8420" cy="571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-1744345</wp:posOffset>
            </wp:positionV>
            <wp:extent cx="5842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8420" cy="5715"/>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-1744345</wp:posOffset>
            </wp:positionV>
            <wp:extent cx="5842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8420" cy="5715"/>
                    </a:xfrm>
                    <a:prstGeom prst="rect">
                      <a:avLst/>
                    </a:prstGeom>
                    <a:noFill/>
                  </pic:spPr>
                </pic:pic>
              </a:graphicData>
            </a:graphic>
          </wp:anchor>
        </w:drawing>
        <w:drawing>
          <wp:anchor simplePos="0" relativeHeight="251657728" behindDoc="1" locked="0" layoutInCell="0" allowOverlap="1">
            <wp:simplePos x="0" y="0"/>
            <wp:positionH relativeFrom="column">
              <wp:posOffset>2621915</wp:posOffset>
            </wp:positionH>
            <wp:positionV relativeFrom="paragraph">
              <wp:posOffset>-1744345</wp:posOffset>
            </wp:positionV>
            <wp:extent cx="5842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8420" cy="571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-1744345</wp:posOffset>
            </wp:positionV>
            <wp:extent cx="5842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8420" cy="571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-23495</wp:posOffset>
            </wp:positionV>
            <wp:extent cx="31115" cy="368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538480</wp:posOffset>
            </wp:positionH>
            <wp:positionV relativeFrom="paragraph">
              <wp:posOffset>-23495</wp:posOffset>
            </wp:positionV>
            <wp:extent cx="31115"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84" w:name="page185"/>
    <w:bookmarkEnd w:id="18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55" w:lineRule="exact"/>
        <w:rPr>
          <w:sz w:val="20"/>
          <w:szCs w:val="20"/>
          <w:color w:val="auto"/>
        </w:rPr>
      </w:pPr>
    </w:p>
    <w:tbl>
      <w:tblPr>
        <w:tblLayout w:type="fixed"/>
        <w:tblInd w:w="1720" w:type="dxa"/>
        <w:tblCellMar>
          <w:top w:w="0" w:type="dxa"/>
          <w:left w:w="0" w:type="dxa"/>
          <w:bottom w:w="0" w:type="dxa"/>
          <w:right w:w="0" w:type="dxa"/>
        </w:tblCellMar>
      </w:tblPr>
      <w:tr>
        <w:trPr>
          <w:trHeight w:val="154"/>
        </w:trPr>
        <w:tc>
          <w:tcPr>
            <w:tcW w:w="17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500" w:type="dxa"/>
            <w:vAlign w:val="bottom"/>
          </w:tcPr>
          <w:p>
            <w:pPr>
              <w:spacing w:after="0"/>
              <w:rPr>
                <w:sz w:val="13"/>
                <w:szCs w:val="13"/>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3"/>
              </w:rPr>
              <w:t>Prior to Offering</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520" w:type="dxa"/>
            <w:vAlign w:val="bottom"/>
          </w:tcPr>
          <w:p>
            <w:pPr>
              <w:spacing w:after="0"/>
              <w:rPr>
                <w:sz w:val="13"/>
                <w:szCs w:val="13"/>
                <w:color w:val="auto"/>
              </w:rPr>
            </w:pPr>
          </w:p>
        </w:tc>
        <w:tc>
          <w:tcPr>
            <w:tcW w:w="700" w:type="dxa"/>
            <w:vAlign w:val="bottom"/>
            <w:gridSpan w:val="3"/>
          </w:tcPr>
          <w:p>
            <w:pPr>
              <w:jc w:val="right"/>
              <w:ind w:right="17"/>
              <w:spacing w:after="0"/>
              <w:rPr>
                <w:sz w:val="20"/>
                <w:szCs w:val="20"/>
                <w:color w:val="auto"/>
              </w:rPr>
            </w:pPr>
            <w:r>
              <w:rPr>
                <w:rFonts w:ascii="Times New Roman" w:cs="Times New Roman" w:eastAsia="Times New Roman" w:hAnsi="Times New Roman"/>
                <w:sz w:val="10"/>
                <w:szCs w:val="10"/>
                <w:b w:val="1"/>
                <w:bCs w:val="1"/>
                <w:color w:val="auto"/>
              </w:rPr>
              <w:t>After Offering</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10"/>
        </w:trPr>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0"/>
              </w:rPr>
              <w:t>Number of</w:t>
            </w: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6"/>
              </w:rPr>
              <w:t>Number of</w:t>
            </w:r>
          </w:p>
        </w:tc>
        <w:tc>
          <w:tcPr>
            <w:tcW w:w="1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10"/>
        </w:trPr>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6"/>
              <w:spacing w:after="0" w:line="110"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140" w:type="dxa"/>
            <w:vAlign w:val="bottom"/>
          </w:tcPr>
          <w:p>
            <w:pPr>
              <w:spacing w:after="0"/>
              <w:rPr>
                <w:sz w:val="9"/>
                <w:szCs w:val="9"/>
                <w:color w:val="auto"/>
              </w:rPr>
            </w:pPr>
          </w:p>
        </w:tc>
        <w:tc>
          <w:tcPr>
            <w:tcW w:w="4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7"/>
              </w:rPr>
              <w:t>Non-Voting</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center"/>
              <w:ind w:right="26"/>
              <w:spacing w:after="0" w:line="110"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140" w:type="dxa"/>
            <w:vAlign w:val="bottom"/>
          </w:tcPr>
          <w:p>
            <w:pPr>
              <w:spacing w:after="0"/>
              <w:rPr>
                <w:sz w:val="9"/>
                <w:szCs w:val="9"/>
                <w:color w:val="auto"/>
              </w:rPr>
            </w:pPr>
          </w:p>
        </w:tc>
        <w:tc>
          <w:tcPr>
            <w:tcW w:w="44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3"/>
              </w:rPr>
              <w:t>Non-Voting</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0"/>
        </w:trPr>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6"/>
              <w:spacing w:after="0" w:line="110" w:lineRule="exact"/>
              <w:rPr>
                <w:sz w:val="20"/>
                <w:szCs w:val="20"/>
                <w:color w:val="auto"/>
              </w:rPr>
            </w:pPr>
            <w:r>
              <w:rPr>
                <w:rFonts w:ascii="Times New Roman" w:cs="Times New Roman" w:eastAsia="Times New Roman" w:hAnsi="Times New Roman"/>
                <w:sz w:val="10"/>
                <w:szCs w:val="10"/>
                <w:b w:val="1"/>
                <w:bCs w:val="1"/>
                <w:color w:val="auto"/>
                <w:w w:val="91"/>
              </w:rPr>
              <w:t>Common</w:t>
            </w:r>
          </w:p>
        </w:tc>
        <w:tc>
          <w:tcPr>
            <w:tcW w:w="140" w:type="dxa"/>
            <w:vAlign w:val="bottom"/>
          </w:tcPr>
          <w:p>
            <w:pPr>
              <w:spacing w:after="0"/>
              <w:rPr>
                <w:sz w:val="9"/>
                <w:szCs w:val="9"/>
                <w:color w:val="auto"/>
              </w:rPr>
            </w:pPr>
          </w:p>
        </w:tc>
        <w:tc>
          <w:tcPr>
            <w:tcW w:w="460" w:type="dxa"/>
            <w:vAlign w:val="bottom"/>
          </w:tcPr>
          <w:p>
            <w:pPr>
              <w:jc w:val="center"/>
              <w:ind w:right="5"/>
              <w:spacing w:after="0" w:line="110" w:lineRule="exact"/>
              <w:rPr>
                <w:sz w:val="20"/>
                <w:szCs w:val="20"/>
                <w:color w:val="auto"/>
              </w:rPr>
            </w:pPr>
            <w:r>
              <w:rPr>
                <w:rFonts w:ascii="Times New Roman" w:cs="Times New Roman" w:eastAsia="Times New Roman" w:hAnsi="Times New Roman"/>
                <w:sz w:val="10"/>
                <w:szCs w:val="10"/>
                <w:b w:val="1"/>
                <w:bCs w:val="1"/>
                <w:color w:val="auto"/>
                <w:w w:val="91"/>
              </w:rPr>
              <w:t>Common</w:t>
            </w:r>
          </w:p>
        </w:tc>
        <w:tc>
          <w:tcPr>
            <w:tcW w:w="120" w:type="dxa"/>
            <w:vAlign w:val="bottom"/>
          </w:tcPr>
          <w:p>
            <w:pPr>
              <w:spacing w:after="0"/>
              <w:rPr>
                <w:sz w:val="9"/>
                <w:szCs w:val="9"/>
                <w:color w:val="auto"/>
              </w:rPr>
            </w:pPr>
          </w:p>
        </w:tc>
        <w:tc>
          <w:tcPr>
            <w:tcW w:w="56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9"/>
              </w:rPr>
              <w:t>Percentage of</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center"/>
              <w:ind w:right="6"/>
              <w:spacing w:after="0" w:line="110" w:lineRule="exact"/>
              <w:rPr>
                <w:sz w:val="20"/>
                <w:szCs w:val="20"/>
                <w:color w:val="auto"/>
              </w:rPr>
            </w:pPr>
            <w:r>
              <w:rPr>
                <w:rFonts w:ascii="Times New Roman" w:cs="Times New Roman" w:eastAsia="Times New Roman" w:hAnsi="Times New Roman"/>
                <w:sz w:val="10"/>
                <w:szCs w:val="10"/>
                <w:b w:val="1"/>
                <w:bCs w:val="1"/>
                <w:color w:val="auto"/>
                <w:w w:val="96"/>
              </w:rPr>
              <w:t>Common</w:t>
            </w:r>
          </w:p>
        </w:tc>
        <w:tc>
          <w:tcPr>
            <w:tcW w:w="140" w:type="dxa"/>
            <w:vAlign w:val="bottom"/>
          </w:tcPr>
          <w:p>
            <w:pPr>
              <w:spacing w:after="0"/>
              <w:rPr>
                <w:sz w:val="9"/>
                <w:szCs w:val="9"/>
                <w:color w:val="auto"/>
              </w:rPr>
            </w:pPr>
          </w:p>
        </w:tc>
        <w:tc>
          <w:tcPr>
            <w:tcW w:w="440" w:type="dxa"/>
            <w:vAlign w:val="bottom"/>
          </w:tcPr>
          <w:p>
            <w:pPr>
              <w:jc w:val="center"/>
              <w:ind w:right="5"/>
              <w:spacing w:after="0" w:line="110" w:lineRule="exact"/>
              <w:rPr>
                <w:sz w:val="20"/>
                <w:szCs w:val="20"/>
                <w:color w:val="auto"/>
              </w:rPr>
            </w:pPr>
            <w:r>
              <w:rPr>
                <w:rFonts w:ascii="Times New Roman" w:cs="Times New Roman" w:eastAsia="Times New Roman" w:hAnsi="Times New Roman"/>
                <w:sz w:val="10"/>
                <w:szCs w:val="10"/>
                <w:b w:val="1"/>
                <w:bCs w:val="1"/>
                <w:color w:val="auto"/>
                <w:w w:val="96"/>
              </w:rPr>
              <w:t>Common</w:t>
            </w:r>
          </w:p>
        </w:tc>
        <w:tc>
          <w:tcPr>
            <w:tcW w:w="120" w:type="dxa"/>
            <w:vAlign w:val="bottom"/>
          </w:tcPr>
          <w:p>
            <w:pPr>
              <w:spacing w:after="0"/>
              <w:rPr>
                <w:sz w:val="9"/>
                <w:szCs w:val="9"/>
                <w:color w:val="auto"/>
              </w:rPr>
            </w:pPr>
          </w:p>
        </w:tc>
        <w:tc>
          <w:tcPr>
            <w:tcW w:w="540" w:type="dxa"/>
            <w:vAlign w:val="bottom"/>
            <w:gridSpan w:val="2"/>
          </w:tcPr>
          <w:p>
            <w:pPr>
              <w:spacing w:after="0" w:line="110" w:lineRule="exact"/>
              <w:rPr>
                <w:sz w:val="20"/>
                <w:szCs w:val="20"/>
                <w:color w:val="auto"/>
              </w:rPr>
            </w:pPr>
            <w:r>
              <w:rPr>
                <w:rFonts w:ascii="Times New Roman" w:cs="Times New Roman" w:eastAsia="Times New Roman" w:hAnsi="Times New Roman"/>
                <w:sz w:val="10"/>
                <w:szCs w:val="10"/>
                <w:b w:val="1"/>
                <w:bCs w:val="1"/>
                <w:color w:val="auto"/>
                <w:w w:val="89"/>
              </w:rPr>
              <w:t>Percentage of</w:t>
            </w:r>
          </w:p>
        </w:tc>
        <w:tc>
          <w:tcPr>
            <w:tcW w:w="40" w:type="dxa"/>
            <w:vAlign w:val="bottom"/>
          </w:tcPr>
          <w:p>
            <w:pPr>
              <w:spacing w:after="0"/>
              <w:rPr>
                <w:sz w:val="9"/>
                <w:szCs w:val="9"/>
                <w:color w:val="auto"/>
              </w:rPr>
            </w:pPr>
          </w:p>
        </w:tc>
      </w:tr>
      <w:tr>
        <w:trPr>
          <w:trHeight w:val="110"/>
        </w:trPr>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6"/>
              <w:spacing w:after="0" w:line="110" w:lineRule="exact"/>
              <w:rPr>
                <w:sz w:val="20"/>
                <w:szCs w:val="20"/>
                <w:color w:val="auto"/>
              </w:rPr>
            </w:pPr>
            <w:r>
              <w:rPr>
                <w:rFonts w:ascii="Times New Roman" w:cs="Times New Roman" w:eastAsia="Times New Roman" w:hAnsi="Times New Roman"/>
                <w:sz w:val="10"/>
                <w:szCs w:val="10"/>
                <w:b w:val="1"/>
                <w:bCs w:val="1"/>
                <w:color w:val="auto"/>
              </w:rPr>
              <w:t>Stock</w:t>
            </w:r>
          </w:p>
        </w:tc>
        <w:tc>
          <w:tcPr>
            <w:tcW w:w="140" w:type="dxa"/>
            <w:vAlign w:val="bottom"/>
          </w:tcPr>
          <w:p>
            <w:pPr>
              <w:spacing w:after="0"/>
              <w:rPr>
                <w:sz w:val="9"/>
                <w:szCs w:val="9"/>
                <w:color w:val="auto"/>
              </w:rPr>
            </w:pPr>
          </w:p>
        </w:tc>
        <w:tc>
          <w:tcPr>
            <w:tcW w:w="460" w:type="dxa"/>
            <w:vAlign w:val="bottom"/>
          </w:tcPr>
          <w:p>
            <w:pPr>
              <w:jc w:val="center"/>
              <w:ind w:right="5"/>
              <w:spacing w:after="0" w:line="110" w:lineRule="exact"/>
              <w:rPr>
                <w:sz w:val="20"/>
                <w:szCs w:val="20"/>
                <w:color w:val="auto"/>
              </w:rPr>
            </w:pPr>
            <w:r>
              <w:rPr>
                <w:rFonts w:ascii="Times New Roman" w:cs="Times New Roman" w:eastAsia="Times New Roman" w:hAnsi="Times New Roman"/>
                <w:sz w:val="10"/>
                <w:szCs w:val="10"/>
                <w:b w:val="1"/>
                <w:bCs w:val="1"/>
                <w:color w:val="auto"/>
              </w:rPr>
              <w:t>Stock</w:t>
            </w:r>
          </w:p>
        </w:tc>
        <w:tc>
          <w:tcPr>
            <w:tcW w:w="120" w:type="dxa"/>
            <w:vAlign w:val="bottom"/>
          </w:tcPr>
          <w:p>
            <w:pPr>
              <w:spacing w:after="0"/>
              <w:rPr>
                <w:sz w:val="9"/>
                <w:szCs w:val="9"/>
                <w:color w:val="auto"/>
              </w:rPr>
            </w:pPr>
          </w:p>
        </w:tc>
        <w:tc>
          <w:tcPr>
            <w:tcW w:w="56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Total Voting</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center"/>
              <w:ind w:right="6"/>
              <w:spacing w:after="0" w:line="110" w:lineRule="exact"/>
              <w:rPr>
                <w:sz w:val="20"/>
                <w:szCs w:val="20"/>
                <w:color w:val="auto"/>
              </w:rPr>
            </w:pPr>
            <w:r>
              <w:rPr>
                <w:rFonts w:ascii="Times New Roman" w:cs="Times New Roman" w:eastAsia="Times New Roman" w:hAnsi="Times New Roman"/>
                <w:sz w:val="10"/>
                <w:szCs w:val="10"/>
                <w:b w:val="1"/>
                <w:bCs w:val="1"/>
                <w:color w:val="auto"/>
                <w:w w:val="91"/>
              </w:rPr>
              <w:t>Stock</w:t>
            </w:r>
          </w:p>
        </w:tc>
        <w:tc>
          <w:tcPr>
            <w:tcW w:w="140" w:type="dxa"/>
            <w:vAlign w:val="bottom"/>
          </w:tcPr>
          <w:p>
            <w:pPr>
              <w:spacing w:after="0"/>
              <w:rPr>
                <w:sz w:val="9"/>
                <w:szCs w:val="9"/>
                <w:color w:val="auto"/>
              </w:rPr>
            </w:pPr>
          </w:p>
        </w:tc>
        <w:tc>
          <w:tcPr>
            <w:tcW w:w="440" w:type="dxa"/>
            <w:vAlign w:val="bottom"/>
          </w:tcPr>
          <w:p>
            <w:pPr>
              <w:jc w:val="center"/>
              <w:ind w:right="5"/>
              <w:spacing w:after="0" w:line="110" w:lineRule="exact"/>
              <w:rPr>
                <w:sz w:val="20"/>
                <w:szCs w:val="20"/>
                <w:color w:val="auto"/>
              </w:rPr>
            </w:pPr>
            <w:r>
              <w:rPr>
                <w:rFonts w:ascii="Times New Roman" w:cs="Times New Roman" w:eastAsia="Times New Roman" w:hAnsi="Times New Roman"/>
                <w:sz w:val="10"/>
                <w:szCs w:val="10"/>
                <w:b w:val="1"/>
                <w:bCs w:val="1"/>
                <w:color w:val="auto"/>
                <w:w w:val="91"/>
              </w:rPr>
              <w:t>Stock</w:t>
            </w:r>
          </w:p>
        </w:tc>
        <w:tc>
          <w:tcPr>
            <w:tcW w:w="120" w:type="dxa"/>
            <w:vAlign w:val="bottom"/>
          </w:tcPr>
          <w:p>
            <w:pPr>
              <w:spacing w:after="0"/>
              <w:rPr>
                <w:sz w:val="9"/>
                <w:szCs w:val="9"/>
                <w:color w:val="auto"/>
              </w:rPr>
            </w:pPr>
          </w:p>
        </w:tc>
        <w:tc>
          <w:tcPr>
            <w:tcW w:w="540" w:type="dxa"/>
            <w:vAlign w:val="bottom"/>
            <w:gridSpan w:val="2"/>
          </w:tcPr>
          <w:p>
            <w:pPr>
              <w:spacing w:after="0" w:line="110" w:lineRule="exact"/>
              <w:rPr>
                <w:sz w:val="20"/>
                <w:szCs w:val="20"/>
                <w:color w:val="auto"/>
              </w:rPr>
            </w:pPr>
            <w:r>
              <w:rPr>
                <w:rFonts w:ascii="Times New Roman" w:cs="Times New Roman" w:eastAsia="Times New Roman" w:hAnsi="Times New Roman"/>
                <w:sz w:val="10"/>
                <w:szCs w:val="10"/>
                <w:b w:val="1"/>
                <w:bCs w:val="1"/>
                <w:color w:val="auto"/>
                <w:w w:val="95"/>
              </w:rPr>
              <w:t>Total Voting</w:t>
            </w:r>
          </w:p>
        </w:tc>
        <w:tc>
          <w:tcPr>
            <w:tcW w:w="40" w:type="dxa"/>
            <w:vAlign w:val="bottom"/>
          </w:tcPr>
          <w:p>
            <w:pPr>
              <w:spacing w:after="0"/>
              <w:rPr>
                <w:sz w:val="9"/>
                <w:szCs w:val="9"/>
                <w:color w:val="auto"/>
              </w:rPr>
            </w:pPr>
          </w:p>
        </w:tc>
      </w:tr>
      <w:tr>
        <w:trPr>
          <w:trHeight w:val="110"/>
        </w:trPr>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140" w:type="dxa"/>
            <w:vAlign w:val="bottom"/>
          </w:tcPr>
          <w:p>
            <w:pPr>
              <w:spacing w:after="0"/>
              <w:rPr>
                <w:sz w:val="9"/>
                <w:szCs w:val="9"/>
                <w:color w:val="auto"/>
              </w:rPr>
            </w:pPr>
          </w:p>
        </w:tc>
        <w:tc>
          <w:tcPr>
            <w:tcW w:w="4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7"/>
              </w:rPr>
              <w:t>Beneficially</w:t>
            </w:r>
          </w:p>
        </w:tc>
        <w:tc>
          <w:tcPr>
            <w:tcW w:w="120" w:type="dxa"/>
            <w:vAlign w:val="bottom"/>
          </w:tcPr>
          <w:p>
            <w:pPr>
              <w:spacing w:after="0"/>
              <w:rPr>
                <w:sz w:val="9"/>
                <w:szCs w:val="9"/>
                <w:color w:val="auto"/>
              </w:rPr>
            </w:pPr>
          </w:p>
        </w:tc>
        <w:tc>
          <w:tcPr>
            <w:tcW w:w="56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9"/>
              </w:rPr>
              <w:t>Power Before</w:t>
            </w:r>
          </w:p>
        </w:tc>
        <w:tc>
          <w:tcPr>
            <w:tcW w:w="80" w:type="dxa"/>
            <w:vAlign w:val="bottom"/>
          </w:tcPr>
          <w:p>
            <w:pPr>
              <w:spacing w:after="0"/>
              <w:rPr>
                <w:sz w:val="9"/>
                <w:szCs w:val="9"/>
                <w:color w:val="auto"/>
              </w:rPr>
            </w:pPr>
          </w:p>
        </w:tc>
        <w:tc>
          <w:tcPr>
            <w:tcW w:w="56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140" w:type="dxa"/>
            <w:vAlign w:val="bottom"/>
          </w:tcPr>
          <w:p>
            <w:pPr>
              <w:spacing w:after="0"/>
              <w:rPr>
                <w:sz w:val="9"/>
                <w:szCs w:val="9"/>
                <w:color w:val="auto"/>
              </w:rPr>
            </w:pPr>
          </w:p>
        </w:tc>
        <w:tc>
          <w:tcPr>
            <w:tcW w:w="44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3"/>
              </w:rPr>
              <w:t>Beneficially</w:t>
            </w:r>
          </w:p>
        </w:tc>
        <w:tc>
          <w:tcPr>
            <w:tcW w:w="120" w:type="dxa"/>
            <w:vAlign w:val="bottom"/>
          </w:tcPr>
          <w:p>
            <w:pPr>
              <w:spacing w:after="0"/>
              <w:rPr>
                <w:sz w:val="9"/>
                <w:szCs w:val="9"/>
                <w:color w:val="auto"/>
              </w:rPr>
            </w:pPr>
          </w:p>
        </w:tc>
        <w:tc>
          <w:tcPr>
            <w:tcW w:w="540" w:type="dxa"/>
            <w:vAlign w:val="bottom"/>
            <w:gridSpan w:val="2"/>
          </w:tcPr>
          <w:p>
            <w:pPr>
              <w:spacing w:after="0" w:line="110" w:lineRule="exact"/>
              <w:rPr>
                <w:sz w:val="20"/>
                <w:szCs w:val="20"/>
                <w:color w:val="auto"/>
              </w:rPr>
            </w:pPr>
            <w:r>
              <w:rPr>
                <w:rFonts w:ascii="Times New Roman" w:cs="Times New Roman" w:eastAsia="Times New Roman" w:hAnsi="Times New Roman"/>
                <w:sz w:val="10"/>
                <w:szCs w:val="10"/>
                <w:b w:val="1"/>
                <w:bCs w:val="1"/>
                <w:color w:val="auto"/>
                <w:w w:val="99"/>
              </w:rPr>
              <w:t>Power After</w:t>
            </w:r>
          </w:p>
        </w:tc>
        <w:tc>
          <w:tcPr>
            <w:tcW w:w="40" w:type="dxa"/>
            <w:vAlign w:val="bottom"/>
          </w:tcPr>
          <w:p>
            <w:pPr>
              <w:spacing w:after="0"/>
              <w:rPr>
                <w:sz w:val="9"/>
                <w:szCs w:val="9"/>
                <w:color w:val="auto"/>
              </w:rPr>
            </w:pPr>
          </w:p>
        </w:tc>
      </w:tr>
      <w:tr>
        <w:trPr>
          <w:trHeight w:val="145"/>
        </w:trPr>
        <w:tc>
          <w:tcPr>
            <w:tcW w:w="17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Name of Beneficial Owner</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68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the Offering</w:t>
            </w:r>
          </w:p>
        </w:tc>
        <w:tc>
          <w:tcPr>
            <w:tcW w:w="1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Owned</w:t>
            </w:r>
          </w:p>
        </w:tc>
        <w:tc>
          <w:tcPr>
            <w:tcW w:w="140" w:type="dxa"/>
            <w:vAlign w:val="bottom"/>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Owned</w:t>
            </w:r>
          </w:p>
        </w:tc>
        <w:tc>
          <w:tcPr>
            <w:tcW w:w="70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the Offering </w:t>
            </w:r>
            <w:r>
              <w:rPr>
                <w:rFonts w:ascii="Times New Roman" w:cs="Times New Roman" w:eastAsia="Times New Roman" w:hAnsi="Times New Roman"/>
                <w:sz w:val="16"/>
                <w:szCs w:val="16"/>
                <w:b w:val="1"/>
                <w:bCs w:val="1"/>
                <w:color w:val="auto"/>
                <w:vertAlign w:val="subscript"/>
              </w:rPr>
              <w:t>​</w:t>
            </w:r>
          </w:p>
        </w:tc>
      </w:tr>
      <w:tr>
        <w:trPr>
          <w:trHeight w:val="20"/>
        </w:trPr>
        <w:tc>
          <w:tcPr>
            <w:tcW w:w="1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Alan Colowick, M.D., M.P.H.</w:t>
            </w:r>
          </w:p>
        </w:tc>
        <w:tc>
          <w:tcPr>
            <w:tcW w:w="78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8,145,966​​​​</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78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 8,145,966​​​​</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​14.4%</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92"/>
        </w:trPr>
        <w:tc>
          <w:tcPr>
            <w:tcW w:w="1760" w:type="dxa"/>
            <w:vAlign w:val="bottom"/>
          </w:tcPr>
          <w:p>
            <w:pPr>
              <w:spacing w:after="0"/>
              <w:rPr>
                <w:sz w:val="20"/>
                <w:szCs w:val="20"/>
                <w:color w:val="auto"/>
              </w:rPr>
            </w:pPr>
            <w:r>
              <w:rPr>
                <w:rFonts w:ascii="Times New Roman" w:cs="Times New Roman" w:eastAsia="Times New Roman" w:hAnsi="Times New Roman"/>
                <w:sz w:val="12"/>
                <w:szCs w:val="12"/>
                <w:color w:val="auto"/>
              </w:rPr>
              <w:t>Sapna Srivastava, Ph.D.</w:t>
            </w:r>
            <w:r>
              <w:rPr>
                <w:rFonts w:ascii="Times New Roman" w:cs="Times New Roman" w:eastAsia="Times New Roman" w:hAnsi="Times New Roman"/>
                <w:sz w:val="15"/>
                <w:szCs w:val="15"/>
                <w:color w:val="auto"/>
                <w:vertAlign w:val="superscript"/>
              </w:rPr>
              <w:t>(7)</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29,946​​​​</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29,946​​​​</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92"/>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James B. Tananbaum, M.D.</w:t>
            </w:r>
            <w:r>
              <w:rPr>
                <w:rFonts w:ascii="Times New Roman" w:cs="Times New Roman" w:eastAsia="Times New Roman" w:hAnsi="Times New Roman"/>
                <w:sz w:val="15"/>
                <w:szCs w:val="15"/>
                <w:color w:val="auto"/>
                <w:vertAlign w:val="superscript"/>
              </w:rPr>
              <w:t>(3)</w:t>
            </w:r>
          </w:p>
        </w:tc>
        <w:tc>
          <w:tcPr>
            <w:tcW w:w="78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​​​12,652,954​​​​</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78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​​​12,652,954​​​​</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​22.4%</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92"/>
        </w:trPr>
        <w:tc>
          <w:tcPr>
            <w:tcW w:w="1760" w:type="dxa"/>
            <w:vAlign w:val="bottom"/>
          </w:tcPr>
          <w:p>
            <w:pPr>
              <w:spacing w:after="0"/>
              <w:rPr>
                <w:sz w:val="20"/>
                <w:szCs w:val="20"/>
                <w:color w:val="auto"/>
              </w:rPr>
            </w:pPr>
            <w:r>
              <w:rPr>
                <w:rFonts w:ascii="Times New Roman" w:cs="Times New Roman" w:eastAsia="Times New Roman" w:hAnsi="Times New Roman"/>
                <w:sz w:val="12"/>
                <w:szCs w:val="12"/>
                <w:color w:val="auto"/>
              </w:rPr>
              <w:t>Zhengbin Yao, Ph.D.</w:t>
            </w:r>
            <w:r>
              <w:rPr>
                <w:rFonts w:ascii="Times New Roman" w:cs="Times New Roman" w:eastAsia="Times New Roman" w:hAnsi="Times New Roman"/>
                <w:sz w:val="15"/>
                <w:szCs w:val="15"/>
                <w:color w:val="auto"/>
                <w:vertAlign w:val="superscript"/>
              </w:rPr>
              <w:t>(8)</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27,807​​​​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27,807​​​​</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92"/>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Srinivas Akkaraju, M.D., Ph.D.</w:t>
            </w:r>
            <w:r>
              <w:rPr>
                <w:rFonts w:ascii="Times New Roman" w:cs="Times New Roman" w:eastAsia="Times New Roman" w:hAnsi="Times New Roman"/>
                <w:sz w:val="15"/>
                <w:szCs w:val="15"/>
                <w:color w:val="auto"/>
                <w:vertAlign w:val="superscript"/>
              </w:rPr>
              <w:t>(9)</w:t>
            </w:r>
          </w:p>
        </w:tc>
        <w:tc>
          <w:tcPr>
            <w:tcW w:w="78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1,703,998​​​​</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78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 1,703,998​​​​</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 3.0%</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1760" w:type="dxa"/>
            <w:vAlign w:val="bottom"/>
          </w:tcPr>
          <w:p>
            <w:pPr>
              <w:spacing w:after="0"/>
              <w:rPr>
                <w:sz w:val="20"/>
                <w:szCs w:val="20"/>
                <w:color w:val="auto"/>
              </w:rPr>
            </w:pPr>
            <w:r>
              <w:rPr>
                <w:rFonts w:ascii="Times New Roman" w:cs="Times New Roman" w:eastAsia="Times New Roman" w:hAnsi="Times New Roman"/>
                <w:sz w:val="12"/>
                <w:szCs w:val="12"/>
                <w:color w:val="auto"/>
              </w:rPr>
              <w:t>Patrick Machado</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tcPr>
          <w:p>
            <w:pPr>
              <w:jc w:val="right"/>
              <w:ind w:right="3"/>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2"/>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All directors and executive</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45"/>
        </w:trPr>
        <w:tc>
          <w:tcPr>
            <w:tcW w:w="1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officers as a group</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89"/>
        </w:trPr>
        <w:tc>
          <w:tcPr>
            <w:tcW w:w="1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(14 persons)</w:t>
            </w:r>
            <w:r>
              <w:rPr>
                <w:rFonts w:ascii="Times New Roman" w:cs="Times New Roman" w:eastAsia="Times New Roman" w:hAnsi="Times New Roman"/>
                <w:sz w:val="15"/>
                <w:szCs w:val="15"/>
                <w:color w:val="auto"/>
                <w:vertAlign w:val="superscript"/>
              </w:rPr>
              <w:t>(10)</w:t>
            </w:r>
          </w:p>
        </w:tc>
        <w:tc>
          <w:tcPr>
            <w:tcW w:w="1360" w:type="dxa"/>
            <w:vAlign w:val="bottom"/>
            <w:tcBorders>
              <w:right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​​​27,078,973​​​​7,184,908​​​</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tcBorders>
              <w:right w:val="single" w:sz="8" w:color="CCEEFF"/>
            </w:tcBorders>
            <w:gridSpan w:val="7"/>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 ​​​27,078,973​​​​7,184,908​​​</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​44.8%</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-1022985</wp:posOffset>
            </wp:positionV>
            <wp:extent cx="5842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8420" cy="571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-1022985</wp:posOffset>
            </wp:positionV>
            <wp:extent cx="5842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8420" cy="571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-1022985</wp:posOffset>
            </wp:positionV>
            <wp:extent cx="5842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8420" cy="5715"/>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-1022985</wp:posOffset>
            </wp:positionV>
            <wp:extent cx="5842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8420" cy="5715"/>
                    </a:xfrm>
                    <a:prstGeom prst="rect">
                      <a:avLst/>
                    </a:prstGeom>
                    <a:noFill/>
                  </pic:spPr>
                </pic:pic>
              </a:graphicData>
            </a:graphic>
          </wp:anchor>
        </w:drawing>
        <w:drawing>
          <wp:anchor simplePos="0" relativeHeight="251657728" behindDoc="1" locked="0" layoutInCell="0" allowOverlap="1">
            <wp:simplePos x="0" y="0"/>
            <wp:positionH relativeFrom="column">
              <wp:posOffset>2621915</wp:posOffset>
            </wp:positionH>
            <wp:positionV relativeFrom="paragraph">
              <wp:posOffset>-1022985</wp:posOffset>
            </wp:positionV>
            <wp:extent cx="5842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8420" cy="571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-1022985</wp:posOffset>
            </wp:positionV>
            <wp:extent cx="5842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842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86995</wp:posOffset>
            </wp:positionV>
            <wp:extent cx="37211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194" w:lineRule="exact"/>
        <w:rPr>
          <w:sz w:val="20"/>
          <w:szCs w:val="20"/>
          <w:color w:val="auto"/>
        </w:rPr>
      </w:pPr>
    </w:p>
    <w:p>
      <w:pPr>
        <w:ind w:left="1960" w:hanging="240"/>
        <w:spacing w:after="0"/>
        <w:tabs>
          <w:tab w:leader="none" w:pos="1960" w:val="left"/>
        </w:tabs>
        <w:numPr>
          <w:ilvl w:val="0"/>
          <w:numId w:val="1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beneficial ownership of less than 1%.</w:t>
      </w:r>
    </w:p>
    <w:p>
      <w:pPr>
        <w:spacing w:after="0" w:line="41" w:lineRule="exact"/>
        <w:rPr>
          <w:sz w:val="20"/>
          <w:szCs w:val="20"/>
          <w:color w:val="auto"/>
        </w:rPr>
      </w:pPr>
    </w:p>
    <w:p>
      <w:pPr>
        <w:ind w:left="1960" w:hanging="240"/>
        <w:spacing w:after="0"/>
        <w:tabs>
          <w:tab w:leader="none" w:pos="1960" w:val="left"/>
        </w:tabs>
        <w:numPr>
          <w:ilvl w:val="0"/>
          <w:numId w:val="1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4,278,074 shares of common stock issuable upon conversion of Series B redeemable convertible preferred stock,</w:t>
      </w:r>
    </w:p>
    <w:p>
      <w:pPr>
        <w:spacing w:after="0" w:line="4" w:lineRule="exact"/>
        <w:rPr>
          <w:rFonts w:ascii="Times New Roman" w:cs="Times New Roman" w:eastAsia="Times New Roman" w:hAnsi="Times New Roman"/>
          <w:sz w:val="10"/>
          <w:szCs w:val="10"/>
          <w:color w:val="auto"/>
        </w:rPr>
      </w:pPr>
    </w:p>
    <w:p>
      <w:pPr>
        <w:ind w:left="2140" w:hanging="176"/>
        <w:spacing w:after="0" w:line="229" w:lineRule="auto"/>
        <w:tabs>
          <w:tab w:leader="none" w:pos="2140" w:val="left"/>
        </w:tabs>
        <w:numPr>
          <w:ilvl w:val="1"/>
          <w:numId w:val="1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1,141,494 shares of common stock issuable upon conversion of Series B-2 redeemable convertible preferred stock and</w:t>
      </w:r>
    </w:p>
    <w:p>
      <w:pPr>
        <w:jc w:val="both"/>
        <w:ind w:left="1960" w:right="1739" w:firstLine="4"/>
        <w:spacing w:after="0" w:line="230" w:lineRule="auto"/>
        <w:tabs>
          <w:tab w:leader="none" w:pos="2142" w:val="left"/>
        </w:tabs>
        <w:numPr>
          <w:ilvl w:val="1"/>
          <w:numId w:val="1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2,726,398 shares of common stock issuable upon conversion of Series C redeemable convertible preferred stock, in each case directly held by AyurMaya Capital Management Fund, LP (the AyurMaya Fund). AyurMaya Capital Management Company, LP (the Investment Manager), a Delaware limited partnership, serves as the investment advisor to the AyurMaya Fund with respect to the securities directly held by the AyurMaya Fund. David E. Goel (Mr. Goel) serves as the Managing Member of AyurMaya Capital Management Company GP, LLC, the general partner of the Investment Manager, and may be deemed to hold voting and dispositive power with respect to the securities directly held by the AyurMaya Fund. The business address for each of the AyurMaya Fund, the Investment Manager and Mr. Goel is c/o AyurMaya Capital Managemen LP, Bay Colony Corporate Center, 1000 Winter St., Suite 4500, Waltham, MA 02451.</w:t>
      </w:r>
    </w:p>
    <w:p>
      <w:pPr>
        <w:spacing w:after="0" w:line="33" w:lineRule="exact"/>
        <w:rPr>
          <w:rFonts w:ascii="Times New Roman" w:cs="Times New Roman" w:eastAsia="Times New Roman" w:hAnsi="Times New Roman"/>
          <w:sz w:val="10"/>
          <w:szCs w:val="10"/>
          <w:color w:val="auto"/>
        </w:rPr>
      </w:pPr>
    </w:p>
    <w:p>
      <w:pPr>
        <w:jc w:val="both"/>
        <w:ind w:left="1960" w:right="1739" w:hanging="240"/>
        <w:spacing w:after="0"/>
        <w:tabs>
          <w:tab w:leader="none" w:pos="1960" w:val="left"/>
        </w:tabs>
        <w:numPr>
          <w:ilvl w:val="0"/>
          <w:numId w:val="1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Immediately prior to the closing of this offering, all shares of our redeemable convertible preferred stock held of record by entities affiliated with Baker Bros. Advisors LP (BBA) will convert into 7,184,908 shares of our non-voting common stock. Consists of (i) 3,958,559 shares of non-voting common stock issuable upon conversion of our Series B redeemable convertible preferred stock, 698,056 shares of non-voting common stock issuable upon conversion of our Series B-2 redeemable convertible preferred stock, 349,028 shares of non-voting common stock issuable upon conversion of our Series B-2A redeemable convertible preferred stock and 1,619,962 shares of non-voting common stock issuable upon conversion of our Series C redeemable convertible preferred stock held by Baker Brothers Life Sciences, L.P.; and (ii) 319,515 shares of non-voting common stock issuable upon conversion of our Series B redeemable convertible preferred stock, 62,939 shares of non-voting common stock issuable upon conversion of our Series B-2 redeemable convertible preferred stock, 31,469 shares of non-voting common stock issuable upon conversion of our Series B-2A redeemable convertible preferred stock and 145,380 shares of non-voting common stock issuable upon conversion of our Series C redeemable convertible preferred stock held by 667, L.P. (together with Baker Brothers Life Sciences, L.P., the BBA Funds). BBA is the management company and investment adviser to the BBA Funds and has the sole voting and investment power with respect to the shares held by the BBA Funds. Baker Bros. Advisors (GP) LLC (BBA-GP) is the sole general partner of BBA. The managing members of BBA-GP are Julian C. Baker and Felix J. Baker. Each of BBA-GP, Felix J. Baker and Julian C. Baker, as a managing member of BBA-GP and BBA, may be deemed to be beneficial owners of the shares directly held by the BBA Funds. Each of Julian C. Baker, Felix J. Baker, BBA-GP and BBA disclaim beneficial ownership of these securities, except to the extent of his or its pecuniary interest therein. The business address for the BBA Funds is 860 Washington St. 3rd Fl., New York, NY 10014.</w:t>
      </w:r>
    </w:p>
    <w:p>
      <w:pPr>
        <w:spacing w:after="0" w:line="69" w:lineRule="exact"/>
        <w:rPr>
          <w:rFonts w:ascii="Times New Roman" w:cs="Times New Roman" w:eastAsia="Times New Roman" w:hAnsi="Times New Roman"/>
          <w:sz w:val="10"/>
          <w:szCs w:val="10"/>
          <w:color w:val="auto"/>
        </w:rPr>
      </w:pPr>
    </w:p>
    <w:p>
      <w:pPr>
        <w:jc w:val="both"/>
        <w:ind w:left="1960" w:right="1739" w:hanging="240"/>
        <w:spacing w:after="0"/>
        <w:tabs>
          <w:tab w:leader="none" w:pos="1960" w:val="left"/>
        </w:tabs>
        <w:numPr>
          <w:ilvl w:val="0"/>
          <w:numId w:val="1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1,944,577 shares of common stock issuable upon conversion of our Series Seed redeemable convertible preferred stock, 1,122,994 shares of common stock issuable upon conversion of our Series A redeemable convertible preferred stock, 560,076 shares of common stock issuable upon conversion of our Series B-1 redeemable convertible preferred stock, 622,344 shares of common stock issuable upon conversion of our Series B-2 redeemable convertible preferred stock, and 1,022,398 shares of common stock issuable upon conversion of our Series C redeemable convertible preferred stock held by Foresite Capital Fund V, L.P. (Fund V); (ii) 311,172 shares of common stock issuable upon conversion of our Series B-2 redeemable convertible preferred stock and 1,703,998 shares of common stock issuable upon conversion of our Series C redeemable convertible preferred stock held by Foresite Capital Fund VI, L.P. (Fund VI); (iii) 481,283 shares of common stock issuable upon conversion of our Series A redeemable convertible preferred stock, 560,076 shares of common stock issuable upon conversion of our Series B-1 redeemable convertible preferred stock, 311,172 shares of common stock issuable upon conversion of our Series B-2 redeemable convertible preferred stock and 681,598 shares of common stock issuable upon conversion of our Series C redeemable convertible preferred stock held by Foresite Capital Opportunity Fund V, L.P. (Opportunity Fund V); (iv) 194,459 shares of common stock issuable upon conversion of our Series Seed redeemable convertible preferred stock held by Labs Co-Invest V, LLC (Labs Co-Invest; (v) 1,176,470 shares of common stock held by Foresite Labs Affiliates 2021, LLC (Labs Affiliates); and (vi) 967,567 shares of common stock issuable upon conversion of our Series B-1 redeemable convertible preferred stock, 311,172 shares of common stock issuable upon conversion of our Series B-2 redeemable convertible preferred stock and 681,598 shares of common stock issuable upon conversion of our Series C redeemable convertible preferred stock held by Foresite Labs Fund I, L.P. (Labs Fund). Foresite Capital Management V, LLC (FCM V) is the general partner of Fund V and may be deemed to have sole voting and dispositive power over the shares held by Fund V; Foresite Capital Management VI, LLC (FCM VI) is the general partner of Fund VI and may be deemed to have sole voting and dispositive power over the shares held by Fund VI; Foresite Capital Opportunity Management V, LLC (FCOM V) is the general partner of Opportunity Fund V and may be deemed to have sole voting and dispositive power over the shares held by</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85" w:name="page186"/>
    <w:bookmarkEnd w:id="185"/>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both"/>
        <w:ind w:left="1960" w:right="1739"/>
        <w:spacing w:after="0" w:line="233" w:lineRule="auto"/>
        <w:rPr>
          <w:sz w:val="20"/>
          <w:szCs w:val="20"/>
          <w:color w:val="auto"/>
        </w:rPr>
      </w:pPr>
      <w:r>
        <w:rPr>
          <w:rFonts w:ascii="Times New Roman" w:cs="Times New Roman" w:eastAsia="Times New Roman" w:hAnsi="Times New Roman"/>
          <w:sz w:val="10"/>
          <w:szCs w:val="10"/>
          <w:color w:val="auto"/>
        </w:rPr>
        <w:t>Opportunity Fund V; Labs Co-Invest may be deemed to have sole and dispositive power over the shares held by Labs Co -Invest; Labs Affiliates may be deemed to have sole and dispositive power over the shares held by Labs Affiliates; and Labs Fund may be deemed to have sole and dispositive power over the shares held by Labs Fund. James B. Tananbaum, M.D. is the sole managing member of FCM V, FCM VI, FCOM V, Labs Co-Invest, Lab Affiliates and Labs Fund and may be deemed to have sole voting and dispositive power over these shares. Each entity and Dr. Tananbaum disclaims beneficial ownership of these shares except to the extent of their respective pecuniary interests therein. The business address of Dr. Tananbaum and each of the entities listed above is 900 Larkspur Landing Circle, Suite 150, Larkspur, CA 94939.</w:t>
      </w:r>
    </w:p>
    <w:p>
      <w:pPr>
        <w:spacing w:after="0" w:line="43" w:lineRule="exact"/>
        <w:rPr>
          <w:sz w:val="20"/>
          <w:szCs w:val="20"/>
          <w:color w:val="auto"/>
        </w:rPr>
      </w:pPr>
    </w:p>
    <w:p>
      <w:pPr>
        <w:jc w:val="both"/>
        <w:ind w:left="1960" w:right="1739" w:hanging="240"/>
        <w:spacing w:after="0" w:line="237" w:lineRule="auto"/>
        <w:tabs>
          <w:tab w:leader="none" w:pos="1960" w:val="left"/>
        </w:tabs>
        <w:numPr>
          <w:ilvl w:val="0"/>
          <w:numId w:val="1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90,804 shares of common stock held of record by the Martin Babler revocable trust UAD October 25, 2006, for which Martin Babler serves as a trustee and (ii) 1,879,890 shares of common stock subject to options that are exercisable with 60 days of June 24, 2024. Mr. Babler holds sole voting and dispositive power with respect to the shares held by the Martin Babler revocable trust UAD October 25, 2006.</w:t>
      </w:r>
    </w:p>
    <w:p>
      <w:pPr>
        <w:spacing w:after="0" w:line="31" w:lineRule="exact"/>
        <w:rPr>
          <w:rFonts w:ascii="Times New Roman" w:cs="Times New Roman" w:eastAsia="Times New Roman" w:hAnsi="Times New Roman"/>
          <w:sz w:val="10"/>
          <w:szCs w:val="10"/>
          <w:color w:val="auto"/>
        </w:rPr>
      </w:pPr>
    </w:p>
    <w:p>
      <w:pPr>
        <w:jc w:val="both"/>
        <w:ind w:left="1960" w:right="1739" w:hanging="240"/>
        <w:spacing w:after="0" w:line="235" w:lineRule="auto"/>
        <w:tabs>
          <w:tab w:leader="none" w:pos="1960" w:val="left"/>
        </w:tabs>
        <w:numPr>
          <w:ilvl w:val="0"/>
          <w:numId w:val="1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213,903 shares of common stock held of record by the Baily Goldstein Living Trust dated March 4, 2014, for which Dr. Goldstein serves as a trustee, (ii) 2,994 shares of common stock held of record by family members of Dr. Goldstein residing in his primary residence and (iii) 309,997 shares of common stock subject to options that are exercisable with 60 days of June 24, 2024. Dr. Goldstein holds shared voting and dispositive power with respect to the shares held by the Baily Goldstein Living Trust dated March 4, 2014.</w:t>
      </w:r>
    </w:p>
    <w:p>
      <w:pPr>
        <w:spacing w:after="0" w:line="32" w:lineRule="exact"/>
        <w:rPr>
          <w:rFonts w:ascii="Times New Roman" w:cs="Times New Roman" w:eastAsia="Times New Roman" w:hAnsi="Times New Roman"/>
          <w:sz w:val="10"/>
          <w:szCs w:val="10"/>
          <w:color w:val="auto"/>
        </w:rPr>
      </w:pPr>
    </w:p>
    <w:p>
      <w:pPr>
        <w:jc w:val="both"/>
        <w:ind w:left="1960" w:right="1739" w:hanging="240"/>
        <w:spacing w:after="0" w:line="239" w:lineRule="auto"/>
        <w:tabs>
          <w:tab w:leader="none" w:pos="1960" w:val="left"/>
        </w:tabs>
        <w:numPr>
          <w:ilvl w:val="0"/>
          <w:numId w:val="1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175,401 shares of common stock held of record by Mr. Hardiman, (ii) 6,417 shares of common stock held of record by family members of Mr. Hardiman residing in his primary residence, and (iii) 293,741 shares of common stock subject to options that are exercisable within 60 days of June 24, 2024.</w:t>
      </w:r>
    </w:p>
    <w:p>
      <w:pPr>
        <w:spacing w:after="0" w:line="41" w:lineRule="exact"/>
        <w:rPr>
          <w:rFonts w:ascii="Times New Roman" w:cs="Times New Roman" w:eastAsia="Times New Roman" w:hAnsi="Times New Roman"/>
          <w:sz w:val="10"/>
          <w:szCs w:val="10"/>
          <w:color w:val="auto"/>
        </w:rPr>
      </w:pPr>
    </w:p>
    <w:p>
      <w:pPr>
        <w:ind w:left="1960" w:hanging="240"/>
        <w:spacing w:after="0"/>
        <w:tabs>
          <w:tab w:leader="none" w:pos="1960" w:val="left"/>
        </w:tabs>
        <w:numPr>
          <w:ilvl w:val="0"/>
          <w:numId w:val="1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29,946 shares of common stock subject to options that are exercisable within 60 days of June 24, 2024.</w:t>
      </w:r>
    </w:p>
    <w:p>
      <w:pPr>
        <w:spacing w:after="0" w:line="40" w:lineRule="exact"/>
        <w:rPr>
          <w:rFonts w:ascii="Times New Roman" w:cs="Times New Roman" w:eastAsia="Times New Roman" w:hAnsi="Times New Roman"/>
          <w:sz w:val="10"/>
          <w:szCs w:val="10"/>
          <w:color w:val="auto"/>
        </w:rPr>
      </w:pPr>
    </w:p>
    <w:p>
      <w:pPr>
        <w:ind w:left="1960" w:right="1739" w:hanging="240"/>
        <w:spacing w:after="0" w:line="250" w:lineRule="auto"/>
        <w:tabs>
          <w:tab w:leader="none" w:pos="1960" w:val="left"/>
        </w:tabs>
        <w:numPr>
          <w:ilvl w:val="0"/>
          <w:numId w:val="1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23,529 shares of common stock held of record by Dr. Yao and (ii) 4,278 shares of common stock subject to options that are exercisable within 60 days of June 24, 2024.</w:t>
      </w:r>
    </w:p>
    <w:p>
      <w:pPr>
        <w:spacing w:after="0" w:line="26" w:lineRule="exact"/>
        <w:rPr>
          <w:rFonts w:ascii="Times New Roman" w:cs="Times New Roman" w:eastAsia="Times New Roman" w:hAnsi="Times New Roman"/>
          <w:sz w:val="10"/>
          <w:szCs w:val="10"/>
          <w:color w:val="auto"/>
        </w:rPr>
      </w:pPr>
    </w:p>
    <w:p>
      <w:pPr>
        <w:jc w:val="both"/>
        <w:ind w:left="1960" w:right="1739" w:hanging="240"/>
        <w:spacing w:after="0" w:line="234" w:lineRule="auto"/>
        <w:tabs>
          <w:tab w:leader="none" w:pos="1960" w:val="left"/>
        </w:tabs>
        <w:numPr>
          <w:ilvl w:val="0"/>
          <w:numId w:val="1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1,703,998 shares of common stock issuable upon conversion of our Series C redeemable convertible preferred stock held of record by Samsara BioCapital, L.P. (Samsara LP). Samsara BioCapital GP, LLC (Samsara GP) is the general partner of Samsara LP. Dr. Srinivas Akkaraju (Akkaraju) as the managing member of Samsara GP, shares voting and investment authority over the shares held by Samsara LP. The business address of Akkaraju and each of the entities listed above is 628 Middlefield Road, Palo Alto, CA 94301. Samsara GP disclaims beneficial ownership in these shares except to the extent of its respective pecuniary interest therein.</w:t>
      </w:r>
    </w:p>
    <w:p>
      <w:pPr>
        <w:spacing w:after="0" w:line="41" w:lineRule="exact"/>
        <w:rPr>
          <w:rFonts w:ascii="Times New Roman" w:cs="Times New Roman" w:eastAsia="Times New Roman" w:hAnsi="Times New Roman"/>
          <w:sz w:val="10"/>
          <w:szCs w:val="10"/>
          <w:color w:val="auto"/>
        </w:rPr>
      </w:pPr>
    </w:p>
    <w:p>
      <w:pPr>
        <w:jc w:val="both"/>
        <w:ind w:left="1960" w:right="1739" w:hanging="240"/>
        <w:spacing w:after="0" w:line="239" w:lineRule="auto"/>
        <w:tabs>
          <w:tab w:leader="none" w:pos="1960" w:val="left"/>
        </w:tabs>
        <w:numPr>
          <w:ilvl w:val="0"/>
          <w:numId w:val="1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30,296,700 shares of common stock and 7,184,908 shares of non-voting common stock beneficially owned by our current executive officers and directors and (ii) 3,967,181 shares of common stock subject to options that are exercisable within 60 days of June 24,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86" w:name="page187"/>
    <w:bookmarkEnd w:id="186"/>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DESCRIPTION OF CAPITAL STOCK</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11"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The following description of our capital stock and certain provisions of our amended and restated certificate of incorporation and amended and restated bylaws, which will each become effective upon the completion of this offering, our registration rights agreement and relevant provisions of Delaware General Corporation Law (DGCL) . The descriptions herein are summaries qualified in their entirety by our amended and restated certificate of incorporation and amended and restated bylaws, copies of which have been filed as exhibits to the registration statement of which this prospectus is a part, as well as the relevant provisions of DGCL. The descriptions of our common stock, non-voting common stock and preferred stock reflect changes to our capital structure that will be in effect on the closing of this offering.</w:t>
      </w:r>
    </w:p>
    <w:p>
      <w:pPr>
        <w:spacing w:after="0" w:line="77"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Upon the filing of our amended and restated certificate of incorporation and the closing of this offering, our authorized capital stock will consist of 492,815,092 shares of common stock, $0.0001 par value per share, 7,184,908 shares of non-voting common stock, $0.0001 par value per share, and 50,000,000 shares of preferred stock, $0.0001 par value per share.</w:t>
      </w:r>
    </w:p>
    <w:p>
      <w:pPr>
        <w:spacing w:after="0" w:line="71"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As of March 31, 2024, after giving effect to (i) the issuance of shares of Series C redeemable convertible preferred stock in 2024, and (ii) the Preferred Stock Conversion and the Common Stock Reclassification (as if each had occurred as of March 31, 2024), we had 31,534,821 shares of common stock and 7,184,908 shares of non-voting common stock outstanding.</w:t>
      </w:r>
    </w:p>
    <w:p>
      <w:pPr>
        <w:spacing w:after="0" w:line="1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Common Stock and Non-Voting Common Stock</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Voting Rights and Conversion Rights</w:t>
      </w:r>
    </w:p>
    <w:p>
      <w:pPr>
        <w:spacing w:after="0" w:line="102"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The holders of our common stock are entitled to one vote per share of common stock on any matter that is submitted to a vote of our stockholders, and holders of our non-voting common stock are not entitled to any votes per share of non-voting common stock, including for the election of directors. Additionally, holders of our common stock have no conversion rights, while holders of our non-voting common stock shall have the right to convert each share of our non-voting common stock into one share of common stock at such holder’s election, provided that as a result of such conversion, such holder, together with its affiliates and any members of a Schedule 13(d) group with such holder, would not beneficially own in excess of 4.99% of any class of our securities registered under the Exchange Act, unless otherwise as expressly provided for in our amended and restated certificate of incorporation. However, the beneficial ownership limitation may be increased to any other percentage designated by such holder of non-voting common stock upon 61 days’ notice to us or decreased at any time. Holders of our non-voting common stock are also permitted to make certain transfers of non -voting common stock to non-affiliates upon which, such transferred shares could be immediately converted into shares of our common stock. Shares of our non-voting common stock are not otherwise subject to automatic or mandatory conversion for any reason.</w:t>
      </w:r>
    </w:p>
    <w:p>
      <w:pPr>
        <w:spacing w:after="0" w:line="222"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Our amended and restated certificate of incorporation does not provide for cumulative voting for the election of directors for our common stock. Our amended and restated certificate of incorporation establishes a classified board of directors that is divided into three classes with staggered three-year terms. Only the directors in one class will be subject to election by a plurality of the votes cast at each annual meeting of our stockholders holding shares of common stock, with the directors in the other classes continuing for the remainder of their respective three-year terms. The affirmative vote of holders of at least 66 2⁄3%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structure of our board of directors, the size of our board of directors, removal of directors, director liability, vacancies on our board of directors, special meetings, stockholder notices, actions by written consent and exclusive jurisdiction.</w:t>
      </w:r>
    </w:p>
    <w:p>
      <w:pPr>
        <w:spacing w:after="0" w:line="26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Economic Rights</w:t>
      </w:r>
    </w:p>
    <w:p>
      <w:pPr>
        <w:spacing w:after="0" w:line="111"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Except as otherwise expressly provided in our amended and restated certificate of incorporation or required by applicable law, and other than the voting rights and conversion rights stated above, all shares of common</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87" w:name="page188"/>
    <w:bookmarkEnd w:id="18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stock and non-voting common stock will have the same rights and privileges and rank equally, share ratably, and be identical in all respects for all matters, including those described below.</w:t>
      </w:r>
    </w:p>
    <w:p>
      <w:pPr>
        <w:spacing w:after="0" w:line="48"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i w:val="1"/>
          <w:iCs w:val="1"/>
          <w:color w:val="auto"/>
        </w:rPr>
        <w:t>Dividends</w:t>
      </w:r>
      <w:r>
        <w:rPr>
          <w:rFonts w:ascii="Times New Roman" w:cs="Times New Roman" w:eastAsia="Times New Roman" w:hAnsi="Times New Roman"/>
          <w:sz w:val="12"/>
          <w:szCs w:val="12"/>
          <w:color w:val="auto"/>
        </w:rPr>
        <w:t>. Subject to preferences that may apply to any shares of preferred stock outstanding at the time,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holders of our common stock and non-voting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further information.</w:t>
      </w:r>
    </w:p>
    <w:p>
      <w:pPr>
        <w:spacing w:after="0" w:line="72" w:lineRule="exact"/>
        <w:rPr>
          <w:sz w:val="20"/>
          <w:szCs w:val="20"/>
          <w:color w:val="auto"/>
        </w:rPr>
      </w:pPr>
    </w:p>
    <w:p>
      <w:pPr>
        <w:jc w:val="both"/>
        <w:ind w:left="1720" w:right="1739"/>
        <w:spacing w:after="0" w:line="253" w:lineRule="auto"/>
        <w:rPr>
          <w:sz w:val="20"/>
          <w:szCs w:val="20"/>
          <w:color w:val="auto"/>
        </w:rPr>
      </w:pPr>
      <w:r>
        <w:rPr>
          <w:rFonts w:ascii="Times New Roman" w:cs="Times New Roman" w:eastAsia="Times New Roman" w:hAnsi="Times New Roman"/>
          <w:sz w:val="12"/>
          <w:szCs w:val="12"/>
          <w:i w:val="1"/>
          <w:iCs w:val="1"/>
          <w:color w:val="auto"/>
        </w:rPr>
        <w:t>Liquidation Rights</w:t>
      </w:r>
      <w:r>
        <w:rPr>
          <w:rFonts w:ascii="Times New Roman" w:cs="Times New Roman" w:eastAsia="Times New Roman" w:hAnsi="Times New Roman"/>
          <w:sz w:val="12"/>
          <w:szCs w:val="12"/>
          <w:color w:val="auto"/>
        </w:rPr>
        <w:t>. On our liquidation, dissolution, or winding-up, the holders of common stock and non-voting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25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No Preemptive or Similar Rights</w:t>
      </w:r>
    </w:p>
    <w:p>
      <w:pPr>
        <w:spacing w:after="0" w:line="111"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The holders of our shares of common stock and non-voting common stock are not entitled to preemptive rights, and are not subject to redemption or sinking fund provisions. The rights, preferences and privileges of the holders of our common stock or non-voting common stock are subject to, and may be adversely affected by, the right of the holders of shares of any series of preferred stock that we may designate in the future.</w:t>
      </w:r>
    </w:p>
    <w:p>
      <w:pPr>
        <w:spacing w:after="0" w:line="26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Fully Paid and Non-Assessable</w:t>
      </w:r>
    </w:p>
    <w:p>
      <w:pPr>
        <w:spacing w:after="0" w:line="111"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In connection with this offering, our legal counsel will opine that the shares of our common stock and non-voting common stock to be issued under this offering will be fully paid and non-assessable.</w:t>
      </w:r>
    </w:p>
    <w:p>
      <w:pPr>
        <w:spacing w:after="0" w:line="10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Preferred Stock</w:t>
      </w:r>
    </w:p>
    <w:p>
      <w:pPr>
        <w:spacing w:after="0" w:line="102"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As of March 31, 2024, there were 127,224,979 shares of redeemable convertible preferred stock outstanding, consisting of 10,500,000 shares of Series Seed redeemable convertible preferred stock, 7,500,000 shares of Series A redeemable convertible preferred stock, 40,200,000 shares of Series B redeemable convertible preferred stock, 9,760,088 shares of Series B-1 redeemable convertible preferred stock, 16,221,170 shares of Series B-2 redeemable convertible preferred stock, 1,778,830 shares of Series B- 2A redeemable convertible preferred stock, 41,264,891 shares of Series C redeemable convertible preferred stock and no shares of Series C-1 redeemable convertible preferred stock. As of March 31, 2024, there were 127,224,979 outstanding shares of redeemable convertible preferred stock that will all be converted into an aggregate of 20,911,628 shares of common stock and 6,302,237 shares of non-voting common stock immediately prior to the closing of this offering.</w:t>
      </w:r>
    </w:p>
    <w:p>
      <w:pPr>
        <w:spacing w:after="0" w:line="219"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Following the closing of this offering, under the terms of our amended and restated certificate of incorporation, our board of directors will have the authority, without further action by our stockholders, to issue up to 50,000,000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218"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Our board of directors may authorize the issuance of preferred stock with voting or conversion rights that could adversely affect the voting power or other rights of the holders of our common stock and non-voting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our common stock and non-voting common stock and the voting and other rights of the holders of our common stock and non-voting common stock. We have no current plans to issue any shares of preferred stock.</w:t>
      </w:r>
    </w:p>
    <w:p>
      <w:pPr>
        <w:spacing w:after="0" w:line="118" w:lineRule="exact"/>
        <w:rPr>
          <w:sz w:val="20"/>
          <w:szCs w:val="20"/>
          <w:color w:val="auto"/>
        </w:rPr>
      </w:pPr>
    </w:p>
    <w:p>
      <w:pPr>
        <w:ind w:left="1720" w:right="1959"/>
        <w:spacing w:after="0" w:line="278" w:lineRule="auto"/>
        <w:rPr>
          <w:sz w:val="20"/>
          <w:szCs w:val="20"/>
          <w:color w:val="auto"/>
        </w:rPr>
      </w:pPr>
      <w:r>
        <w:rPr>
          <w:rFonts w:ascii="Times New Roman" w:cs="Times New Roman" w:eastAsia="Times New Roman" w:hAnsi="Times New Roman"/>
          <w:sz w:val="12"/>
          <w:szCs w:val="12"/>
          <w:b w:val="1"/>
          <w:bCs w:val="1"/>
          <w:color w:val="auto"/>
        </w:rPr>
        <w:t>Stock Options; Shares Reserved for Future Issuance under the 2021 Plan; Shares to be Reserved for Future Issuance under the 2024 Plan</w:t>
      </w:r>
    </w:p>
    <w:p>
      <w:pPr>
        <w:spacing w:after="0" w:line="58" w:lineRule="exact"/>
        <w:rPr>
          <w:sz w:val="20"/>
          <w:szCs w:val="20"/>
          <w:color w:val="auto"/>
        </w:rPr>
      </w:pPr>
    </w:p>
    <w:p>
      <w:pPr>
        <w:ind w:left="1720" w:right="1739"/>
        <w:spacing w:after="0" w:line="275" w:lineRule="auto"/>
        <w:rPr>
          <w:sz w:val="20"/>
          <w:szCs w:val="20"/>
          <w:color w:val="auto"/>
        </w:rPr>
      </w:pPr>
      <w:r>
        <w:rPr>
          <w:rFonts w:ascii="Times New Roman" w:cs="Times New Roman" w:eastAsia="Times New Roman" w:hAnsi="Times New Roman"/>
          <w:sz w:val="12"/>
          <w:szCs w:val="12"/>
          <w:color w:val="auto"/>
        </w:rPr>
        <w:t>As of March 31, 2024, after giving effect to the Common Stock Reclassification, there were options to purchase 5,565,543 shares of common stock outstanding under our 2021 Plan. For additional information</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88" w:name="page189"/>
    <w:bookmarkEnd w:id="18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regarding the terms of our 2021 Plan, see the section titled “Executive Compensation—Equity Benefit Plans.” Following completion of this offering, 14,629,339 shares of our common stock will be reserved for future issuance under the 2024 Plan, which will become effective immediately prior to the execution of the underwriting agreement for this offering, as well as any future automatic annual increases in the number of shares of common stock reserved for issuance under the 2024 Plan and any shares underlying outstanding stock awards granted under the 2021 Plan, that expire or are repurchased, forfeited, cancelled, or withheld. For additional information regarding terms of our equity incentive plans, see the section titled “Executive Compensation—Equity Benefit Plans.”</w:t>
      </w:r>
    </w:p>
    <w:p>
      <w:pPr>
        <w:spacing w:after="0" w:line="1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Registration Rights</w:t>
      </w:r>
    </w:p>
    <w:p>
      <w:pPr>
        <w:spacing w:after="0" w:line="111"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Upon the closing of this offering and subject to the lock-up agreements entered into in connection with this offering and federal securities laws, certain holders of shares of our common stock, including those shares of common stock and non-voting stock that will be issued upon the conversion of our convertible preferred stock in connection with this offering, will initially be entitled to certain rights with respect to registration of such shares under the Securities Act. These shares are referred to as registrable securities. The holders of these registrable securities possess registration rights pursuant to the terms of our amended and restated investors’ rights agreement and are described in additional detail below. The registration of shares of our common stock and non-voting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demand, piggyback and Form S-3 registrations described below.</w:t>
      </w:r>
    </w:p>
    <w:p>
      <w:pPr>
        <w:spacing w:after="0" w:line="227"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color w:val="auto"/>
        </w:rPr>
        <w:t>Generally, in an underwritten offering, the managing underwriter, if any, has the right, subject to specified conditions and limitations, to limit the number of shares the holders may include. The demand, piggyback and Form S-3 registration rights described below will expire no later than three years after the closing of this offering.</w:t>
      </w:r>
    </w:p>
    <w:p>
      <w:pPr>
        <w:spacing w:after="0" w:line="26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Demand Registration Rights</w:t>
      </w:r>
    </w:p>
    <w:p>
      <w:pPr>
        <w:spacing w:after="0" w:line="102"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Upon the closing of this offering, holders of an aggregate of 36,318,638 shares of our common stock will be entitled to certain demand registration rights. At any time beginning 180 days after the closing of this offering, the holders of 40% of these shares (or a lesser percent if the anticipated aggregate offering price, net of selling expenses, would exceed $20.0 million) may request that we register all or a portion of their shares. We are not required to effect more than one registration statement which is declared or ordered effective. With certain exceptions, we are not required to effect the filing of a registration statement during the period starting with the date of the filing of, and ending on a date 180 days following the effective date of the registration statement for this offering.</w:t>
      </w:r>
    </w:p>
    <w:p>
      <w:pPr>
        <w:spacing w:after="0" w:line="1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Piggyback Registration Rights</w:t>
      </w:r>
    </w:p>
    <w:p>
      <w:pPr>
        <w:spacing w:after="0" w:line="111" w:lineRule="exact"/>
        <w:rPr>
          <w:sz w:val="20"/>
          <w:szCs w:val="20"/>
          <w:color w:val="auto"/>
        </w:rPr>
      </w:pPr>
    </w:p>
    <w:p>
      <w:pPr>
        <w:jc w:val="both"/>
        <w:ind w:left="1720" w:right="1739"/>
        <w:spacing w:after="0" w:line="261" w:lineRule="auto"/>
        <w:rPr>
          <w:sz w:val="20"/>
          <w:szCs w:val="20"/>
          <w:color w:val="auto"/>
        </w:rPr>
      </w:pPr>
      <w:r>
        <w:rPr>
          <w:rFonts w:ascii="Times New Roman" w:cs="Times New Roman" w:eastAsia="Times New Roman" w:hAnsi="Times New Roman"/>
          <w:sz w:val="12"/>
          <w:szCs w:val="12"/>
          <w:color w:val="auto"/>
        </w:rPr>
        <w:t>In connection with this offering, the holders of an aggregate of 36,318,638 shares of our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w:t>
      </w:r>
    </w:p>
    <w:p>
      <w:pPr>
        <w:spacing w:after="0" w:line="27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Form S-3 Registration Rights</w:t>
      </w:r>
    </w:p>
    <w:p>
      <w:pPr>
        <w:spacing w:after="0" w:line="111"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Upon the closing of this offering, holders of an aggregate of 36,318,638 shares of our common stock will be entitled to certain Form S-3 registration rights. Holders of 20% of these shares can make a request that we register their shares on Form S-3 if we are qualified to file a registration statement on Form S-3 and if the reasonably anticipated aggregate net proceeds of the shares offered would equal or exceed $3.0 million. We will not be required to effect more than two registrations on Form S-3 within any 12-month period.</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89" w:name="page190"/>
    <w:bookmarkEnd w:id="18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Anti-Takeover Provisions</w:t>
      </w:r>
    </w:p>
    <w:p>
      <w:pPr>
        <w:spacing w:after="0" w:line="111"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The provisions of Delaware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Certificate of Incorporation and Bylaws to be in Effect in connection with this Offering</w:t>
      </w:r>
    </w:p>
    <w:p>
      <w:pPr>
        <w:spacing w:after="0" w:line="111"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Because our stockholders do not have cumulative voting rights, stockholders holding a majority of the voting power of our shares of common stock will be able to elect all of our directors. Our amended and restated certificate of incorporation, to be effective immediately after the closing of this offering, and our amended and restated bylaws, to be effective on the closing of this offering, will provide for stockholder actions at a duly called meeting of stockholders or, before the date on which all shares of common stock convert into a single class, by written consent. A special meeting of stockholders may be called by a majority of our board of directors, the chair of our board of directors, or our chief executive officer or president. Our amended and restated bylaws will establish an advance notice procedure for stockholder proposals to be brought before an annual meeting of our stockholders, including proposed nominations of persons for election to our board of directors.</w:t>
      </w:r>
    </w:p>
    <w:p>
      <w:pPr>
        <w:spacing w:after="0" w:line="219"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As described above in “Management—Composition of Our Board of Directors,” in accordance with our amended and restated certificate of incorporation to be filed in connection with this offering, immediately prior to the completion of this offering, our board of directors will be divided into three classes with staggered three-year terms.</w:t>
      </w:r>
    </w:p>
    <w:p>
      <w:pPr>
        <w:spacing w:after="0" w:line="71"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218" w:lineRule="exact"/>
        <w:rPr>
          <w:sz w:val="20"/>
          <w:szCs w:val="20"/>
          <w:color w:val="auto"/>
        </w:rPr>
      </w:pPr>
    </w:p>
    <w:p>
      <w:pPr>
        <w:jc w:val="both"/>
        <w:ind w:left="1720" w:right="1739"/>
        <w:spacing w:after="0" w:line="253" w:lineRule="auto"/>
        <w:rPr>
          <w:sz w:val="20"/>
          <w:szCs w:val="20"/>
          <w:color w:val="auto"/>
        </w:rPr>
      </w:pPr>
      <w:r>
        <w:rPr>
          <w:rFonts w:ascii="Times New Roman" w:cs="Times New Roman" w:eastAsia="Times New Roman" w:hAnsi="Times New Roman"/>
          <w:sz w:val="12"/>
          <w:szCs w:val="12"/>
          <w:color w:val="auto"/>
        </w:rPr>
        <w:t>These provisions are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26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Section 203 of the Delaware General Corporation Law</w:t>
      </w:r>
    </w:p>
    <w:p>
      <w:pPr>
        <w:spacing w:after="0" w:line="111"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When we have a class of voting stock that is either listed on a national securities exchange or held of record by more than 2,000 stockholders, we will be subject to Section 203 of the DGCL,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6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Choice of Forum</w:t>
      </w:r>
    </w:p>
    <w:p>
      <w:pPr>
        <w:spacing w:after="0" w:line="111"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Our amended and restated certificate of incorporation to be effective immediately prior to the closing of this offering will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is the sole and exclusive forum for the following claims or causes of action under the Delaware statutory or common law: (i) any derivative claim or cause of action brought on our behalf; (ii) any claim or cause of action for a breach of fiduciary duty owed by any of our current or former directors, officers, or other employees to us or our stockholders; (iii) any claim or cause</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90" w:name="page191"/>
    <w:bookmarkEnd w:id="19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of action against us or any of our current or former directors, officers or other employees arising out of or pursuant to any provision of the DGCL, our amended and restated certificate of incorporation, or our bylaws (as each may be amended from time to time); (iv) any claim or cause of action seeking to interpret, apply, enforce or determine the validity of our amended and restated certificate of incorporation or our amended and restated bylaws (as each may be amended from time to time, including any right, obligation, or remedy thereunder); (v) any claim or cause of action as to which the DGCL confers jurisdiction to the Court of Chancery of the State of Delaware; and (vi) any claim or cause of action against us or any of our current or former directors, officers, or other employees governed by the internal-affairs doctrine, in all cases to the fullest extent permitted by law and subject to the court’s having personal jurisdiction over the indispensable parties named as defendants. Our amended and restated certificate of incorporation to be effective on the closing of this offering will further provide that the federal district courts of the United States will be the exclusive forum for resolving any complaint asserting a cause or causes of action arising under the Securities Act, including all causes of action asserted against an defendant to such complaint. The choice of forum provision would not apply to claims or causes of action brought to enforce a duty or liability created by the Exchange Act or any other claim for which the federal courts have exclusive jurisdiction.</w:t>
      </w:r>
    </w:p>
    <w:p>
      <w:pPr>
        <w:spacing w:after="0" w:line="230"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For the avoidance of doubt, these provisions are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77"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Additionally, our amended and restated certificate of incorporation to be effective immediately after the closing of this offering will provide that any person or entity holding, owning or otherwise acquiring any interest in any of our securities shall be deemed to have notice of and consented to these provisions.</w:t>
      </w:r>
    </w:p>
    <w:p>
      <w:pPr>
        <w:spacing w:after="0" w:line="1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Limitations on Liability and Indemnification</w:t>
      </w:r>
    </w:p>
    <w:p>
      <w:pPr>
        <w:spacing w:after="0" w:line="10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See the section titled “Executive Compensation—Limitations on Liability and Indemnification.”</w:t>
      </w:r>
    </w:p>
    <w:p>
      <w:pPr>
        <w:spacing w:after="0" w:line="15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Exchange Listing</w:t>
      </w:r>
    </w:p>
    <w:p>
      <w:pPr>
        <w:spacing w:after="0" w:line="111"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Our common stock is currently not listed on any securities exchange. We have applied to have our common stock approved for listing on The Nasdaq Global Market under the symbol “ALMS.” Our non-voting common stock will not be listed on any securities exchange.</w:t>
      </w:r>
    </w:p>
    <w:p>
      <w:pPr>
        <w:spacing w:after="0" w:line="1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Transfer Agent and Registrar</w:t>
      </w:r>
    </w:p>
    <w:p>
      <w:pPr>
        <w:spacing w:after="0" w:line="111"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On the closing of this offering, the transfer agent and registrar for our common stock will be Equiniti Trust Company, LLC. The transfer agent’s address is 55 Challenger Road, Ridgefield Park, New Jersey 07660.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91" w:name="page192"/>
    <w:bookmarkEnd w:id="191"/>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SHARES ELIGIBLE FOR FUTURE SALE</w:t>
      </w:r>
    </w:p>
    <w:p>
      <w:pPr>
        <w:spacing w:after="0" w:line="111"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Before the closing of this offering, there has been no public market for our common stock. Future sales of substantial amounts of our common stock, including shares issued on the exercise of outstanding options or upon conversion of our non-voting common stock, in the public market after this offering, or the possibility of these sales or issuances occurring, could adversely affect the prevailing market price for our common stock or impair our ability to raise equity capital.</w:t>
      </w:r>
    </w:p>
    <w:p>
      <w:pPr>
        <w:spacing w:after="0" w:line="70" w:lineRule="exact"/>
        <w:rPr>
          <w:sz w:val="20"/>
          <w:szCs w:val="20"/>
          <w:color w:val="auto"/>
        </w:rPr>
      </w:pPr>
    </w:p>
    <w:p>
      <w:pPr>
        <w:jc w:val="both"/>
        <w:ind w:left="1720" w:right="1739"/>
        <w:spacing w:after="0" w:line="269" w:lineRule="auto"/>
        <w:rPr>
          <w:sz w:val="20"/>
          <w:szCs w:val="20"/>
          <w:color w:val="auto"/>
        </w:rPr>
      </w:pPr>
      <w:r>
        <w:rPr>
          <w:rFonts w:ascii="Times New Roman" w:cs="Times New Roman" w:eastAsia="Times New Roman" w:hAnsi="Times New Roman"/>
          <w:sz w:val="12"/>
          <w:szCs w:val="12"/>
          <w:color w:val="auto"/>
        </w:rPr>
        <w:t>Based on our shares of common stock outstanding as of March 31, 2024, upon the completion of this offering, a total of 38,719,729 shares of common stock will be outstanding, after giving effect to (i) issuance of 41,264,892 shares of Series C redeemable convertible preferred stock, convertible into 8,826,699 shares of common stock, in May 2024, and (ii) the Preferred Stock Conversion and the Common Stock Reclassification (as if each had occurred as of March 31, 2024). Of these shares, all of the common stock sold in this offering by us, plus any shares sold by us on exercise of the underwriters’ over-allotment option, will be freely tradable in the public market without restriction or further registration under the Securities Act, unless these shares are held by “affiliates,” as that term is defined in Rule 144 under the Securities Act (Rule 144).</w:t>
      </w:r>
    </w:p>
    <w:p>
      <w:pPr>
        <w:spacing w:after="0" w:line="228" w:lineRule="exact"/>
        <w:rPr>
          <w:sz w:val="20"/>
          <w:szCs w:val="20"/>
          <w:color w:val="auto"/>
        </w:rPr>
      </w:pPr>
    </w:p>
    <w:p>
      <w:pPr>
        <w:jc w:val="both"/>
        <w:ind w:left="1720" w:right="1739"/>
        <w:spacing w:after="0" w:line="274" w:lineRule="auto"/>
        <w:rPr>
          <w:sz w:val="20"/>
          <w:szCs w:val="20"/>
          <w:color w:val="auto"/>
        </w:rPr>
      </w:pPr>
      <w:r>
        <w:rPr>
          <w:rFonts w:ascii="Times New Roman" w:cs="Times New Roman" w:eastAsia="Times New Roman" w:hAnsi="Times New Roman"/>
          <w:sz w:val="12"/>
          <w:szCs w:val="12"/>
          <w:color w:val="auto"/>
        </w:rPr>
        <w:t>The remaining shares of common stock and non-voting common stock will be, and shares of common stock subject to stock options will be on issuance,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71" w:lineRule="exact"/>
        <w:rPr>
          <w:sz w:val="20"/>
          <w:szCs w:val="20"/>
          <w:color w:val="auto"/>
        </w:rPr>
      </w:pPr>
    </w:p>
    <w:p>
      <w:pPr>
        <w:jc w:val="both"/>
        <w:ind w:left="1720" w:right="1739"/>
        <w:spacing w:after="0" w:line="280" w:lineRule="auto"/>
        <w:rPr>
          <w:sz w:val="20"/>
          <w:szCs w:val="20"/>
          <w:color w:val="auto"/>
        </w:rPr>
      </w:pPr>
      <w:r>
        <w:rPr>
          <w:rFonts w:ascii="Times New Roman" w:cs="Times New Roman" w:eastAsia="Times New Roman" w:hAnsi="Times New Roman"/>
          <w:sz w:val="12"/>
          <w:szCs w:val="12"/>
          <w:color w:val="auto"/>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1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Rule 144</w:t>
      </w:r>
    </w:p>
    <w:p>
      <w:pPr>
        <w:spacing w:after="0" w:line="111" w:lineRule="exact"/>
        <w:rPr>
          <w:sz w:val="20"/>
          <w:szCs w:val="20"/>
          <w:color w:val="auto"/>
        </w:rPr>
      </w:pPr>
    </w:p>
    <w:p>
      <w:pPr>
        <w:jc w:val="both"/>
        <w:ind w:left="1720" w:right="1739"/>
        <w:spacing w:after="0" w:line="268" w:lineRule="auto"/>
        <w:rPr>
          <w:sz w:val="20"/>
          <w:szCs w:val="20"/>
          <w:color w:val="auto"/>
        </w:rPr>
      </w:pPr>
      <w:r>
        <w:rPr>
          <w:rFonts w:ascii="Times New Roman" w:cs="Times New Roman" w:eastAsia="Times New Roman" w:hAnsi="Times New Roman"/>
          <w:sz w:val="12"/>
          <w:szCs w:val="12"/>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82" w:lineRule="exact"/>
        <w:rPr>
          <w:sz w:val="20"/>
          <w:szCs w:val="20"/>
          <w:color w:val="auto"/>
        </w:rPr>
      </w:pPr>
    </w:p>
    <w:p>
      <w:pPr>
        <w:jc w:val="both"/>
        <w:ind w:left="1720" w:right="1739"/>
        <w:spacing w:after="0" w:line="277" w:lineRule="auto"/>
        <w:rPr>
          <w:sz w:val="20"/>
          <w:szCs w:val="20"/>
          <w:color w:val="auto"/>
        </w:rPr>
      </w:pPr>
      <w:r>
        <w:rPr>
          <w:rFonts w:ascii="Times New Roman" w:cs="Times New Roman" w:eastAsia="Times New Roman" w:hAnsi="Times New Roman"/>
          <w:sz w:val="12"/>
          <w:szCs w:val="12"/>
          <w:color w:val="auto"/>
        </w:rPr>
        <w:t>In general, under Rule 144, as currently in effect, our affiliates or persons selling shares on behalf of our affiliates are entitled to sell shares on expiration of the lock-up agreements described below. Beginning 90 days after the date of this prospectus, within any three-month period, such stockholders may sell a number of shares that does not exceed the greater of:</w:t>
      </w:r>
    </w:p>
    <w:p>
      <w:pPr>
        <w:spacing w:after="0" w:line="50" w:lineRule="exact"/>
        <w:rPr>
          <w:sz w:val="20"/>
          <w:szCs w:val="20"/>
          <w:color w:val="auto"/>
        </w:rPr>
      </w:pPr>
    </w:p>
    <w:p>
      <w:pPr>
        <w:jc w:val="both"/>
        <w:ind w:left="2080" w:right="1739" w:hanging="116"/>
        <w:spacing w:after="0" w:line="272" w:lineRule="auto"/>
        <w:tabs>
          <w:tab w:leader="none" w:pos="208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 of the number of shares of common stock and non-voting common stock then outstanding, which will equal approximately shares immediately after this offering, assuming no exercise of the underwriters’ over-allotment option; or</w:t>
      </w:r>
    </w:p>
    <w:p>
      <w:pPr>
        <w:spacing w:after="0" w:line="4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average weekly trading volume of our common stock on The Nasdaq Global Market during the four calendar weeks preceding the filing of a notice on Form 144 with respect to such sale.</w:t>
      </w:r>
    </w:p>
    <w:p>
      <w:pPr>
        <w:spacing w:after="0" w:line="59" w:lineRule="exact"/>
        <w:rPr>
          <w:sz w:val="20"/>
          <w:szCs w:val="20"/>
          <w:color w:val="auto"/>
        </w:rPr>
      </w:pPr>
    </w:p>
    <w:p>
      <w:pPr>
        <w:jc w:val="both"/>
        <w:ind w:left="1720" w:right="1739"/>
        <w:spacing w:after="0" w:line="283" w:lineRule="auto"/>
        <w:rPr>
          <w:sz w:val="20"/>
          <w:szCs w:val="20"/>
          <w:color w:val="auto"/>
        </w:rPr>
      </w:pPr>
      <w:r>
        <w:rPr>
          <w:rFonts w:ascii="Times New Roman" w:cs="Times New Roman" w:eastAsia="Times New Roman" w:hAnsi="Times New Roman"/>
          <w:sz w:val="12"/>
          <w:szCs w:val="12"/>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92" w:name="page193"/>
    <w:bookmarkEnd w:id="19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Rule 701</w:t>
      </w:r>
    </w:p>
    <w:p>
      <w:pPr>
        <w:spacing w:after="0" w:line="111"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Rule 701 of the Securities Act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1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Form S-8 Registration Statements</w:t>
      </w:r>
    </w:p>
    <w:p>
      <w:pPr>
        <w:spacing w:after="0" w:line="111" w:lineRule="exact"/>
        <w:rPr>
          <w:sz w:val="20"/>
          <w:szCs w:val="20"/>
          <w:color w:val="auto"/>
        </w:rPr>
      </w:pPr>
    </w:p>
    <w:p>
      <w:pPr>
        <w:jc w:val="both"/>
        <w:ind w:left="1720" w:right="1739"/>
        <w:spacing w:after="0" w:line="261" w:lineRule="auto"/>
        <w:rPr>
          <w:sz w:val="20"/>
          <w:szCs w:val="20"/>
          <w:color w:val="auto"/>
        </w:rPr>
      </w:pPr>
      <w:r>
        <w:rPr>
          <w:rFonts w:ascii="Times New Roman" w:cs="Times New Roman" w:eastAsia="Times New Roman" w:hAnsi="Times New Roman"/>
          <w:sz w:val="12"/>
          <w:szCs w:val="12"/>
          <w:color w:val="auto"/>
        </w:rPr>
        <w:t>We intend to file one or more registration statements on Form S-8 under the Securities Act with the SEC to register the offer and sale of shares of our common stock that are issuable upon exercise of outstanding stock options under the 2021 Plan and 2024 POP and shares of our common stock reserved for future issuance under the 2024 Plan and ESPP. These registration statements will become effective immediately on filing. Shares covered by these registration statements will then be eligible for sale in the public markets, subject to vesting restrictions, any agreements described below, and Rule 144 limitations applicable to affiliates.</w:t>
      </w:r>
    </w:p>
    <w:p>
      <w:pPr>
        <w:spacing w:after="0" w:line="27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Lock-Up Arrangements</w:t>
      </w:r>
    </w:p>
    <w:p>
      <w:pPr>
        <w:spacing w:after="0" w:line="102"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We, and all of our directors, executive officers and the holders of substantially all of our common stock and securities exercisable for or convertible into our common stock outstanding, have agreed with the underwriters that, until 180 days after the date of the underwriting agreement related to this offering, we and they will not, without the prior written consent of Morgan Stanley &amp; Co, LLC, with respect to all of our directors, executive officers and security holders, and of Morgan Stanley &amp; Co. LLC and Leerink Partners LLC, with respect to us, subject to certain exceptions, directly or indirectly, offer, pledge, sell, contract to sell, sell any option or contract to purchase, purchase any option or contract to sell, grant any option, right or warrant to purchase, lend or otherwise transfer or dispose of any of our shares of common stock, or any securities convertible into or exercisable or exchangeable for shares of our common stock (including shares of our non-voting common stock), or enter into any hedging, swap or any other agreement or any transaction that transfers, in whole or in part, directly or indirectly, the economic consequence of ownership of the securities, whether any such swap or transaction is to be settled by delivery of our common stock or other securities, in cash or otherwise. These agreements are described in the section titled “Underwriting.” Morgan Stanley &amp; Co. LLC, with respect to our directors, executive officers and security holders, and Morgan Stanley &amp; Co. LLC and Leerink Partners LLC, with respect to us, may, in their sole discretion, release any of the securities subject to these lock-up agreements at any time.</w:t>
      </w:r>
    </w:p>
    <w:p>
      <w:pPr>
        <w:spacing w:after="0" w:line="229"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In addition to the restrictions contained in the lock-up agreements described above, we have entered into agreements with certain of our security holders, including the amended and restated investors’ rights agreement and our standard forms of option agreement, that contain market stand-off provisions or incorporate market stand-off provisions from our equity incentive plan imposing restrictions on the ability of such security holders to offer, sell or transfer our equity securities for a period of 180 days following the date of this prospectus.</w:t>
      </w:r>
    </w:p>
    <w:p>
      <w:pPr>
        <w:spacing w:after="0" w:line="26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Registration Rights</w:t>
      </w:r>
    </w:p>
    <w:p>
      <w:pPr>
        <w:spacing w:after="0" w:line="111"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Upon the closing of this offering, pursuant to our amended and restated investors’ rights agreement, the holders of 36,318,638 shares of our common stock, or their transferees, will be entitled to certain rights with respect to the registration of the offer and sale of their shares (including shares of common stock issuable upon conversion of our non-voting common stock) under the Securities Act, subject to the terms of the lock-up agreements described under the subsection titled “—Lock-Up Arrangements” above. Registration of these shares under the Securities Act would result in the shares becoming freely tradable without restriction under the Securities Act immediately on the effectiveness of the registration. Any sales of securities by these stockholders could have a material adverse effect on the trading price of our common stock. See the section titled “Description of Capital Stock—Registration Rights” for additional information.</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93" w:name="page194"/>
    <w:bookmarkEnd w:id="193"/>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CERTAIN MATERIAL U.S. FEDERAL INCOME TAX CONSEQUENCES TO NON-U.S. HOLDERS</w:t>
      </w:r>
    </w:p>
    <w:p>
      <w:pPr>
        <w:spacing w:after="0" w:line="111"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The following is a summary of material U.S. federal income tax consequences to non-U.S. holders (as defined below) of the purchase, ownership and disposition of our common stock offered pursuant to this prospectus. This discussion is not a complete analysis of all potential U.S. federal income tax consequences relating thereto, does not address the potential application of the Medicare contribution tax on net investment income, the alternative minimum tax, or the special tax accounting rules under Section 451(b) of the Internal Revenue Code of 1986, as amended (the Code), and does not address any U.S. federal non-income tax consequences such as estate or gift tax consequences or any tax consequences arising under any state, local, or non-U.S. tax laws. This discussion is based on the Code and applicable Treasury Regulations promulgated thereunder, judicial decisions and published rulings, and administrative pronouncements of the Internal Revenue Service, or the IRS, all as in effect as of the date hereof. These authorities are subject to differing interpretations and may change, possibly retroactively, resulting in U.S. federal income tax consequences different from those discussed below. We have not requested, and do not intend to request, a ruling from the IRS with respect to the U.S. federal income tax consequences discussed below, and there can be no assurance that the IRS or a court will agree with such tax consequences.</w:t>
      </w:r>
    </w:p>
    <w:p>
      <w:pPr>
        <w:spacing w:after="0" w:line="231"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U.S. federal income tax consequences that may be relevant to a particular non-U.S. holder in light of such non-U.S. holder’s particular circumstances. Finally, this discussion does not address any specific facts or circumstances that may be relevant to non-U.S. holders subject to special rules under U.S. federal income tax laws, including:</w:t>
      </w:r>
    </w:p>
    <w:p>
      <w:pPr>
        <w:spacing w:after="0" w:line="49" w:lineRule="exact"/>
        <w:rPr>
          <w:sz w:val="20"/>
          <w:szCs w:val="20"/>
          <w:color w:val="auto"/>
        </w:rPr>
      </w:pPr>
    </w:p>
    <w:p>
      <w:pPr>
        <w:ind w:left="2080" w:hanging="116"/>
        <w:spacing w:after="0"/>
        <w:tabs>
          <w:tab w:leader="none" w:pos="20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former citizens or long-term residents of the United States;</w:t>
      </w:r>
    </w:p>
    <w:p>
      <w:pPr>
        <w:spacing w:after="0" w:line="81"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partnerships, S corporations, or other entities or arrangements treated as partnerships, pass-through entities, or disregarded entities (including hybrid entities) for U.S. federal income tax purposes (and investors therein);</w:t>
      </w:r>
    </w:p>
    <w:p>
      <w:pPr>
        <w:spacing w:after="0" w:line="43"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“controlled foreign corporations” within the meaning of Section 957(a) of the Code;</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“passive foreign investment companies” within the meaning of Section 1297(a) of the Code;</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corporations that accumulate earnings to avoid U.S. federal income tax;</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banks, financial institutions, investment companies, insurance companies, brokers, dealers or traders in securities;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real estate investment trusts or regulated investment companies;</w:t>
      </w:r>
    </w:p>
    <w:p>
      <w:pPr>
        <w:spacing w:after="0" w:line="8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persons that have elected to mark securities to market;</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tax-exempt organizations (including private foundations), governmental organizations, or international organizations;</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tax-qualified retirement plans;</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persons that acquired our common stock through the exercise of employee stock options or otherwise as compensation;</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persons that acquired our common stock through the exercise of warrants or conversion rights under convertible instruments;</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persons that hold our common stock as “qualified small business stock” under Section 1202 of the Code or “Section 1244 stock” under Section 1244 of the Code;</w:t>
      </w:r>
    </w:p>
    <w:p>
      <w:pPr>
        <w:spacing w:after="0" w:line="3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persons that acquired our common stock in a transaction subject to the gain rollover provisions of the Code (including Section 1045 of the Code);</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persons that own, or have owned, actually or constructively, more than 5% of our common stock;</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“qualified foreign pension funds” within the meaning of Section 897(l)(2) of the Code and entities all of the interests of which are held by qualified foreign pension funds; and</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94" w:name="page195"/>
    <w:bookmarkEnd w:id="19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ind w:left="2080" w:right="1739" w:hanging="116"/>
        <w:spacing w:after="0" w:line="291" w:lineRule="auto"/>
        <w:tabs>
          <w:tab w:leader="none" w:pos="208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persons that hold our common stock as part of a hedging or conversion transaction, straddle, a constructive sale, or any other risk reduction strategy or integrated investment.</w:t>
      </w:r>
    </w:p>
    <w:p>
      <w:pPr>
        <w:spacing w:after="0" w:line="59"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If a partnership (or an entity or arrangement that is treated as a partnership for U.S. federal income tax purposes) holds our common stock, the U.S. federal income tax treatment of a partner in such partnership will generally depend on the status of the partner and the activities of the partnership. Partnerships that hold our common stock and the partners in such partnerships are urged to consult their tax advisors about the particular U.S. federal income tax consequences to them of holding and disposing of our common stock.</w:t>
      </w:r>
    </w:p>
    <w:p>
      <w:pPr>
        <w:spacing w:after="0" w:line="75" w:lineRule="exact"/>
        <w:rPr>
          <w:sz w:val="20"/>
          <w:szCs w:val="20"/>
          <w:color w:val="auto"/>
        </w:rPr>
      </w:pPr>
    </w:p>
    <w:p>
      <w:pPr>
        <w:jc w:val="both"/>
        <w:ind w:left="1720" w:right="1719"/>
        <w:spacing w:after="0" w:line="262" w:lineRule="auto"/>
        <w:rPr>
          <w:sz w:val="20"/>
          <w:szCs w:val="20"/>
          <w:color w:val="auto"/>
        </w:rPr>
      </w:pPr>
      <w:r>
        <w:rPr>
          <w:rFonts w:ascii="Times New Roman" w:cs="Times New Roman" w:eastAsia="Times New Roman" w:hAnsi="Times New Roman"/>
          <w:sz w:val="12"/>
          <w:szCs w:val="12"/>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NON-U.S. TAX LAWS AND ANY U.S. FEDERAL NON-INCOME TAX LAWS, OR UNDER ANY APPLICABLE INCOME TAX TREATY.</w:t>
      </w:r>
    </w:p>
    <w:p>
      <w:pPr>
        <w:spacing w:after="0" w:line="12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Definition of Non-U.S. Holder</w:t>
      </w:r>
    </w:p>
    <w:p>
      <w:pPr>
        <w:spacing w:after="0" w:line="102"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For purposes of this discussion, a non-U.S. holder is any beneficial owner of our common stock that is not a “United States person” or a partnership (including any entity or arrangement treated as a partnership) for U.S. federal income tax purposes. A U.S. person is any person that, for U.S. federal income tax purposes, is or is treated as any of the following:</w:t>
      </w:r>
    </w:p>
    <w:p>
      <w:pPr>
        <w:spacing w:after="0" w:line="57" w:lineRule="exact"/>
        <w:rPr>
          <w:sz w:val="20"/>
          <w:szCs w:val="20"/>
          <w:color w:val="auto"/>
        </w:rPr>
      </w:pPr>
    </w:p>
    <w:p>
      <w:pPr>
        <w:ind w:left="2080" w:hanging="116"/>
        <w:spacing w:after="0"/>
        <w:tabs>
          <w:tab w:leader="none" w:pos="20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individual who is a citizen or resident of the United States;</w:t>
      </w:r>
    </w:p>
    <w:p>
      <w:pPr>
        <w:spacing w:after="0" w:line="81"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corporation (or any entity treated as a corporation for U.S. federal income tax purposes) created or organized under the laws of the United States, any state thereof, or the District of Columbia;</w:t>
      </w:r>
    </w:p>
    <w:p>
      <w:pPr>
        <w:spacing w:after="0" w:line="31" w:lineRule="exact"/>
        <w:rPr>
          <w:rFonts w:ascii="Times New Roman" w:cs="Times New Roman" w:eastAsia="Times New Roman" w:hAnsi="Times New Roman"/>
          <w:sz w:val="12"/>
          <w:szCs w:val="12"/>
          <w:color w:val="auto"/>
        </w:rPr>
      </w:pPr>
    </w:p>
    <w:p>
      <w:pPr>
        <w:ind w:left="2080" w:hanging="116"/>
        <w:spacing w:after="0"/>
        <w:tabs>
          <w:tab w:leader="none" w:pos="20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estate, the income of which is subject to U.S. federal income tax regardless of its source; or</w:t>
      </w:r>
    </w:p>
    <w:p>
      <w:pPr>
        <w:spacing w:after="0" w:line="90" w:lineRule="exact"/>
        <w:rPr>
          <w:rFonts w:ascii="Times New Roman" w:cs="Times New Roman" w:eastAsia="Times New Roman" w:hAnsi="Times New Roman"/>
          <w:sz w:val="12"/>
          <w:szCs w:val="12"/>
          <w:color w:val="auto"/>
        </w:rPr>
      </w:pPr>
    </w:p>
    <w:p>
      <w:pPr>
        <w:jc w:val="both"/>
        <w:ind w:left="2080" w:right="1739" w:hanging="116"/>
        <w:spacing w:after="0" w:line="266" w:lineRule="auto"/>
        <w:tabs>
          <w:tab w:leader="none" w:pos="208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trust (1) whose administration is subject to the primary supervision of a U.S. court and which has one or more “United States persons” within the meaning of Section 7701(a)(30) of the Code who have the authority to control all substantial decisions of the trust or (2) that has a valid election in effect under applicable Treasury Regulations to be treated as a United States person.</w:t>
      </w:r>
    </w:p>
    <w:p>
      <w:pPr>
        <w:spacing w:after="0" w:line="1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Distributions on Our Common Stock</w:t>
      </w:r>
    </w:p>
    <w:p>
      <w:pPr>
        <w:spacing w:after="0" w:line="111"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As described in the section titled “Dividend Policy” above, we have not paid and do not anticipate declaring or paying dividends in the foreseeable future. However, if we make cash or other property distributions on our common stock, such distributions will constitute dividends for U.S. federal income tax purposes to the extent paid out of our current or accumulated earnings and profits, as determined under U.S. federal income tax principles. Any portion of a distribution that exceeds our current and accumulated earnings and profits will constitute a return of capital and first will be applied against and reduce the non-U.S. holder’s tax basis in our common stock, but not below zero. Any amount distributed in excess of tax basis will be treated as gain realized on the sale or other disposition of our common stock and, therefore, will be treated as described in the subsection titled “—Gain on Sale or Other Disposition of Our Common Stock” below.</w:t>
      </w:r>
    </w:p>
    <w:p>
      <w:pPr>
        <w:spacing w:after="0" w:line="70"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Subject to the discussions below regarding effectively connected income, backup withholding, and FATCA (as defined below), dividends paid to a non-U.S. holder generally will be subject to U.S. federal withholding tax at a rate of 30% (or such lower rate specified by an applicable income tax treaty) of the gross amount of the dividends. To receive the benefit of a lower treaty rate, a non-U.S. holder must furnish the applicable withholding agent with a valid IRS Form W-8BEN or IRS Form W-8BEN-E (or applicable successor form) certifying such non-U.S. holder’s qualification for such rate. This certification must be provided to the applicable withholding agent before the payment of dividends and updated periodically. If the non-U.S. holder holds our common stock through a financial institution or other agent acting on the non-U.S. holder’s behalf, the non-U.S. holder will be required to provide appropriate documentation to the financial institution or agent, which then will be required to provide certification to the applicable withholding agent, either directly or through other intermediaries.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95" w:name="page196"/>
    <w:bookmarkEnd w:id="195"/>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If a non-U.S. holder holds our common stock in connection with the conduct of a trade or business in the United States, and dividends paid on our common stock are effectively connected with such non-U.S. holder’s U.S. trade or business (and are attributable to such non-U.S. holder’s permanent establishment in the United States, if required by an applicable tax treaty), the non-U.S. holder generally will be exempt from U.S. federal withholding tax. To claim the exemption, the non-U.S. holder must generally furnish a valid IRS Form W-8ECI (or applicable successor form) to the applicable withholding agent.</w:t>
      </w:r>
    </w:p>
    <w:p>
      <w:pPr>
        <w:spacing w:after="0" w:line="74" w:lineRule="exact"/>
        <w:rPr>
          <w:sz w:val="20"/>
          <w:szCs w:val="20"/>
          <w:color w:val="auto"/>
        </w:rPr>
      </w:pPr>
    </w:p>
    <w:p>
      <w:pPr>
        <w:jc w:val="both"/>
        <w:ind w:left="1720" w:right="1739"/>
        <w:spacing w:after="0" w:line="253" w:lineRule="auto"/>
        <w:rPr>
          <w:sz w:val="20"/>
          <w:szCs w:val="20"/>
          <w:color w:val="auto"/>
        </w:rPr>
      </w:pPr>
      <w:r>
        <w:rPr>
          <w:rFonts w:ascii="Times New Roman" w:cs="Times New Roman" w:eastAsia="Times New Roman" w:hAnsi="Times New Roman"/>
          <w:sz w:val="12"/>
          <w:szCs w:val="12"/>
          <w:color w:val="auto"/>
        </w:rPr>
        <w:t>However, any such effectively connected dividends paid on our common stock generally will be subject to U.S. federal income tax on a net income basis at regular U.S. federal income tax rates in the same manner as if the non-U.S.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216"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Non-U.S. holders that do not provide the required certification on a timely basis, but that qualify for a reduced treaty rate, may obtain a refund of any excess amounts withheld by timely filing an appropriate claim for refund with the IRS. Non-U.S. holders are urged to consult their tax advisors about any applicable income tax treaties that may provide for different rules.</w:t>
      </w:r>
    </w:p>
    <w:p>
      <w:pPr>
        <w:spacing w:after="0" w:line="11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Gain on Sale or Other Disposition of Our Common Stock</w:t>
      </w:r>
    </w:p>
    <w:p>
      <w:pPr>
        <w:spacing w:after="0" w:line="111"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42" w:lineRule="exact"/>
        <w:rPr>
          <w:sz w:val="20"/>
          <w:szCs w:val="20"/>
          <w:color w:val="auto"/>
        </w:rPr>
      </w:pPr>
    </w:p>
    <w:p>
      <w:pPr>
        <w:jc w:val="both"/>
        <w:ind w:left="2080" w:right="1739" w:hanging="116"/>
        <w:spacing w:after="0" w:line="270" w:lineRule="auto"/>
        <w:tabs>
          <w:tab w:leader="none" w:pos="208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gain is effectively connected with the non-U.S. holder’s conduct of a trade or business in the United States and, if required by an applicable income tax treaty, is attributable to the non-U.S. holder’s permanent establishment or fixed base maintained by the non-U.S. holder in the United States;</w:t>
      </w:r>
    </w:p>
    <w:p>
      <w:pPr>
        <w:spacing w:after="0" w:line="193" w:lineRule="exact"/>
        <w:rPr>
          <w:rFonts w:ascii="Times New Roman" w:cs="Times New Roman" w:eastAsia="Times New Roman" w:hAnsi="Times New Roman"/>
          <w:sz w:val="12"/>
          <w:szCs w:val="12"/>
          <w:color w:val="auto"/>
        </w:rPr>
      </w:pPr>
    </w:p>
    <w:p>
      <w:pPr>
        <w:jc w:val="both"/>
        <w:ind w:left="2080" w:right="1739" w:hanging="116"/>
        <w:spacing w:after="0" w:line="283" w:lineRule="auto"/>
        <w:tabs>
          <w:tab w:leader="none" w:pos="208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non-U.S. holder is a nonresident alien individual present in the United States for 183 days or more during the taxable year of the sale or other disposition, and certain other requirements are met; or</w:t>
      </w:r>
    </w:p>
    <w:p>
      <w:pPr>
        <w:spacing w:after="0" w:line="187" w:lineRule="exact"/>
        <w:rPr>
          <w:rFonts w:ascii="Times New Roman" w:cs="Times New Roman" w:eastAsia="Times New Roman" w:hAnsi="Times New Roman"/>
          <w:sz w:val="12"/>
          <w:szCs w:val="12"/>
          <w:color w:val="auto"/>
        </w:rPr>
      </w:pPr>
    </w:p>
    <w:p>
      <w:pPr>
        <w:jc w:val="both"/>
        <w:ind w:left="2080" w:right="1739" w:hanging="116"/>
        <w:spacing w:after="0" w:line="263" w:lineRule="auto"/>
        <w:tabs>
          <w:tab w:leader="none" w:pos="208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sale or other disposition or the non-U.S. holder’s holding period for our common stock, and our common stock is not regularly traded on an established securities market as defined by applicable Treasury Regulations.</w:t>
      </w:r>
    </w:p>
    <w:p>
      <w:pPr>
        <w:spacing w:after="0" w:line="77"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Determining whether we are a USRPHC depends on the fair market value of our U.S. real property interests relative to the fair market value of our other trade or business assets and our foreign real property interests. We do not believe that we are, or have been, and do not anticipate becoming, a USRPHC for U.S. federal income tax purposes, although there can be no assurance that we will not in the future become a USRPHC. Even if we are or were to become a USRPHC, gain arising from the sale or other disposition by a non-U.S. holder of our common stock may not be subject to U.S. federal income tax if our common stock is “regularly traded,” as defined by applicable Treasury Regulations, on an established securities market.</w:t>
      </w:r>
    </w:p>
    <w:p>
      <w:pPr>
        <w:spacing w:after="0" w:line="75"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Gain described in the first bullet point above generally will be subject to U.S. federal income tax on a net income basis at regular U.S. federal income tax rates in the same manner as if the non-U.S.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A non-U.S. holder described in the second bullet point above will be subject to U.S. federal income tax at a flat 30% rate (or such lower rate specified by an applicable income tax treaty) on gain realized upon the sale or other taxable disposition of our common stock which may be offset by certain U.S.-source capital losses (even though the individual is not considered a resident of the United States), provided that the non-U.S. holder has timely filed U.S. federal income tax returns with respect to such losses. If we are or become a USRPHC during the period described in the third bullet point above and our common stock is not regularly traded for purposes of the relevant rules, gain arising from the sale or other taxable disposition of our common stock by a non-U.S. holder will generally be subject to U.S. federal income tax in the same manner as gain that is effectively</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96" w:name="page197"/>
    <w:bookmarkEnd w:id="19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connected with the conduct of a U.S. trade or business, except that the branch profits tax generally will not apply to a corporate non-U.S. holder. Non-U.S. holders are urged to consult their tax advisors about any applicable income tax treaties that may provide for different rules.</w:t>
      </w:r>
    </w:p>
    <w:p>
      <w:pPr>
        <w:spacing w:after="0" w:line="1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Information Reporting and Backup Withholding</w:t>
      </w:r>
    </w:p>
    <w:p>
      <w:pPr>
        <w:spacing w:after="0" w:line="111"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Annual reports are required to be filed with the IRS and provided to each non-U.S. holder indicating the amount of distributions on our common stock paid to such non-U.S. holder and the amount of any tax withheld with respect to those distributions. These information reporting requirements apply even if no withholding was required (because the distributions were effectively connected with the non-U.S. holder’s conduct of a U.S. trade or business, or withholding was reduced or eliminated by an applicable income tax treaty) and regardless of whether such distributions constitute dividends.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sale or other disposition of our common stock provided that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non-U.S. holder is a United States person who is not an exempt recipient.</w:t>
      </w:r>
    </w:p>
    <w:p>
      <w:pPr>
        <w:spacing w:after="0" w:line="85"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Backup withholding is not an additional tax. If any amount is withheld under the backup withholding rules, non-U.S. holders are urged to consult their tax advisors about the possibility of and procedure for obtaining a refund or a credit against the non-U.S. holder’s U.S. federal income tax liability, if any.</w:t>
      </w:r>
    </w:p>
    <w:p>
      <w:pPr>
        <w:spacing w:after="0" w:line="1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Foreign Account Tax Compliance Act</w:t>
      </w:r>
    </w:p>
    <w:p>
      <w:pPr>
        <w:spacing w:after="0" w:line="102"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Sections 1471 through 1474 of the Code (commonly referred to as FATCA), imposes a U.S. federal withholding tax of 30% on certain payments made to a “foreign financial institution” (as​ specially defined under the FATCA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non-U.S. country may modify these requirements. Under certain circumstances, a non-U.S. holder might be eligible for refunds or credits of such taxes. FATCA currently applies to dividends paid on our common stock and, subject to the proposed Treasury Regulations described below, also applies to payments of gross proceeds from sales or other dispositions of our common stock. The U.S. Treasury Department released proposed Treasury Regulations which, if finalized in their present form, would eliminate the U.S. federal withholding tax of 30% applicable to the gross proceeds of a sale or other disposition of our common stock. In its preamble to such proposed Treasury Regulations, the U.S. Treasury Department stated that taxpayers may generally rely on the proposed Treasury Regulations until final regulations are issued.</w:t>
      </w:r>
    </w:p>
    <w:p>
      <w:pPr>
        <w:spacing w:after="0" w:line="226"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Prospective investors are urged to consult with their tax advisors about the possible implications of FATCA on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97" w:name="page198"/>
    <w:bookmarkEnd w:id="197"/>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UNDERWRITING</w:t>
      </w:r>
    </w:p>
    <w:p>
      <w:pPr>
        <w:spacing w:after="0" w:line="102"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Under the terms and subject to the conditions in an underwriting agreement dated the date of this prospectus, the underwriters named below, for whom Morgan Stanley &amp; Co. LLC, Leerink Partners LLC, Cantor Fitzgerald &amp; Co. and Guggenheim Securities, LLC are acting as representatives, have severally agreed to purchase, and we have agreed to sell to them, severally, the number of shares indicated below:</w:t>
      </w:r>
    </w:p>
    <w:p>
      <w:pPr>
        <w:spacing w:after="0" w:line="76"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560" w:type="dxa"/>
            <w:vAlign w:val="bottom"/>
            <w:gridSpan w:val="2"/>
          </w:tcPr>
          <w:p>
            <w:pPr>
              <w:jc w:val="right"/>
              <w:ind w:right="59"/>
              <w:spacing w:after="0"/>
              <w:rPr>
                <w:sz w:val="20"/>
                <w:szCs w:val="20"/>
                <w:color w:val="auto"/>
              </w:rPr>
            </w:pPr>
            <w:r>
              <w:rPr>
                <w:rFonts w:ascii="Times New Roman" w:cs="Times New Roman" w:eastAsia="Times New Roman" w:hAnsi="Times New Roman"/>
                <w:sz w:val="10"/>
                <w:szCs w:val="10"/>
                <w:b w:val="1"/>
                <w:bCs w:val="1"/>
                <w:color w:val="auto"/>
                <w:w w:val="90"/>
              </w:rPr>
              <w:t>Number of</w:t>
            </w:r>
          </w:p>
        </w:tc>
      </w:tr>
      <w:tr>
        <w:trPr>
          <w:trHeight w:val="126"/>
        </w:trPr>
        <w:tc>
          <w:tcPr>
            <w:tcW w:w="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87"/>
              </w:rPr>
              <w:t>Name</w:t>
            </w:r>
          </w:p>
        </w:tc>
        <w:tc>
          <w:tcPr>
            <w:tcW w:w="2920" w:type="dxa"/>
            <w:vAlign w:val="bottom"/>
          </w:tcPr>
          <w:p>
            <w:pPr>
              <w:spacing w:after="0"/>
              <w:rPr>
                <w:sz w:val="10"/>
                <w:szCs w:val="10"/>
                <w:color w:val="auto"/>
              </w:rPr>
            </w:pPr>
          </w:p>
        </w:tc>
        <w:tc>
          <w:tcPr>
            <w:tcW w:w="1880" w:type="dxa"/>
            <w:vAlign w:val="bottom"/>
          </w:tcPr>
          <w:p>
            <w:pPr>
              <w:ind w:left="1680"/>
              <w:spacing w:after="0"/>
              <w:rPr>
                <w:sz w:val="20"/>
                <w:szCs w:val="20"/>
                <w:color w:val="auto"/>
              </w:rPr>
            </w:pPr>
            <w:r>
              <w:rPr>
                <w:rFonts w:ascii="Times New Roman" w:cs="Times New Roman" w:eastAsia="Times New Roman" w:hAnsi="Times New Roman"/>
                <w:sz w:val="10"/>
                <w:szCs w:val="10"/>
                <w:b w:val="1"/>
                <w:bCs w:val="1"/>
                <w:color w:val="auto"/>
              </w:rPr>
              <w:t>​ ​</w:t>
            </w:r>
          </w:p>
        </w:tc>
        <w:tc>
          <w:tcPr>
            <w:tcW w:w="560" w:type="dxa"/>
            <w:vAlign w:val="bottom"/>
            <w:gridSpan w:val="2"/>
          </w:tcPr>
          <w:p>
            <w:pPr>
              <w:jc w:val="right"/>
              <w:spacing w:after="0" w:line="127" w:lineRule="exact"/>
              <w:rPr>
                <w:sz w:val="20"/>
                <w:szCs w:val="20"/>
                <w:color w:val="auto"/>
              </w:rPr>
            </w:pPr>
            <w:r>
              <w:rPr>
                <w:rFonts w:ascii="Times New Roman" w:cs="Times New Roman" w:eastAsia="Times New Roman" w:hAnsi="Times New Roman"/>
                <w:sz w:val="8"/>
                <w:szCs w:val="8"/>
                <w:b w:val="1"/>
                <w:bCs w:val="1"/>
                <w:color w:val="auto"/>
              </w:rPr>
              <w:t xml:space="preserve">Shares   </w:t>
            </w:r>
            <w:r>
              <w:rPr>
                <w:rFonts w:ascii="Times New Roman" w:cs="Times New Roman" w:eastAsia="Times New Roman" w:hAnsi="Times New Roman"/>
                <w:sz w:val="14"/>
                <w:szCs w:val="14"/>
                <w:b w:val="1"/>
                <w:bCs w:val="1"/>
                <w:color w:val="auto"/>
                <w:vertAlign w:val="subscript"/>
              </w:rPr>
              <w:t>​</w:t>
            </w:r>
          </w:p>
        </w:tc>
      </w:tr>
      <w:tr>
        <w:trPr>
          <w:trHeight w:val="20"/>
        </w:trPr>
        <w:tc>
          <w:tcPr>
            <w:tcW w:w="24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Morgan Stanley &amp; Co. LLC</w:t>
            </w:r>
          </w:p>
        </w:tc>
        <w:tc>
          <w:tcPr>
            <w:tcW w:w="1880" w:type="dxa"/>
            <w:vAlign w:val="bottom"/>
            <w:tcBorders>
              <w:right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xml:space="preserve">           </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Leerink Partners LLC</w:t>
            </w:r>
          </w:p>
        </w:tc>
        <w:tc>
          <w:tcPr>
            <w:tcW w:w="1880" w:type="dxa"/>
            <w:vAlign w:val="bottom"/>
          </w:tcPr>
          <w:p>
            <w:pPr>
              <w:ind w:left="1720"/>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p>
        </w:tc>
        <w:tc>
          <w:tcPr>
            <w:tcW w:w="52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Cantor Fitzgerald &amp; Co.</w:t>
            </w:r>
          </w:p>
        </w:tc>
        <w:tc>
          <w:tcPr>
            <w:tcW w:w="1880" w:type="dxa"/>
            <w:vAlign w:val="bottom"/>
            <w:tcBorders>
              <w:right w:val="single" w:sz="8" w:color="CCEEFF"/>
            </w:tcBorders>
            <w:shd w:val="clear" w:color="auto" w:fill="CCEEFF"/>
          </w:tcPr>
          <w:p>
            <w:pPr>
              <w:ind w:left="1720"/>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p>
        </w:tc>
        <w:tc>
          <w:tcPr>
            <w:tcW w:w="520" w:type="dxa"/>
            <w:vAlign w:val="bottom"/>
            <w:shd w:val="clear" w:color="auto" w:fill="CCEEFF"/>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3"/>
        </w:trPr>
        <w:tc>
          <w:tcPr>
            <w:tcW w:w="3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Guggenheim Securities, LLC</w:t>
            </w:r>
          </w:p>
        </w:tc>
        <w:tc>
          <w:tcPr>
            <w:tcW w:w="1880" w:type="dxa"/>
            <w:vAlign w:val="bottom"/>
          </w:tcPr>
          <w:p>
            <w:pPr>
              <w:ind w:left="1720"/>
              <w:spacing w:after="0" w:line="184"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52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24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8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2400" w:type="dxa"/>
            <w:vAlign w:val="bottom"/>
            <w:gridSpan w:val="2"/>
            <w:shd w:val="clear" w:color="auto" w:fill="CCEEFF"/>
          </w:tcPr>
          <w:p>
            <w:pPr>
              <w:ind w:left="1720"/>
              <w:spacing w:after="0" w:line="164" w:lineRule="exact"/>
              <w:rPr>
                <w:sz w:val="20"/>
                <w:szCs w:val="20"/>
                <w:color w:val="auto"/>
              </w:rPr>
            </w:pP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0"/>
                <w:szCs w:val="10"/>
                <w:color w:val="auto"/>
              </w:rPr>
              <w:t>​17,650,000</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37"/>
        </w:trPr>
        <w:tc>
          <w:tcPr>
            <w:tcW w:w="24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880" w:type="dxa"/>
            <w:vAlign w:val="bottom"/>
            <w:tcBorders>
              <w:right w:val="single" w:sz="8" w:color="auto"/>
            </w:tcBorders>
            <w:shd w:val="clear" w:color="auto" w:fill="CCEEFF"/>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-144780</wp:posOffset>
            </wp:positionV>
            <wp:extent cx="317500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175000" cy="5715"/>
                    </a:xfrm>
                    <a:prstGeom prst="rect">
                      <a:avLst/>
                    </a:prstGeom>
                    <a:noFill/>
                  </pic:spPr>
                </pic:pic>
              </a:graphicData>
            </a:graphic>
          </wp:anchor>
        </w:drawing>
      </w:r>
    </w:p>
    <w:p>
      <w:pPr>
        <w:spacing w:after="0" w:line="114"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The underwriters and the representative are collectively referred to as the “underwriters” and the “representative,”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59"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color w:val="auto"/>
        </w:rPr>
        <w:t>The underwriters initially propose to offer part of the shares of common stock directly to the public at the offering price listed on the cover page of 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 In addition, we have requested that the underwriters make issuer directed allocations in the aggregate of                 shares of our common stock to certain investors.</w:t>
      </w:r>
    </w:p>
    <w:p>
      <w:pPr>
        <w:spacing w:after="0" w:line="58"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We have granted to the underwriters an option, exercisable for 30 days from the date of this prospectus, to purchase up to 2,647,500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219"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2,647,500 shares of common stock.</w:t>
      </w:r>
    </w:p>
    <w:p>
      <w:pPr>
        <w:sectPr>
          <w:pgSz w:w="11900" w:h="16838" w:orient="portrait"/>
          <w:cols w:equalWidth="0" w:num="1">
            <w:col w:w="9019"/>
          </w:cols>
          <w:pgMar w:left="1440" w:top="106" w:right="1440" w:bottom="1440" w:gutter="0" w:footer="0" w:header="0"/>
        </w:sectPr>
      </w:pPr>
    </w:p>
    <w:p>
      <w:pPr>
        <w:spacing w:after="0" w:line="9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16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6985</wp:posOffset>
            </wp:positionV>
            <wp:extent cx="3535680" cy="1162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Public offering price</w:t>
      </w:r>
    </w:p>
    <w:p>
      <w:pPr>
        <w:spacing w:after="0" w:line="36" w:lineRule="exact"/>
        <w:rPr>
          <w:sz w:val="20"/>
          <w:szCs w:val="20"/>
          <w:color w:val="auto"/>
        </w:rPr>
      </w:pPr>
    </w:p>
    <w:p>
      <w:pPr>
        <w:ind w:left="1720" w:right="200"/>
        <w:spacing w:after="0" w:line="338" w:lineRule="auto"/>
        <w:rPr>
          <w:sz w:val="20"/>
          <w:szCs w:val="20"/>
          <w:color w:val="auto"/>
        </w:rPr>
      </w:pPr>
      <w:r>
        <w:rPr>
          <w:rFonts w:ascii="Times New Roman" w:cs="Times New Roman" w:eastAsia="Times New Roman" w:hAnsi="Times New Roman"/>
          <w:sz w:val="12"/>
          <w:szCs w:val="12"/>
          <w:color w:val="auto"/>
        </w:rPr>
        <w:t>Underwriting discounts and commissions to be paid by us Proceeds, before expenses,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-144780</wp:posOffset>
            </wp:positionV>
            <wp:extent cx="3535680" cy="1104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535680" cy="1104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3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Total</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10"/>
        </w:trPr>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ind w:left="40"/>
              <w:spacing w:after="0" w:line="110" w:lineRule="exact"/>
              <w:rPr>
                <w:sz w:val="20"/>
                <w:szCs w:val="20"/>
                <w:color w:val="auto"/>
              </w:rPr>
            </w:pPr>
            <w:r>
              <w:rPr>
                <w:rFonts w:ascii="Times New Roman" w:cs="Times New Roman" w:eastAsia="Times New Roman" w:hAnsi="Times New Roman"/>
                <w:sz w:val="10"/>
                <w:szCs w:val="10"/>
                <w:b w:val="1"/>
                <w:bCs w:val="1"/>
                <w:color w:val="auto"/>
              </w:rPr>
              <w:t>Per</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Borders>
              <w:top w:val="single" w:sz="8" w:color="auto"/>
            </w:tcBorders>
          </w:tcPr>
          <w:p>
            <w:pPr>
              <w:ind w:left="140"/>
              <w:spacing w:after="0" w:line="110" w:lineRule="exact"/>
              <w:rPr>
                <w:sz w:val="20"/>
                <w:szCs w:val="20"/>
                <w:color w:val="auto"/>
              </w:rPr>
            </w:pPr>
            <w:r>
              <w:rPr>
                <w:rFonts w:ascii="Times New Roman" w:cs="Times New Roman" w:eastAsia="Times New Roman" w:hAnsi="Times New Roman"/>
                <w:sz w:val="10"/>
                <w:szCs w:val="10"/>
                <w:b w:val="1"/>
                <w:bCs w:val="1"/>
                <w:color w:val="auto"/>
              </w:rPr>
              <w:t>No</w:t>
            </w: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140"/>
              <w:spacing w:after="0" w:line="110" w:lineRule="exact"/>
              <w:rPr>
                <w:sz w:val="20"/>
                <w:szCs w:val="20"/>
                <w:color w:val="auto"/>
              </w:rPr>
            </w:pPr>
            <w:r>
              <w:rPr>
                <w:rFonts w:ascii="Times New Roman" w:cs="Times New Roman" w:eastAsia="Times New Roman" w:hAnsi="Times New Roman"/>
                <w:sz w:val="10"/>
                <w:szCs w:val="10"/>
                <w:b w:val="1"/>
                <w:bCs w:val="1"/>
                <w:color w:val="auto"/>
              </w:rPr>
              <w:t>Full</w:t>
            </w:r>
          </w:p>
        </w:tc>
        <w:tc>
          <w:tcPr>
            <w:tcW w:w="40" w:type="dxa"/>
            <w:vAlign w:val="bottom"/>
          </w:tcPr>
          <w:p>
            <w:pPr>
              <w:spacing w:after="0"/>
              <w:rPr>
                <w:sz w:val="9"/>
                <w:szCs w:val="9"/>
                <w:color w:val="auto"/>
              </w:rPr>
            </w:pPr>
          </w:p>
        </w:tc>
      </w:tr>
      <w:tr>
        <w:trPr>
          <w:trHeight w:val="145"/>
        </w:trPr>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Share</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8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 Exercise</w:t>
            </w:r>
          </w:p>
        </w:tc>
        <w:tc>
          <w:tcPr>
            <w:tcW w:w="58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Exercise</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2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5"/>
                <w:szCs w:val="15"/>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2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5"/>
                <w:szCs w:val="15"/>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77"/>
        </w:trPr>
        <w:tc>
          <w:tcPr>
            <w:tcW w:w="2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5"/>
                <w:szCs w:val="15"/>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bl>
    <w:p>
      <w:pPr>
        <w:spacing w:after="0" w:line="51" w:lineRule="exact"/>
        <w:rPr>
          <w:sz w:val="20"/>
          <w:szCs w:val="20"/>
          <w:color w:val="auto"/>
        </w:rPr>
      </w:pPr>
    </w:p>
    <w:p>
      <w:pPr>
        <w:sectPr>
          <w:pgSz w:w="11900" w:h="16838" w:orient="portrait"/>
          <w:cols w:equalWidth="0" w:num="2">
            <w:col w:w="4880" w:space="720"/>
            <w:col w:w="3419"/>
          </w:cols>
          <w:pgMar w:left="1440" w:top="106" w:right="1440" w:bottom="1440" w:gutter="0" w:footer="0" w:header="0"/>
          <w:type w:val="continuous"/>
        </w:sect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The estimated offering expenses payable by us, exclusive of the underwriting discounts and commissions, are approximately $5,000,000. We have agreed to reimburse the underwriters for certain of their expenses in an amount up to $40,000.</w:t>
      </w:r>
    </w:p>
    <w:p>
      <w:pPr>
        <w:spacing w:after="0" w:line="53"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The underwriters have informed us that they do not intend sales to discretionary accounts to exceed 5% of the total number of shares of common stock offered by them.</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198" w:name="page199"/>
    <w:bookmarkEnd w:id="19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We have applied to list our shares of common stock on the Nasdaq Global Market under the trading symbol “ALMS”.</w:t>
      </w:r>
    </w:p>
    <w:p>
      <w:pPr>
        <w:spacing w:after="0" w:line="32" w:lineRule="exact"/>
        <w:rPr>
          <w:sz w:val="20"/>
          <w:szCs w:val="20"/>
          <w:color w:val="auto"/>
        </w:rPr>
      </w:pPr>
    </w:p>
    <w:p>
      <w:pPr>
        <w:jc w:val="both"/>
        <w:ind w:left="1720" w:right="1739"/>
        <w:spacing w:after="0" w:line="255" w:lineRule="auto"/>
        <w:rPr>
          <w:sz w:val="20"/>
          <w:szCs w:val="20"/>
          <w:color w:val="auto"/>
        </w:rPr>
      </w:pPr>
      <w:r>
        <w:rPr>
          <w:rFonts w:ascii="Times New Roman" w:cs="Times New Roman" w:eastAsia="Times New Roman" w:hAnsi="Times New Roman"/>
          <w:sz w:val="12"/>
          <w:szCs w:val="12"/>
          <w:color w:val="auto"/>
        </w:rPr>
        <w:t>We and all directors and officers and the holders of all of our outstanding stock and stock options have agreed that, without the prior written consent of Morgan Stanley &amp; Co. LLC, with respect to our officers, directors and security holders, and of Morgan Stanley &amp; Co. LLC and Leerink Partners LLP, with respect to us, on behalf of the underwriters, we and they will not, and will not publicly disclose an intention to, during the period ending 180 days after the date of this prospectus (the “restricted period”):</w:t>
      </w:r>
    </w:p>
    <w:p>
      <w:pPr>
        <w:spacing w:after="0" w:line="45" w:lineRule="exact"/>
        <w:rPr>
          <w:sz w:val="20"/>
          <w:szCs w:val="20"/>
          <w:color w:val="auto"/>
        </w:rPr>
      </w:pPr>
    </w:p>
    <w:p>
      <w:pPr>
        <w:jc w:val="both"/>
        <w:ind w:left="2080" w:right="1739" w:hanging="116"/>
        <w:spacing w:after="0" w:line="266" w:lineRule="auto"/>
        <w:tabs>
          <w:tab w:leader="none" w:pos="208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38" w:lineRule="exact"/>
        <w:rPr>
          <w:rFonts w:ascii="Times New Roman" w:cs="Times New Roman" w:eastAsia="Times New Roman" w:hAnsi="Times New Roman"/>
          <w:sz w:val="12"/>
          <w:szCs w:val="12"/>
          <w:color w:val="auto"/>
        </w:rPr>
      </w:pPr>
    </w:p>
    <w:p>
      <w:pPr>
        <w:jc w:val="both"/>
        <w:ind w:left="2080" w:right="1739" w:hanging="116"/>
        <w:spacing w:after="0" w:line="272" w:lineRule="auto"/>
        <w:tabs>
          <w:tab w:leader="none" w:pos="208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 any registration statement with the Securities and Exchange Commission relating to the offering of any shares of common stock or any securities convertible into or exercisable or exchangeable for common stock; or</w:t>
      </w:r>
    </w:p>
    <w:p>
      <w:pPr>
        <w:spacing w:after="0" w:line="43" w:lineRule="exact"/>
        <w:rPr>
          <w:rFonts w:ascii="Times New Roman" w:cs="Times New Roman" w:eastAsia="Times New Roman" w:hAnsi="Times New Roman"/>
          <w:sz w:val="12"/>
          <w:szCs w:val="12"/>
          <w:color w:val="auto"/>
        </w:rPr>
      </w:pPr>
    </w:p>
    <w:p>
      <w:pPr>
        <w:ind w:left="2080" w:right="1739" w:hanging="116"/>
        <w:spacing w:after="0" w:line="291" w:lineRule="auto"/>
        <w:tabs>
          <w:tab w:leader="none" w:pos="208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swap or other arrangement that transfers to another, in whole or in part, any of the economic consequences of ownership of the common stock.</w:t>
      </w:r>
    </w:p>
    <w:p>
      <w:pPr>
        <w:spacing w:after="0" w:line="41"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whether any such transaction described above is to be settled by delivery of common stock or such other securities, in cash or otherwise. In addition, we and each such person agrees that, without the prior written consent of Morgan Stanley &amp; Co. LLC, with respect to our officers, directors and security holders, and of Morgan Stanley &amp; Co. LLC and Leerink Partners LLP, with respect to us,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20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With respect to us, the restrictions described in the immediately preceding paragraph do not apply to:</w:t>
      </w:r>
    </w:p>
    <w:p>
      <w:pPr>
        <w:spacing w:after="0" w:line="91" w:lineRule="exact"/>
        <w:rPr>
          <w:sz w:val="20"/>
          <w:szCs w:val="20"/>
          <w:color w:val="auto"/>
        </w:rPr>
      </w:pPr>
    </w:p>
    <w:p>
      <w:pPr>
        <w:ind w:left="2200" w:hanging="236"/>
        <w:spacing w:after="0"/>
        <w:tabs>
          <w:tab w:leader="none" w:pos="220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to be sold in this offering;</w:t>
      </w:r>
    </w:p>
    <w:p>
      <w:pPr>
        <w:spacing w:after="0" w:line="90" w:lineRule="exact"/>
        <w:rPr>
          <w:rFonts w:ascii="Times New Roman" w:cs="Times New Roman" w:eastAsia="Times New Roman" w:hAnsi="Times New Roman"/>
          <w:sz w:val="12"/>
          <w:szCs w:val="12"/>
          <w:color w:val="auto"/>
        </w:rPr>
      </w:pPr>
    </w:p>
    <w:p>
      <w:pPr>
        <w:ind w:left="2200" w:right="1739" w:hanging="236"/>
        <w:spacing w:after="0" w:line="291" w:lineRule="auto"/>
        <w:tabs>
          <w:tab w:leader="none" w:pos="220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issuance by us of shares of common stock upon the exercise of an option or warrant or the conversion of a security outstanding on the date of this prospectus as described herein;</w:t>
      </w:r>
    </w:p>
    <w:p>
      <w:pPr>
        <w:spacing w:after="0" w:line="40" w:lineRule="exact"/>
        <w:rPr>
          <w:rFonts w:ascii="Times New Roman" w:cs="Times New Roman" w:eastAsia="Times New Roman" w:hAnsi="Times New Roman"/>
          <w:sz w:val="12"/>
          <w:szCs w:val="12"/>
          <w:color w:val="auto"/>
        </w:rPr>
      </w:pPr>
    </w:p>
    <w:p>
      <w:pPr>
        <w:jc w:val="both"/>
        <w:ind w:left="2200" w:right="1739" w:hanging="236"/>
        <w:spacing w:after="0" w:line="266" w:lineRule="auto"/>
        <w:tabs>
          <w:tab w:leader="none" w:pos="220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grants of options, restricted stock or other compensatory equity awards and the issuance of shares of common stock in connection with the exercise, vesting and/or settlement of any of the foregoing to our employees, officers, directors, advisors or consultants pursuant to the terms of a plan in effect on the date of this prospectus and as described herein;</w:t>
      </w:r>
    </w:p>
    <w:p>
      <w:pPr>
        <w:spacing w:after="0" w:line="56" w:lineRule="exact"/>
        <w:rPr>
          <w:rFonts w:ascii="Times New Roman" w:cs="Times New Roman" w:eastAsia="Times New Roman" w:hAnsi="Times New Roman"/>
          <w:sz w:val="12"/>
          <w:szCs w:val="12"/>
          <w:color w:val="auto"/>
        </w:rPr>
      </w:pPr>
    </w:p>
    <w:p>
      <w:pPr>
        <w:jc w:val="both"/>
        <w:ind w:left="2200" w:right="1739" w:hanging="236"/>
        <w:spacing w:after="0" w:line="256" w:lineRule="auto"/>
        <w:tabs>
          <w:tab w:leader="none" w:pos="220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shares of common stock or any securities convertible into, or exercisable or exchangeable for, shares of common stock, or the entrance into an agreement to issue shares of common stock or any securities convertible into, or exercisable or exchangeable for, shares of common stock, in connection with any merger, joint venture, strategic alliances, commercial or other collaborative transaction or the acquisition or licenses of the business, property, technology or other assets of another individual or entity or the assumption of an employee benefit plan in connection with a merger or acquisition;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aggregate number of shares of common stock or any other securities convertible into, or exercisable or exchangeable for, shares of common stock that we may issue or agree to issue pursuant to this clause (d) shall not exceed 10% of our total outstanding share capital immediately following the issuance of the shares; and provided further, that the recipients of any such shares of common stock and securities issued pursuant to this clause</w:t>
      </w:r>
    </w:p>
    <w:p>
      <w:pPr>
        <w:spacing w:after="0" w:line="5" w:lineRule="exact"/>
        <w:rPr>
          <w:rFonts w:ascii="Times New Roman" w:cs="Times New Roman" w:eastAsia="Times New Roman" w:hAnsi="Times New Roman"/>
          <w:sz w:val="12"/>
          <w:szCs w:val="12"/>
          <w:color w:val="auto"/>
        </w:rPr>
      </w:pPr>
    </w:p>
    <w:p>
      <w:pPr>
        <w:ind w:left="22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 during the restricted period shall enter into a lock-up agreement;</w:t>
      </w:r>
    </w:p>
    <w:p>
      <w:pPr>
        <w:spacing w:after="0" w:line="87" w:lineRule="exact"/>
        <w:rPr>
          <w:rFonts w:ascii="Times New Roman" w:cs="Times New Roman" w:eastAsia="Times New Roman" w:hAnsi="Times New Roman"/>
          <w:sz w:val="12"/>
          <w:szCs w:val="12"/>
          <w:color w:val="auto"/>
        </w:rPr>
      </w:pPr>
    </w:p>
    <w:p>
      <w:pPr>
        <w:jc w:val="both"/>
        <w:ind w:left="2200" w:right="1739" w:hanging="236"/>
        <w:spacing w:after="0" w:line="260" w:lineRule="auto"/>
        <w:tabs>
          <w:tab w:leader="none" w:pos="220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facilitating the establishment of a trading plan on behalf of any of our shareholders, officers or directors pursuant to Rule 10b5-1 under the Exchange Act for the transfer of shares of common stock,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 such plan does not provide for the transfer of shares of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shares of common stock may be made under such plan during the restricted period; or</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99" w:name="page200"/>
    <w:bookmarkEnd w:id="19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2200" w:right="1739" w:hanging="236"/>
        <w:spacing w:after="0" w:line="270" w:lineRule="auto"/>
        <w:tabs>
          <w:tab w:leader="none" w:pos="2200"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filing of any registration statement on Form S-8 relating to securities (i) granted or to be granted pursuant to any plan in effect on the date hereof and described in this prospectus or (ii) otherwise eligible to be included on a registration statement on Form S-8 and described in this prospectus.</w:t>
      </w: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With respect to our directors, officers and securityholders, the restrictions described above do not apply to:</w:t>
      </w:r>
    </w:p>
    <w:p>
      <w:pPr>
        <w:spacing w:after="0" w:line="91" w:lineRule="exact"/>
        <w:rPr>
          <w:sz w:val="20"/>
          <w:szCs w:val="20"/>
          <w:color w:val="auto"/>
        </w:rPr>
      </w:pPr>
    </w:p>
    <w:p>
      <w:pPr>
        <w:ind w:left="2200" w:right="1739" w:hanging="236"/>
        <w:spacing w:after="0" w:line="291" w:lineRule="auto"/>
        <w:tabs>
          <w:tab w:leader="none" w:pos="2200"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relating to shares of common stock or other securities acquired in open market transactions after the completion of this offering;</w:t>
      </w:r>
    </w:p>
    <w:p>
      <w:pPr>
        <w:spacing w:after="0" w:line="40" w:lineRule="exact"/>
        <w:rPr>
          <w:rFonts w:ascii="Times New Roman" w:cs="Times New Roman" w:eastAsia="Times New Roman" w:hAnsi="Times New Roman"/>
          <w:sz w:val="12"/>
          <w:szCs w:val="12"/>
          <w:color w:val="auto"/>
        </w:rPr>
      </w:pPr>
    </w:p>
    <w:p>
      <w:pPr>
        <w:jc w:val="both"/>
        <w:ind w:left="2200" w:right="1739" w:hanging="236"/>
        <w:spacing w:after="0" w:line="265" w:lineRule="auto"/>
        <w:tabs>
          <w:tab w:leader="none" w:pos="2200"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of shares of common stock or any security convertible into or exercisable or exchangeable for common stock (i) as a bona fide gift, or for bona fide estate planning purposes,</w:t>
      </w:r>
    </w:p>
    <w:p>
      <w:pPr>
        <w:jc w:val="both"/>
        <w:ind w:left="2200" w:right="1739" w:firstLine="8"/>
        <w:spacing w:after="0" w:line="254" w:lineRule="auto"/>
        <w:tabs>
          <w:tab w:leader="none" w:pos="2402"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death or by will, testamentary document or intestate succession, (iii) to any member of the holder’s immediate family (“immediate family” shall mean any relationship by blood, current or former marriage, domestic partnership or adoption, not more remote than first cousin) or to any trust for the direct or indirect benefit of the holder or the immediate family of the holder or, if the holder is a trust, to a trustor or beneficiary of the trust or the estate of a beneficiary of such trust,</w:t>
      </w:r>
    </w:p>
    <w:p>
      <w:pPr>
        <w:spacing w:after="0" w:line="2" w:lineRule="exact"/>
        <w:rPr>
          <w:rFonts w:ascii="Times New Roman" w:cs="Times New Roman" w:eastAsia="Times New Roman" w:hAnsi="Times New Roman"/>
          <w:sz w:val="12"/>
          <w:szCs w:val="12"/>
          <w:color w:val="auto"/>
        </w:rPr>
      </w:pPr>
    </w:p>
    <w:p>
      <w:pPr>
        <w:jc w:val="both"/>
        <w:ind w:left="2200" w:right="1739" w:firstLine="8"/>
        <w:spacing w:after="0" w:line="259" w:lineRule="auto"/>
        <w:tabs>
          <w:tab w:leader="none" w:pos="2421" w:val="left"/>
        </w:tabs>
        <w:numPr>
          <w:ilvl w:val="1"/>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 corporation, partnership, limited liability company or other entity of which the holder and the immediate family of the holder are the legal and beneficial owner of all of the outstanding equity securities or similar interests, or (v) to a nominee or custodian of a person or entity to whom a disposition or transfer would be permissible under clauses (b)(i) through (iv) above;</w:t>
      </w:r>
    </w:p>
    <w:p>
      <w:pPr>
        <w:spacing w:after="0" w:line="60" w:lineRule="exact"/>
        <w:rPr>
          <w:rFonts w:ascii="Times New Roman" w:cs="Times New Roman" w:eastAsia="Times New Roman" w:hAnsi="Times New Roman"/>
          <w:sz w:val="12"/>
          <w:szCs w:val="12"/>
          <w:color w:val="auto"/>
        </w:rPr>
      </w:pPr>
    </w:p>
    <w:p>
      <w:pPr>
        <w:jc w:val="both"/>
        <w:ind w:left="2200" w:right="1739" w:hanging="236"/>
        <w:spacing w:after="0" w:line="261" w:lineRule="auto"/>
        <w:tabs>
          <w:tab w:leader="none" w:pos="220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holder is a corporation, partnership, limited liability company or other business entity, any transfers (i) to another corporation, partnership, limited liability company or other business entity that is an affiliate (as defined in Rule 405 under the Securities Act of 1933, as amended) of the holder, or to any investment fund or other entity which fund or entity is controlled or managed by the holder or affiliates of the holder, or (ii) as part of a distribution by the holder to its stockholders, partners, members or other equityholders or to the estate of any such stockholders, partners, members or other equityholders;</w:t>
      </w:r>
    </w:p>
    <w:p>
      <w:pPr>
        <w:spacing w:after="0" w:line="207" w:lineRule="exact"/>
        <w:rPr>
          <w:rFonts w:ascii="Times New Roman" w:cs="Times New Roman" w:eastAsia="Times New Roman" w:hAnsi="Times New Roman"/>
          <w:sz w:val="12"/>
          <w:szCs w:val="12"/>
          <w:color w:val="auto"/>
        </w:rPr>
      </w:pPr>
    </w:p>
    <w:p>
      <w:pPr>
        <w:ind w:left="2200" w:right="1739" w:hanging="236"/>
        <w:spacing w:after="0" w:line="291" w:lineRule="auto"/>
        <w:tabs>
          <w:tab w:leader="none" w:pos="220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transfers by operation of law, such as pursuant to a qualified domestic order, divorce settlement, divorce decree or separation agreement;</w:t>
      </w:r>
    </w:p>
    <w:p>
      <w:pPr>
        <w:spacing w:after="0" w:line="40" w:lineRule="exact"/>
        <w:rPr>
          <w:rFonts w:ascii="Times New Roman" w:cs="Times New Roman" w:eastAsia="Times New Roman" w:hAnsi="Times New Roman"/>
          <w:sz w:val="12"/>
          <w:szCs w:val="12"/>
          <w:color w:val="auto"/>
        </w:rPr>
      </w:pPr>
    </w:p>
    <w:p>
      <w:pPr>
        <w:ind w:left="2200" w:right="1739" w:hanging="236"/>
        <w:spacing w:after="0" w:line="291" w:lineRule="auto"/>
        <w:tabs>
          <w:tab w:leader="none" w:pos="220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transfers to us from any of our employees upon death, disability or termination of employment, in each case, of such employee;</w:t>
      </w:r>
    </w:p>
    <w:p>
      <w:pPr>
        <w:spacing w:after="0" w:line="40" w:lineRule="exact"/>
        <w:rPr>
          <w:rFonts w:ascii="Times New Roman" w:cs="Times New Roman" w:eastAsia="Times New Roman" w:hAnsi="Times New Roman"/>
          <w:sz w:val="12"/>
          <w:szCs w:val="12"/>
          <w:color w:val="auto"/>
        </w:rPr>
      </w:pPr>
    </w:p>
    <w:p>
      <w:pPr>
        <w:jc w:val="both"/>
        <w:ind w:left="2200" w:right="1739" w:hanging="236"/>
        <w:spacing w:after="0" w:line="259" w:lineRule="auto"/>
        <w:tabs>
          <w:tab w:leader="none" w:pos="220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transfers to us in connection with the vesting, settlement or exercise of restricted stock units, options, warrants or other rights to purchase shares of common stock (including, in each case, by way of “net” or “cashless” exercise), including any transfer to us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this registration statement, the preliminary prospectus relating to the shares of common stock included in this registration statement immediately prior to the time the underwriting agreement is executed and this prospectus;</w:t>
      </w:r>
    </w:p>
    <w:p>
      <w:pPr>
        <w:spacing w:after="0" w:line="216" w:lineRule="exact"/>
        <w:rPr>
          <w:rFonts w:ascii="Times New Roman" w:cs="Times New Roman" w:eastAsia="Times New Roman" w:hAnsi="Times New Roman"/>
          <w:sz w:val="12"/>
          <w:szCs w:val="12"/>
          <w:color w:val="auto"/>
        </w:rPr>
      </w:pPr>
    </w:p>
    <w:p>
      <w:pPr>
        <w:ind w:left="2200" w:right="1739" w:hanging="236"/>
        <w:spacing w:after="0" w:line="291" w:lineRule="auto"/>
        <w:tabs>
          <w:tab w:leader="none" w:pos="220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distributions of shares of common stock or any security convertible into common stock to limited partners or stockholders of the holder;</w:t>
      </w:r>
    </w:p>
    <w:p>
      <w:pPr>
        <w:spacing w:after="0" w:line="40" w:lineRule="exact"/>
        <w:rPr>
          <w:rFonts w:ascii="Times New Roman" w:cs="Times New Roman" w:eastAsia="Times New Roman" w:hAnsi="Times New Roman"/>
          <w:sz w:val="12"/>
          <w:szCs w:val="12"/>
          <w:color w:val="auto"/>
        </w:rPr>
      </w:pPr>
    </w:p>
    <w:p>
      <w:pPr>
        <w:jc w:val="both"/>
        <w:ind w:left="2200" w:right="1739" w:hanging="236"/>
        <w:spacing w:after="0" w:line="270" w:lineRule="auto"/>
        <w:tabs>
          <w:tab w:leader="none" w:pos="220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entry or amendment, by the holder, of a trading plan on behalf of any of our shareholders, officers or directors pursuant to Rule 10b5-1 under the Exchange Act for the transfer of shares of common stock, provided that such plan does not provide for the transfer of common stock during the restricted period;</w:t>
      </w:r>
    </w:p>
    <w:p>
      <w:pPr>
        <w:spacing w:after="0" w:line="202" w:lineRule="exact"/>
        <w:rPr>
          <w:rFonts w:ascii="Times New Roman" w:cs="Times New Roman" w:eastAsia="Times New Roman" w:hAnsi="Times New Roman"/>
          <w:sz w:val="12"/>
          <w:szCs w:val="12"/>
          <w:color w:val="auto"/>
        </w:rPr>
      </w:pPr>
    </w:p>
    <w:p>
      <w:pPr>
        <w:ind w:left="2200" w:right="1739" w:hanging="236"/>
        <w:spacing w:after="0" w:line="291" w:lineRule="auto"/>
        <w:tabs>
          <w:tab w:leader="none" w:pos="220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of the holder’s securities to us pursuant to an agreement under which we have the option to repurchase shares or a right of first refusal with respect to transfer of such shares;</w:t>
      </w:r>
    </w:p>
    <w:p>
      <w:pPr>
        <w:spacing w:after="0" w:line="40" w:lineRule="exact"/>
        <w:rPr>
          <w:rFonts w:ascii="Times New Roman" w:cs="Times New Roman" w:eastAsia="Times New Roman" w:hAnsi="Times New Roman"/>
          <w:sz w:val="12"/>
          <w:szCs w:val="12"/>
          <w:color w:val="auto"/>
        </w:rPr>
      </w:pPr>
    </w:p>
    <w:p>
      <w:pPr>
        <w:jc w:val="both"/>
        <w:ind w:left="2200" w:right="1739" w:hanging="236"/>
        <w:spacing w:after="0" w:line="283" w:lineRule="auto"/>
        <w:tabs>
          <w:tab w:leader="none" w:pos="220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conversions of our outstanding preferred stock into shares of common stock, provided that any such shares received upon such conversion shall remain subject to the provisions of this agreement;</w:t>
      </w:r>
    </w:p>
    <w:p>
      <w:pPr>
        <w:spacing w:after="0" w:line="196" w:lineRule="exact"/>
        <w:rPr>
          <w:rFonts w:ascii="Times New Roman" w:cs="Times New Roman" w:eastAsia="Times New Roman" w:hAnsi="Times New Roman"/>
          <w:sz w:val="12"/>
          <w:szCs w:val="12"/>
          <w:color w:val="auto"/>
        </w:rPr>
      </w:pPr>
    </w:p>
    <w:p>
      <w:pPr>
        <w:ind w:left="2200" w:hanging="236"/>
        <w:spacing w:after="0"/>
        <w:tabs>
          <w:tab w:leader="none" w:pos="220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conversions or reclassifications of a class or series of common stock into another class or series of</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00" w:name="page201"/>
    <w:bookmarkEnd w:id="20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2200" w:right="1739"/>
        <w:spacing w:after="0" w:line="264" w:lineRule="auto"/>
        <w:rPr>
          <w:sz w:val="20"/>
          <w:szCs w:val="20"/>
          <w:color w:val="auto"/>
        </w:rPr>
      </w:pPr>
      <w:r>
        <w:rPr>
          <w:rFonts w:ascii="Times New Roman" w:cs="Times New Roman" w:eastAsia="Times New Roman" w:hAnsi="Times New Roman"/>
          <w:sz w:val="12"/>
          <w:szCs w:val="12"/>
          <w:color w:val="auto"/>
        </w:rPr>
        <w:t>common stock (including the conversion of shares of non-voting common stock into shares of voting common stock and vice versa), it being understood that any such shares received by the holder upon such conversion shall be subject to the provisions of this agreement; or</w:t>
      </w:r>
    </w:p>
    <w:p>
      <w:pPr>
        <w:spacing w:after="0" w:line="48" w:lineRule="exact"/>
        <w:rPr>
          <w:sz w:val="20"/>
          <w:szCs w:val="20"/>
          <w:color w:val="auto"/>
        </w:rPr>
      </w:pPr>
    </w:p>
    <w:p>
      <w:pPr>
        <w:jc w:val="both"/>
        <w:ind w:left="2200" w:right="1739" w:hanging="236"/>
        <w:spacing w:after="0" w:line="258" w:lineRule="auto"/>
        <w:tabs>
          <w:tab w:leader="none" w:pos="220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of the holder’s common stock or other security in connection with a bona fide third-party tender offer, merger, consolidation or other similar transaction that is approved by the board of directors of the Company and made to all holders of our capital stock involving a Change of Control (for purposes hereof, “</w:t>
      </w:r>
      <w:r>
        <w:rPr>
          <w:rFonts w:ascii="Times New Roman" w:cs="Times New Roman" w:eastAsia="Times New Roman" w:hAnsi="Times New Roman"/>
          <w:sz w:val="12"/>
          <w:szCs w:val="12"/>
          <w:b w:val="1"/>
          <w:bCs w:val="1"/>
          <w:color w:val="auto"/>
        </w:rPr>
        <w:t>Change of Control</w:t>
      </w:r>
      <w:r>
        <w:rPr>
          <w:rFonts w:ascii="Times New Roman" w:cs="Times New Roman" w:eastAsia="Times New Roman" w:hAnsi="Times New Roman"/>
          <w:sz w:val="12"/>
          <w:szCs w:val="12"/>
          <w:color w:val="auto"/>
        </w:rPr>
        <w:t>”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our outstanding voting securities (or the surviving entity)); provided that in the event that such tender offer, merger, consolidation or other similar transaction is not completed, the holder’s common stock or other security shall remain subject to the provisions of the lock-up agreement;</w:t>
      </w:r>
    </w:p>
    <w:p>
      <w:pPr>
        <w:spacing w:after="0" w:line="74"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provided that (1) in the case of clauses (b)(i), (ii), (iii), (iv) and (v) and (c) above, such transfer or distribution shall not involve a disposition for value, (2) in the case of clauses (b)(i), (ii), (iii), (iv) and (v), (c), (d) and (g) above, it shall be a condition to the transfer or distribution that the donee, devisee, transferee or distributee, as the case may be, shall sign and deliver a lock-up agreement in the form of the lock-up agreement, (3) in the case of clauses (b)(ii), (iii), (iv), and (v) and (c) and (g) above, no filing by any party (including, without limitation, any donor, donee, devisee, transferor, transferee, distributor or distributee) under the Exchange Act, or other public filing, report or announcement reporting a reduction in beneficial ownership of securities shall be required or shall be voluntarily made in connection with such transfer or distribution, and (4) in the case of clauses (a), (b)(i), (d), (e), (f), (h) and (i)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(1) the circumstances of such transfer or distribution and (2) in the case of a transfer or distribution pursuant to clauses (b)(i) or (d) above, that the donee, devisee, transferee or distributee has agreed to be bound by a lock-up agreement in the form of the lock-up agreement.</w:t>
      </w:r>
    </w:p>
    <w:p>
      <w:pPr>
        <w:spacing w:after="0" w:line="209"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Morgan Stanley &amp; Co. LLC, in its sole discretion, may release the common stock and other securities subject to the lock-up agreements described above in whole or in part at any time.</w:t>
      </w:r>
    </w:p>
    <w:p>
      <w:pPr>
        <w:spacing w:after="0" w:line="50"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210"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We and the underwriters have agreed to indemnify each other against certain liabilities, including liabilities under the Securities Act.</w:t>
      </w:r>
    </w:p>
    <w:p>
      <w:pPr>
        <w:spacing w:after="0" w:line="50"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A prospectus in electronic format may be made available on websites maintained by one or more underwriters, or selling group members, if any, participating in this offering. The representative may agree to allocate a number of shares of common stock to underwriters for sale to their online brokerage account holders. Internet distributions will be allocated by the representative to underwriters that may make Internet distributions on the same basis as other allocations.</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01" w:name="page202"/>
    <w:bookmarkEnd w:id="201"/>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Other Relationships</w:t>
      </w:r>
    </w:p>
    <w:p>
      <w:pPr>
        <w:spacing w:after="0" w:line="102"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66"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3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Pricing of the Offering</w:t>
      </w:r>
    </w:p>
    <w:p>
      <w:pPr>
        <w:spacing w:after="0" w:line="93"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Prior to this offering, there has been no public market for our common stock. The initial public offering price was determined by negotiations between us and the representative.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Selling Restrictions</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Australia</w:t>
      </w:r>
    </w:p>
    <w:p>
      <w:pPr>
        <w:spacing w:after="0" w:line="93" w:lineRule="exact"/>
        <w:rPr>
          <w:sz w:val="20"/>
          <w:szCs w:val="20"/>
          <w:color w:val="auto"/>
        </w:rPr>
      </w:pPr>
    </w:p>
    <w:p>
      <w:pPr>
        <w:jc w:val="both"/>
        <w:ind w:left="1720" w:right="1739"/>
        <w:spacing w:after="0" w:line="253" w:lineRule="auto"/>
        <w:rPr>
          <w:sz w:val="20"/>
          <w:szCs w:val="20"/>
          <w:color w:val="auto"/>
        </w:rPr>
      </w:pPr>
      <w:r>
        <w:rPr>
          <w:rFonts w:ascii="Times New Roman" w:cs="Times New Roman" w:eastAsia="Times New Roman" w:hAnsi="Times New Roman"/>
          <w:sz w:val="12"/>
          <w:szCs w:val="12"/>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98" w:lineRule="exact"/>
        <w:rPr>
          <w:sz w:val="20"/>
          <w:szCs w:val="20"/>
          <w:color w:val="auto"/>
        </w:rPr>
      </w:pPr>
    </w:p>
    <w:p>
      <w:pPr>
        <w:jc w:val="both"/>
        <w:ind w:left="1720" w:right="1739"/>
        <w:spacing w:after="0" w:line="255" w:lineRule="auto"/>
        <w:rPr>
          <w:sz w:val="20"/>
          <w:szCs w:val="20"/>
          <w:color w:val="auto"/>
        </w:rPr>
      </w:pPr>
      <w:r>
        <w:rPr>
          <w:rFonts w:ascii="Times New Roman" w:cs="Times New Roman" w:eastAsia="Times New Roman" w:hAnsi="Times New Roman"/>
          <w:sz w:val="12"/>
          <w:szCs w:val="12"/>
          <w:color w:val="auto"/>
        </w:rPr>
        <w:t>Any offer in Australia of the shares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55"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the shares must observe such Australian on-sale restrictions.</w:t>
      </w:r>
    </w:p>
    <w:p>
      <w:pPr>
        <w:spacing w:after="0" w:line="65"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Canada</w:t>
      </w:r>
    </w:p>
    <w:p>
      <w:pPr>
        <w:spacing w:after="0" w:line="102"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color w:val="auto"/>
        </w:rPr>
        <w:t xml:space="preserve">The shares may be sold only to purchasers purchasing, or deemed to be purchasing, as principal that are accredited investors, as defined in National Instrument 45-106 </w:t>
      </w:r>
      <w:r>
        <w:rPr>
          <w:rFonts w:ascii="Times New Roman" w:cs="Times New Roman" w:eastAsia="Times New Roman" w:hAnsi="Times New Roman"/>
          <w:sz w:val="12"/>
          <w:szCs w:val="12"/>
          <w:i w:val="1"/>
          <w:iCs w:val="1"/>
          <w:color w:val="auto"/>
        </w:rPr>
        <w:t>Prospectus Exemptions</w:t>
      </w:r>
      <w:r>
        <w:rPr>
          <w:rFonts w:ascii="Times New Roman" w:cs="Times New Roman" w:eastAsia="Times New Roman" w:hAnsi="Times New Roman"/>
          <w:sz w:val="12"/>
          <w:szCs w:val="12"/>
          <w:color w:val="auto"/>
        </w:rPr>
        <w:t xml:space="preserve"> or subsection 73.3(1) of</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02" w:name="page203"/>
    <w:bookmarkEnd w:id="20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both"/>
        <w:ind w:left="1720" w:right="1739"/>
        <w:spacing w:after="0" w:line="268" w:lineRule="auto"/>
        <w:rPr>
          <w:sz w:val="20"/>
          <w:szCs w:val="20"/>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i w:val="1"/>
          <w:iCs w:val="1"/>
          <w:color w:val="auto"/>
        </w:rPr>
        <w:t>Securities Act</w:t>
      </w:r>
      <w:r>
        <w:rPr>
          <w:rFonts w:ascii="Times New Roman" w:cs="Times New Roman" w:eastAsia="Times New Roman" w:hAnsi="Times New Roman"/>
          <w:sz w:val="12"/>
          <w:szCs w:val="12"/>
          <w:color w:val="auto"/>
        </w:rPr>
        <w:t xml:space="preserve"> (Ontario), and are permitted clients, as defined in National Instrument 31-103 </w:t>
      </w:r>
      <w:r>
        <w:rPr>
          <w:rFonts w:ascii="Times New Roman" w:cs="Times New Roman" w:eastAsia="Times New Roman" w:hAnsi="Times New Roman"/>
          <w:sz w:val="12"/>
          <w:szCs w:val="12"/>
          <w:i w:val="1"/>
          <w:iCs w:val="1"/>
          <w:color w:val="auto"/>
        </w:rPr>
        <w:t>Registration Requirements, Exemptions and Ongoing Registrant Obligations</w:t>
      </w:r>
      <w:r>
        <w:rPr>
          <w:rFonts w:ascii="Times New Roman" w:cs="Times New Roman" w:eastAsia="Times New Roman" w:hAnsi="Times New Roman"/>
          <w:sz w:val="12"/>
          <w:szCs w:val="12"/>
          <w:color w:val="auto"/>
        </w:rPr>
        <w:t>. Any resale of the shares must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 made in accordance with an exemption from, or in a transaction not subject to, the prospectus requirements of applicable securities laws.</w:t>
      </w:r>
    </w:p>
    <w:p>
      <w:pPr>
        <w:spacing w:after="0" w:line="63"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56" w:lineRule="exact"/>
        <w:rPr>
          <w:sz w:val="20"/>
          <w:szCs w:val="20"/>
          <w:color w:val="auto"/>
        </w:rPr>
      </w:pPr>
    </w:p>
    <w:p>
      <w:pPr>
        <w:jc w:val="both"/>
        <w:ind w:left="1720" w:right="1739"/>
        <w:spacing w:after="0" w:line="274" w:lineRule="auto"/>
        <w:rPr>
          <w:sz w:val="20"/>
          <w:szCs w:val="20"/>
          <w:color w:val="auto"/>
        </w:rPr>
      </w:pPr>
      <w:r>
        <w:rPr>
          <w:rFonts w:ascii="Times New Roman" w:cs="Times New Roman" w:eastAsia="Times New Roman" w:hAnsi="Times New Roman"/>
          <w:sz w:val="12"/>
          <w:szCs w:val="12"/>
          <w:color w:val="auto"/>
        </w:rPr>
        <w:t xml:space="preserve">Pursuant to section 3A.3 of National Instrument 33-105 </w:t>
      </w:r>
      <w:r>
        <w:rPr>
          <w:rFonts w:ascii="Times New Roman" w:cs="Times New Roman" w:eastAsia="Times New Roman" w:hAnsi="Times New Roman"/>
          <w:sz w:val="12"/>
          <w:szCs w:val="12"/>
          <w:i w:val="1"/>
          <w:iCs w:val="1"/>
          <w:color w:val="auto"/>
        </w:rPr>
        <w:t>Underwriting Conflicts</w:t>
      </w:r>
      <w:r>
        <w:rPr>
          <w:rFonts w:ascii="Times New Roman" w:cs="Times New Roman" w:eastAsia="Times New Roman" w:hAnsi="Times New Roman"/>
          <w:sz w:val="12"/>
          <w:szCs w:val="12"/>
          <w:color w:val="auto"/>
        </w:rPr>
        <w:t xml:space="preserve"> (NI 33-105), the underwriters are not required to comply with the disclosure requirements of NI 33-105 regarding underwriter conflicts of interest in connection with this offering.</w:t>
      </w:r>
    </w:p>
    <w:p>
      <w:pPr>
        <w:spacing w:after="0" w:line="11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Dubai International Financial Centre</w:t>
      </w:r>
    </w:p>
    <w:p>
      <w:pPr>
        <w:spacing w:after="0" w:line="93"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European Economic Area</w:t>
      </w:r>
    </w:p>
    <w:p>
      <w:pPr>
        <w:spacing w:after="0" w:line="102"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In relation to each member state of the European Economic Area and the United Kingdom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62" w:lineRule="exact"/>
        <w:rPr>
          <w:sz w:val="20"/>
          <w:szCs w:val="20"/>
          <w:color w:val="auto"/>
        </w:rPr>
      </w:pPr>
    </w:p>
    <w:p>
      <w:pPr>
        <w:ind w:left="2200" w:hanging="236"/>
        <w:spacing w:after="0"/>
        <w:tabs>
          <w:tab w:leader="none" w:pos="2200"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legal entity which is a qualified investor as defined under the Prospectus Regulation;</w:t>
      </w:r>
    </w:p>
    <w:p>
      <w:pPr>
        <w:spacing w:after="0" w:line="90" w:lineRule="exact"/>
        <w:rPr>
          <w:rFonts w:ascii="Times New Roman" w:cs="Times New Roman" w:eastAsia="Times New Roman" w:hAnsi="Times New Roman"/>
          <w:sz w:val="12"/>
          <w:szCs w:val="12"/>
          <w:color w:val="auto"/>
        </w:rPr>
      </w:pPr>
    </w:p>
    <w:p>
      <w:pPr>
        <w:ind w:left="2200" w:right="1739" w:hanging="236"/>
        <w:spacing w:after="0" w:line="291" w:lineRule="auto"/>
        <w:tabs>
          <w:tab w:leader="none" w:pos="2200"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fewer than 150 natural or legal persons (other than qualified investors as defined under the Prospectus Regulation), subject to obtaining the prior consent of the representative; or</w:t>
      </w:r>
    </w:p>
    <w:p>
      <w:pPr>
        <w:spacing w:after="0" w:line="50" w:lineRule="exact"/>
        <w:rPr>
          <w:rFonts w:ascii="Times New Roman" w:cs="Times New Roman" w:eastAsia="Times New Roman" w:hAnsi="Times New Roman"/>
          <w:sz w:val="12"/>
          <w:szCs w:val="12"/>
          <w:color w:val="auto"/>
        </w:rPr>
      </w:pPr>
    </w:p>
    <w:p>
      <w:pPr>
        <w:ind w:left="2200" w:hanging="236"/>
        <w:spacing w:after="0"/>
        <w:tabs>
          <w:tab w:leader="none" w:pos="2200"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any other circumstances falling within Article 1(4) of the Prospectus Regulation,</w:t>
      </w:r>
    </w:p>
    <w:p>
      <w:pPr>
        <w:spacing w:after="0" w:line="91"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provided that no such offer of shares shall require us or any of our representative to publish a prospectus pursuant to Article 3 of the Prospectus Regulation or supplement a prospectus pursuant to Article 23 of the Prospectus Regulation.</w:t>
      </w:r>
    </w:p>
    <w:p>
      <w:pPr>
        <w:spacing w:after="0" w:line="53"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any shares, and the expression “Prospectus Regulation” means Regulation (EU) 2017/1129 (as amended).</w:t>
      </w:r>
    </w:p>
    <w:p>
      <w:pPr>
        <w:spacing w:after="0" w:line="1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United Kingdom</w:t>
      </w:r>
    </w:p>
    <w:p>
      <w:pPr>
        <w:spacing w:after="0" w:line="10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Each underwriter has represented and agreed that:</w:t>
      </w:r>
    </w:p>
    <w:p>
      <w:pPr>
        <w:spacing w:after="0" w:line="91" w:lineRule="exact"/>
        <w:rPr>
          <w:sz w:val="20"/>
          <w:szCs w:val="20"/>
          <w:color w:val="auto"/>
        </w:rPr>
      </w:pPr>
    </w:p>
    <w:p>
      <w:pPr>
        <w:jc w:val="both"/>
        <w:ind w:left="2200" w:right="1739" w:hanging="236"/>
        <w:spacing w:after="0" w:line="291" w:lineRule="auto"/>
        <w:tabs>
          <w:tab w:leader="none" w:pos="220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has only communicated or caused to be communicated and will only communicate or cause to be communicated an invitation or inducement to engage in investment activity (within the meaning of</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03" w:name="page204"/>
    <w:bookmarkEnd w:id="203"/>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2200" w:right="1739"/>
        <w:spacing w:after="0" w:line="264" w:lineRule="auto"/>
        <w:rPr>
          <w:sz w:val="20"/>
          <w:szCs w:val="20"/>
          <w:color w:val="auto"/>
        </w:rPr>
      </w:pPr>
      <w:r>
        <w:rPr>
          <w:rFonts w:ascii="Times New Roman" w:cs="Times New Roman" w:eastAsia="Times New Roman" w:hAnsi="Times New Roman"/>
          <w:sz w:val="12"/>
          <w:szCs w:val="12"/>
          <w:color w:val="auto"/>
        </w:rPr>
        <w:t>Section 21 of the Financial Services and Markets Act 2000 (“FSMA”) received by it in connection with the issue or sale of our shares of common stock in circumstances in which Section 21(1) of the FSMA does not apply to us; and</w:t>
      </w:r>
    </w:p>
    <w:p>
      <w:pPr>
        <w:spacing w:after="0" w:line="48" w:lineRule="exact"/>
        <w:rPr>
          <w:sz w:val="20"/>
          <w:szCs w:val="20"/>
          <w:color w:val="auto"/>
        </w:rPr>
      </w:pPr>
    </w:p>
    <w:p>
      <w:pPr>
        <w:jc w:val="both"/>
        <w:ind w:left="2200" w:right="1739" w:hanging="236"/>
        <w:spacing w:after="0" w:line="283" w:lineRule="auto"/>
        <w:tabs>
          <w:tab w:leader="none" w:pos="220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has complied and will comply with all applicable provisions of the FSMA with respect to anything done by it in relation to the shares of common stock in, from or otherwise involving the United Kingdom.</w:t>
      </w:r>
    </w:p>
    <w:p>
      <w:pPr>
        <w:spacing w:after="0" w:line="206"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60" w:lineRule="exact"/>
        <w:rPr>
          <w:sz w:val="20"/>
          <w:szCs w:val="20"/>
          <w:color w:val="auto"/>
        </w:rPr>
      </w:pPr>
    </w:p>
    <w:p>
      <w:pPr>
        <w:ind w:left="2200" w:right="1739" w:hanging="236"/>
        <w:spacing w:after="0" w:line="291" w:lineRule="auto"/>
        <w:tabs>
          <w:tab w:leader="none" w:pos="2200"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legal entity which is a qualified investor as defined under Article 2 of the UK Prospectus Regulation (as defined below);</w:t>
      </w:r>
    </w:p>
    <w:p>
      <w:pPr>
        <w:spacing w:after="0" w:line="40" w:lineRule="exact"/>
        <w:rPr>
          <w:rFonts w:ascii="Times New Roman" w:cs="Times New Roman" w:eastAsia="Times New Roman" w:hAnsi="Times New Roman"/>
          <w:sz w:val="12"/>
          <w:szCs w:val="12"/>
          <w:color w:val="auto"/>
        </w:rPr>
      </w:pPr>
    </w:p>
    <w:p>
      <w:pPr>
        <w:jc w:val="both"/>
        <w:ind w:left="2200" w:right="1739" w:hanging="236"/>
        <w:spacing w:after="0" w:line="272" w:lineRule="auto"/>
        <w:tabs>
          <w:tab w:leader="none" w:pos="2200"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fewer than 150 natural or legal persons (other than qualified investors as defined under Article 2 of the UK Prospectus Regulation), subject to obtaining the prior consent of the representative for any such offer; or</w:t>
      </w:r>
    </w:p>
    <w:p>
      <w:pPr>
        <w:spacing w:after="0" w:line="52" w:lineRule="exact"/>
        <w:rPr>
          <w:rFonts w:ascii="Times New Roman" w:cs="Times New Roman" w:eastAsia="Times New Roman" w:hAnsi="Times New Roman"/>
          <w:sz w:val="12"/>
          <w:szCs w:val="12"/>
          <w:color w:val="auto"/>
        </w:rPr>
      </w:pPr>
    </w:p>
    <w:p>
      <w:pPr>
        <w:ind w:left="2200" w:hanging="236"/>
        <w:spacing w:after="0"/>
        <w:tabs>
          <w:tab w:leader="none" w:pos="2200"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any other circumstances falling within Section 86 of the FSMA,</w:t>
      </w:r>
    </w:p>
    <w:p>
      <w:pPr>
        <w:spacing w:after="0" w:line="100"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provided that no such offer of the shares shall require us or any of the representative to publish a prospectus pursuant to Section 85 of the FSMA or supplement a prospectus pursuant to Article 23 of the UK Prospectus Regulation.</w:t>
      </w:r>
    </w:p>
    <w:p>
      <w:pPr>
        <w:spacing w:after="0" w:line="60"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66"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This prospectus is only for distribution to and directed at: (i) in the United Kingdom, persons having professional experience in matters relating to investments falling within Article 19(5) of the Financial Services and Markets Act 2000 (Financial Promotion) Order 2005, as amended (the Order), and high net worth entities falling within Article 49(2)(a) to (d) of the Order; (ii) persons who are outside the United Kingdom; and (iii) any other person to whom it can otherwise be lawfully distributed (all such persons together, Relevant Persons). Any investment or investment activity to which this prospectus relates is available only to and will be engaged in only with Relevant Persons, and any person who is not a Relevant Person should not rely on it.</w:t>
      </w:r>
    </w:p>
    <w:p>
      <w:pPr>
        <w:spacing w:after="0" w:line="26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Hong Kong</w:t>
      </w:r>
    </w:p>
    <w:p>
      <w:pPr>
        <w:spacing w:after="0" w:line="102"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2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Israel</w:t>
      </w:r>
    </w:p>
    <w:p>
      <w:pPr>
        <w:spacing w:after="0" w:line="93" w:lineRule="exact"/>
        <w:rPr>
          <w:sz w:val="20"/>
          <w:szCs w:val="20"/>
          <w:color w:val="auto"/>
        </w:rPr>
      </w:pPr>
    </w:p>
    <w:p>
      <w:pPr>
        <w:jc w:val="both"/>
        <w:ind w:left="1720" w:right="1739"/>
        <w:spacing w:after="0" w:line="145" w:lineRule="exact"/>
        <w:rPr>
          <w:sz w:val="20"/>
          <w:szCs w:val="20"/>
          <w:color w:val="auto"/>
        </w:rPr>
      </w:pPr>
      <w:r>
        <w:rPr>
          <w:rFonts w:ascii="Times New Roman" w:cs="Times New Roman" w:eastAsia="Times New Roman" w:hAnsi="Times New Roman"/>
          <w:sz w:val="12"/>
          <w:szCs w:val="12"/>
          <w:color w:val="auto"/>
        </w:rPr>
        <w:t xml:space="preserve">In the State of Israel this prospectus shall not be regarded as an offer to the public to purchase shares of common stock under the Israeli Securities Law, 5728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1968, which requires a prospectus to be published and authorized by the Israel Securities Authority, if it complies with certain provisions of Section 15 of the Israeli Securities Law, 5728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1968, including if: (i) the offer is made, distributed or directed to not more than 35</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04" w:name="page205"/>
    <w:bookmarkEnd w:id="20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jc w:val="both"/>
        <w:ind w:left="1720" w:right="1739"/>
        <w:spacing w:after="0" w:line="149" w:lineRule="exact"/>
        <w:rPr>
          <w:sz w:val="20"/>
          <w:szCs w:val="20"/>
          <w:color w:val="auto"/>
        </w:rPr>
      </w:pPr>
      <w:r>
        <w:rPr>
          <w:rFonts w:ascii="Times New Roman" w:cs="Times New Roman" w:eastAsia="Times New Roman" w:hAnsi="Times New Roman"/>
          <w:sz w:val="12"/>
          <w:szCs w:val="12"/>
          <w:color w:val="auto"/>
        </w:rPr>
        <w:t xml:space="preserve">investors, subject to certain conditions (the Addressed Investors); or (ii) the offer is made, distributed or directed to certain qualified investors defined in the First Addendum of the Israeli Securities Law, 5728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1968, subject to certain conditions (the Qualified Investors). The Qualified Investors shall not be taken into account in the count of the Addressed Investors and may be offered to purchase shares of common stock in addition to the 35 Addressed Investors. The company has not and will not take any action that would require it to publish a prospectus in accordance with and subject to the Israeli Securities Law, 5728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1968. We have not and will not distribute this prospectus or make, distribute or direct an offer to subscribe for our shares of common stock to any person within the State of Israel, other than to Qualified Investors and up to 35 Addressed Investors.</w:t>
      </w:r>
    </w:p>
    <w:p>
      <w:pPr>
        <w:spacing w:after="0" w:line="219" w:lineRule="exact"/>
        <w:rPr>
          <w:sz w:val="20"/>
          <w:szCs w:val="20"/>
          <w:color w:val="auto"/>
        </w:rPr>
      </w:pPr>
    </w:p>
    <w:p>
      <w:pPr>
        <w:jc w:val="both"/>
        <w:ind w:left="1720" w:right="1739"/>
        <w:spacing w:after="0" w:line="148" w:lineRule="exact"/>
        <w:rPr>
          <w:sz w:val="20"/>
          <w:szCs w:val="20"/>
          <w:color w:val="auto"/>
        </w:rPr>
      </w:pPr>
      <w:r>
        <w:rPr>
          <w:rFonts w:ascii="Times New Roman" w:cs="Times New Roman" w:eastAsia="Times New Roman" w:hAnsi="Times New Roman"/>
          <w:sz w:val="12"/>
          <w:szCs w:val="12"/>
          <w:color w:val="auto"/>
        </w:rPr>
        <w:t xml:space="preserve">Qualified Investors may have to submit written evidence that they meet the definitions set out in of the First Addendum to the Israeli Securities Law, 5728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1968. In particular, we may request, as a condition to be offered shares of common stock, that Qualified Investors will each represent, warrant and certify to us and/or to anyone acting on our behalf: (i) that it is an investor falling within one of the categories listed in the First Addendum to the Israeli Securities Law, 5728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1968; (ii) which of the categories listed in the First Addendum to the Israeli Securities Law, 5728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1968 regarding Qualified Investors is applicable to it;</w:t>
      </w:r>
    </w:p>
    <w:p>
      <w:pPr>
        <w:spacing w:after="0" w:line="2" w:lineRule="exact"/>
        <w:rPr>
          <w:sz w:val="20"/>
          <w:szCs w:val="20"/>
          <w:color w:val="auto"/>
        </w:rPr>
      </w:pPr>
    </w:p>
    <w:p>
      <w:pPr>
        <w:jc w:val="both"/>
        <w:ind w:left="1720" w:right="1739"/>
        <w:spacing w:after="0" w:line="148" w:lineRule="exact"/>
        <w:tabs>
          <w:tab w:leader="none" w:pos="1979"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that it will abide by all provisions set forth in the Israeli Securities Law, 5728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1968 and the regulations promulgated thereunder in connection with the offer to be issued shares of common stock;</w:t>
      </w:r>
    </w:p>
    <w:p>
      <w:pPr>
        <w:jc w:val="both"/>
        <w:ind w:left="1720" w:right="1739"/>
        <w:spacing w:after="0" w:line="147" w:lineRule="exact"/>
        <w:tabs>
          <w:tab w:leader="none" w:pos="1953"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that the shares of common stock that it will be issued are, subject to exemptions available under the Israeli Securities Law, 5728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1968: (a) for its own account; (b) for investment purposes only; and (c) not issued with a view to resale within the State of Israel, other than in accordance with the provisions of the Israeli Securities Law, 5728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Japan</w:t>
      </w:r>
    </w:p>
    <w:p>
      <w:pPr>
        <w:spacing w:after="0" w:line="93"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The shares of common stock have not been and will not be registered under the Financial Instruments and Exchange Law of Japan (Law No. 25 of 1948, as amended) and, accordingly, will not be offered or sold, directly or indirectly, in Japan, or for the benefit of any Japanese Person (as defined below)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means any person resident in Japan, including any corporation or other entity organized under the laws of Japan.</w:t>
      </w:r>
    </w:p>
    <w:p>
      <w:pPr>
        <w:spacing w:after="0" w:line="27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Singapore</w:t>
      </w:r>
    </w:p>
    <w:p>
      <w:pPr>
        <w:spacing w:after="0" w:line="93"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This prospectus has not been registered as a prospectus with the Monetary Authority of Singapore. Accordingly, the shares of common stock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of common stock,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218"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Where the shares of common stock are subscribed or purchased under Section 275 of the SFA by a relevant person which is:</w:t>
      </w:r>
    </w:p>
    <w:p>
      <w:pPr>
        <w:spacing w:after="0" w:line="41" w:lineRule="exact"/>
        <w:rPr>
          <w:sz w:val="20"/>
          <w:szCs w:val="20"/>
          <w:color w:val="auto"/>
        </w:rPr>
      </w:pPr>
    </w:p>
    <w:p>
      <w:pPr>
        <w:jc w:val="both"/>
        <w:ind w:left="2200" w:right="1739" w:hanging="236"/>
        <w:spacing w:after="0" w:line="272" w:lineRule="auto"/>
        <w:tabs>
          <w:tab w:leader="none" w:pos="220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05" w:name="page206"/>
    <w:bookmarkEnd w:id="205"/>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8" w:lineRule="exact"/>
        <w:rPr>
          <w:sz w:val="20"/>
          <w:szCs w:val="20"/>
          <w:color w:val="auto"/>
        </w:rPr>
      </w:pPr>
    </w:p>
    <w:p>
      <w:pPr>
        <w:ind w:left="2200" w:right="1739" w:hanging="236"/>
        <w:spacing w:after="0" w:line="291" w:lineRule="auto"/>
        <w:tabs>
          <w:tab w:leader="none" w:pos="2200"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trust (where the trustee is not an accredited investor) whose sole purpose is to hold investments and each beneficiary of the trust is an individual who is an accredited investor;</w:t>
      </w:r>
    </w:p>
    <w:p>
      <w:pPr>
        <w:spacing w:after="0" w:line="50"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57" w:lineRule="exact"/>
        <w:rPr>
          <w:sz w:val="20"/>
          <w:szCs w:val="20"/>
          <w:color w:val="auto"/>
        </w:rPr>
      </w:pPr>
    </w:p>
    <w:p>
      <w:pPr>
        <w:ind w:left="2200" w:right="1739" w:hanging="236"/>
        <w:spacing w:after="0" w:line="291" w:lineRule="auto"/>
        <w:tabs>
          <w:tab w:leader="none" w:pos="220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 institutional investor or to a relevant person, or to any person arising from an offer referred to in Section 275(1A) or Section 276(4)(i)(B) of the SFA;</w:t>
      </w:r>
    </w:p>
    <w:p>
      <w:pPr>
        <w:spacing w:after="0" w:line="40" w:lineRule="exact"/>
        <w:rPr>
          <w:rFonts w:ascii="Times New Roman" w:cs="Times New Roman" w:eastAsia="Times New Roman" w:hAnsi="Times New Roman"/>
          <w:sz w:val="12"/>
          <w:szCs w:val="12"/>
          <w:color w:val="auto"/>
        </w:rPr>
      </w:pPr>
    </w:p>
    <w:p>
      <w:pPr>
        <w:ind w:left="2200" w:hanging="236"/>
        <w:spacing w:after="0"/>
        <w:tabs>
          <w:tab w:leader="none" w:pos="220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no consideration is or will be given for the transfer;</w:t>
      </w:r>
    </w:p>
    <w:p>
      <w:pPr>
        <w:spacing w:after="0" w:line="100" w:lineRule="exact"/>
        <w:rPr>
          <w:rFonts w:ascii="Times New Roman" w:cs="Times New Roman" w:eastAsia="Times New Roman" w:hAnsi="Times New Roman"/>
          <w:sz w:val="12"/>
          <w:szCs w:val="12"/>
          <w:color w:val="auto"/>
        </w:rPr>
      </w:pPr>
    </w:p>
    <w:p>
      <w:pPr>
        <w:ind w:left="2200" w:hanging="236"/>
        <w:spacing w:after="0"/>
        <w:tabs>
          <w:tab w:leader="none" w:pos="220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the transfer is by operation of law; or</w:t>
      </w:r>
    </w:p>
    <w:p>
      <w:pPr>
        <w:spacing w:after="0" w:line="90" w:lineRule="exact"/>
        <w:rPr>
          <w:rFonts w:ascii="Times New Roman" w:cs="Times New Roman" w:eastAsia="Times New Roman" w:hAnsi="Times New Roman"/>
          <w:sz w:val="12"/>
          <w:szCs w:val="12"/>
          <w:color w:val="auto"/>
        </w:rPr>
      </w:pPr>
    </w:p>
    <w:p>
      <w:pPr>
        <w:ind w:left="2200" w:hanging="236"/>
        <w:spacing w:after="0"/>
        <w:tabs>
          <w:tab w:leader="none" w:pos="220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specified in Section 276(7) of the SFA.</w:t>
      </w:r>
    </w:p>
    <w:p>
      <w:pPr>
        <w:spacing w:after="0" w:line="15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Switzerland</w:t>
      </w:r>
    </w:p>
    <w:p>
      <w:pPr>
        <w:spacing w:after="0" w:line="93"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The shares may not be publicly offered in Switzerland and will not be listed on the SIX Swiss Exchange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the offering may be publicly distributed or otherwise made publicly available in Switzerland.</w:t>
      </w:r>
    </w:p>
    <w:p>
      <w:pPr>
        <w:spacing w:after="0" w:line="71" w:lineRule="exact"/>
        <w:rPr>
          <w:sz w:val="20"/>
          <w:szCs w:val="20"/>
          <w:color w:val="auto"/>
        </w:rPr>
      </w:pPr>
    </w:p>
    <w:p>
      <w:pPr>
        <w:jc w:val="both"/>
        <w:ind w:left="1720" w:right="1739"/>
        <w:spacing w:after="0" w:line="261" w:lineRule="auto"/>
        <w:rPr>
          <w:sz w:val="20"/>
          <w:szCs w:val="20"/>
          <w:color w:val="auto"/>
        </w:rPr>
      </w:pPr>
      <w:r>
        <w:rPr>
          <w:rFonts w:ascii="Times New Roman" w:cs="Times New Roman" w:eastAsia="Times New Roman" w:hAnsi="Times New Roman"/>
          <w:sz w:val="12"/>
          <w:szCs w:val="12"/>
          <w:color w:val="auto"/>
        </w:rPr>
        <w:t>Neither this prospectus nor any other offering or marketing material relating to us, the offering, or the shares have been or will be filed with or approved by any Swiss regulatory authority. In particular, this prospectus will not be filed with, and the offering of shares will not be supervised by, the Swiss Financial Market Supervisory Authority FINMA, and the offering of shares has not been and will not be authorized under the Swiss Federal Act on Collective Investment Schemes (the CISA). The investor protection afforded to acquirers of interests in collective investment schemes under the CISA does not extend to acquirers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06" w:name="page207"/>
    <w:bookmarkEnd w:id="206"/>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LEGAL MATTERS</w:t>
      </w:r>
    </w:p>
    <w:p>
      <w:pPr>
        <w:spacing w:after="0" w:line="111"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The validity of the shares of our common stock being offered in this prospectus will be passed upon for us by Cooley LLP. Certain legal matters in connection with this offering will be passed upon for the underwriters by Latham &amp; Watkins LLP. As of the date of this prospectus, GC&amp;H Investments, LLC, an entity comprised of partners and associates of Cooley LLP, beneficially owns 14,244 shares of common stock issuable upon the conversion of our redeemable convertible preferred stock.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EXPERTS</w:t>
      </w:r>
    </w:p>
    <w:p>
      <w:pPr>
        <w:spacing w:after="0" w:line="111"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The financial statements as of December 31, 2022 and December 31, 2023 and for each of the two years in the period ended December 31, 2023 included in this Prospectus have been so included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WHERE YOU CAN FIND ADDITIONAL INFORMATION</w:t>
      </w:r>
    </w:p>
    <w:p>
      <w:pPr>
        <w:spacing w:after="0" w:line="102"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We have filed with the SEC a registration statement on Form S-1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and other information about issuers, like us, that file electronically with the SEC. The address of that website is www.sec.gov.</w:t>
      </w:r>
    </w:p>
    <w:p>
      <w:pPr>
        <w:spacing w:after="0" w:line="227"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On the closing of this offering, we will be subject to the information reporting requirements of the Exchange Act, and we will file reports, proxy statements and other information with the SEC. These reports, proxy statements and other information will be available for inspection and copying at the public reference room and website of the SEC referred to above. We also maintain a website at www.alumis.com. Upon the completion of this offering, you may access these materials free of charge as soon as reasonably practicable after they are electronically filed with, or furnished to, the SEC. The information contained in or accessible through our website is not part of this prospectus or the registration statement of which this prospectus forms a part, and investors should not rely on such information in making a decision to purchase our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07" w:name="page208"/>
    <w:bookmarkEnd w:id="207"/>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INDEX TO CONSOLIDATED FINANCIAL STATEMENTS</w:t>
      </w:r>
    </w:p>
    <w:p>
      <w:pPr>
        <w:spacing w:after="0" w:line="126" w:lineRule="exact"/>
        <w:rPr>
          <w:sz w:val="20"/>
          <w:szCs w:val="20"/>
          <w:color w:val="auto"/>
        </w:rPr>
      </w:pPr>
    </w:p>
    <w:p>
      <w:pPr>
        <w:jc w:val="both"/>
        <w:ind w:left="1720"/>
        <w:spacing w:after="0"/>
        <w:tabs>
          <w:tab w:leader="none" w:pos="6860" w:val="left"/>
          <w:tab w:leader="none" w:pos="7040" w:val="left"/>
        </w:tabs>
        <w:rPr>
          <w:sz w:val="20"/>
          <w:szCs w:val="20"/>
          <w:color w:val="auto"/>
        </w:rPr>
      </w:pPr>
      <w:r>
        <w:rPr>
          <w:rFonts w:ascii="Times New Roman" w:cs="Times New Roman" w:eastAsia="Times New Roman" w:hAnsi="Times New Roman"/>
          <w:sz w:val="10"/>
          <w:szCs w:val="10"/>
          <w:b w:val="1"/>
          <w:bCs w:val="1"/>
          <w:color w:val="auto"/>
        </w:rPr>
        <w:t>​</w:t>
      </w:r>
      <w:r>
        <w:rPr>
          <w:sz w:val="20"/>
          <w:szCs w:val="20"/>
          <w:color w:val="auto"/>
        </w:rPr>
        <w:tab/>
      </w:r>
      <w:r>
        <w:rPr>
          <w:rFonts w:ascii="Times New Roman" w:cs="Times New Roman" w:eastAsia="Times New Roman" w:hAnsi="Times New Roman"/>
          <w:sz w:val="10"/>
          <w:szCs w:val="10"/>
          <w:b w:val="1"/>
          <w:bCs w:val="1"/>
          <w:color w:val="auto"/>
        </w:rPr>
        <w:t>​ ​</w:t>
      </w:r>
      <w:r>
        <w:rPr>
          <w:sz w:val="20"/>
          <w:szCs w:val="20"/>
          <w:color w:val="auto"/>
        </w:rPr>
        <w:tab/>
      </w:r>
      <w:r>
        <w:rPr>
          <w:rFonts w:ascii="Times New Roman" w:cs="Times New Roman" w:eastAsia="Times New Roman" w:hAnsi="Times New Roman"/>
          <w:sz w:val="16"/>
          <w:szCs w:val="16"/>
          <w:b w:val="1"/>
          <w:bCs w:val="1"/>
          <w:color w:val="auto"/>
          <w:vertAlign w:val="superscript"/>
        </w:rPr>
        <w:t xml:space="preserve">Page </w:t>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-18415</wp:posOffset>
            </wp:positionV>
            <wp:extent cx="3535680" cy="1162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Audited Financial Statements as of and for the Years Ended December 31, 2022 and 2023</w:t>
      </w:r>
    </w:p>
    <w:p>
      <w:pPr>
        <w:spacing w:after="0" w:line="2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1104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535680" cy="11049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Consolidated Balance Sheets</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1162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Consolidated Statements of Redeemable Convertible Preferred Stock and Stockholders’ Deficit</w:t>
      </w:r>
    </w:p>
    <w:p>
      <w:pPr>
        <w:spacing w:after="0" w:line="4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1162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Notes to Consolidated Financial Statements</w:t>
      </w:r>
    </w:p>
    <w:p>
      <w:pPr>
        <w:spacing w:after="0" w:line="107" w:lineRule="exact"/>
        <w:rPr>
          <w:sz w:val="20"/>
          <w:szCs w:val="20"/>
          <w:color w:val="auto"/>
        </w:rPr>
      </w:pPr>
    </w:p>
    <w:p>
      <w:pPr>
        <w:ind w:left="1840" w:hanging="121"/>
        <w:spacing w:after="0" w:line="294" w:lineRule="auto"/>
        <w:rPr>
          <w:sz w:val="20"/>
          <w:szCs w:val="20"/>
          <w:color w:val="auto"/>
        </w:rPr>
      </w:pPr>
      <w:r>
        <w:rPr>
          <w:rFonts w:ascii="Times New Roman" w:cs="Times New Roman" w:eastAsia="Times New Roman" w:hAnsi="Times New Roman"/>
          <w:sz w:val="12"/>
          <w:szCs w:val="12"/>
          <w:b w:val="1"/>
          <w:bCs w:val="1"/>
          <w:color w:val="auto"/>
        </w:rPr>
        <w:t>Unaudited Condensed Financial Statements as of and for the Three Months Ended March 31,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-12700</wp:posOffset>
            </wp:positionV>
            <wp:extent cx="3535680" cy="1162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32"/>
        </w:trPr>
        <w:tc>
          <w:tcPr>
            <w:tcW w:w="20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60" w:type="dxa"/>
            <w:vAlign w:val="bottom"/>
            <w:tcBorders>
              <w:bottom w:val="single" w:sz="8" w:color="0000EE"/>
            </w:tcBorders>
            <w:gridSpan w:val="2"/>
          </w:tcPr>
          <w:p>
            <w:pPr>
              <w:spacing w:after="0" w:line="112" w:lineRule="exact"/>
              <w:rPr>
                <w:sz w:val="20"/>
                <w:szCs w:val="20"/>
                <w:color w:val="auto"/>
              </w:rPr>
            </w:pPr>
            <w:r>
              <w:rPr>
                <w:rFonts w:ascii="Times New Roman" w:cs="Times New Roman" w:eastAsia="Times New Roman" w:hAnsi="Times New Roman"/>
                <w:sz w:val="12"/>
                <w:szCs w:val="12"/>
                <w:color w:val="0000EE"/>
                <w:w w:val="83"/>
              </w:rPr>
              <w:t>F-2</w:t>
            </w:r>
          </w:p>
        </w:tc>
        <w:tc>
          <w:tcPr>
            <w:tcW w:w="4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w:t>
            </w:r>
          </w:p>
        </w:tc>
      </w:tr>
      <w:tr>
        <w:trPr>
          <w:trHeight w:val="154"/>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83"/>
              </w:rPr>
              <w:t>F-3</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83"/>
              </w:rPr>
              <w:t>F-4</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63"/>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83"/>
              </w:rPr>
              <w:t>F-5</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63"/>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83"/>
              </w:rPr>
              <w:t>F-6</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63"/>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14"/>
                <w:szCs w:val="14"/>
                <w:color w:val="auto"/>
              </w:rPr>
            </w:pPr>
          </w:p>
        </w:tc>
        <w:tc>
          <w:tcPr>
            <w:tcW w:w="1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71"/>
              </w:rPr>
              <w:t>F-7</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410"/>
        </w:trPr>
        <w:tc>
          <w:tcPr>
            <w:tcW w:w="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bl>
    <w:p>
      <w:pPr>
        <w:spacing w:after="0" w:line="24" w:lineRule="exact"/>
        <w:rPr>
          <w:sz w:val="20"/>
          <w:szCs w:val="20"/>
          <w:color w:val="auto"/>
        </w:rPr>
      </w:pPr>
    </w:p>
    <w:p>
      <w:pPr>
        <w:sectPr>
          <w:pgSz w:w="11900" w:h="16838" w:orient="portrait"/>
          <w:cols w:equalWidth="0" w:num="2">
            <w:col w:w="6860" w:space="60"/>
            <w:col w:w="2099"/>
          </w:cols>
          <w:pgMar w:left="1440" w:top="106" w:right="1440"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Condensed Consolidated Balance Sheets</w:t>
      </w:r>
    </w:p>
    <w:p>
      <w:pPr>
        <w:spacing w:after="0" w:line="4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Condensed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2095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535680" cy="209550"/>
                    </a:xfrm>
                    <a:prstGeom prst="rect">
                      <a:avLst/>
                    </a:prstGeom>
                    <a:noFill/>
                  </pic:spPr>
                </pic:pic>
              </a:graphicData>
            </a:graphic>
          </wp:anchor>
        </w:drawing>
      </w:r>
    </w:p>
    <w:p>
      <w:pPr>
        <w:spacing w:after="0" w:line="16" w:lineRule="exact"/>
        <w:rPr>
          <w:sz w:val="20"/>
          <w:szCs w:val="20"/>
          <w:color w:val="auto"/>
        </w:rPr>
      </w:pPr>
    </w:p>
    <w:p>
      <w:pPr>
        <w:ind w:left="1840" w:hanging="121"/>
        <w:spacing w:after="0" w:line="291" w:lineRule="auto"/>
        <w:rPr>
          <w:sz w:val="20"/>
          <w:szCs w:val="20"/>
          <w:color w:val="auto"/>
        </w:rPr>
      </w:pPr>
      <w:r>
        <w:rPr>
          <w:rFonts w:ascii="Times New Roman" w:cs="Times New Roman" w:eastAsia="Times New Roman" w:hAnsi="Times New Roman"/>
          <w:sz w:val="12"/>
          <w:szCs w:val="12"/>
          <w:u w:val="single" w:color="auto"/>
          <w:color w:val="0000EE"/>
        </w:rPr>
        <w:t>Condensed Consolidated Statements of Redeemable Convertible Preferred Stock and Stockholders’ Deficit</w:t>
      </w:r>
    </w:p>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1162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Notes to Condensed Consolidated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0000EE"/>
        </w:rPr>
        <w:t>F-35</w:t>
      </w:r>
      <w:r>
        <w:rPr>
          <w:rFonts w:ascii="Times New Roman" w:cs="Times New Roman" w:eastAsia="Times New Roman" w:hAnsi="Times New Roman"/>
          <w:sz w:val="12"/>
          <w:szCs w:val="12"/>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0000EE"/>
        </w:rPr>
        <w:t>F-36</w:t>
      </w:r>
      <w:r>
        <w:rPr>
          <w:rFonts w:ascii="Times New Roman" w:cs="Times New Roman" w:eastAsia="Times New Roman" w:hAnsi="Times New Roman"/>
          <w:sz w:val="12"/>
          <w:szCs w:val="12"/>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u w:val="single" w:color="auto"/>
          <w:color w:val="0000EE"/>
        </w:rPr>
        <w:t>F-37</w:t>
      </w:r>
      <w:r>
        <w:rPr>
          <w:rFonts w:ascii="Times New Roman" w:cs="Times New Roman" w:eastAsia="Times New Roman" w:hAnsi="Times New Roman"/>
          <w:sz w:val="12"/>
          <w:szCs w:val="12"/>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0000EE"/>
        </w:rPr>
        <w:t>F-38</w:t>
      </w:r>
      <w:r>
        <w:rPr>
          <w:rFonts w:ascii="Times New Roman" w:cs="Times New Roman" w:eastAsia="Times New Roman" w:hAnsi="Times New Roman"/>
          <w:sz w:val="12"/>
          <w:szCs w:val="12"/>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0000EE"/>
        </w:rPr>
        <w:t>F-39</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ectPr>
          <w:pgSz w:w="11900" w:h="16838" w:orient="portrait"/>
          <w:cols w:equalWidth="0" w:num="2">
            <w:col w:w="6800" w:space="120"/>
            <w:col w:w="2099"/>
          </w:cols>
          <w:pgMar w:left="1440" w:top="10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208" w:name="page209"/>
    <w:bookmarkEnd w:id="208"/>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To the Board of Directors and Stockholders of Alumis Inc.</w:t>
      </w:r>
    </w:p>
    <w:p>
      <w:pPr>
        <w:spacing w:after="0" w:line="15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Opinion on the Financial Statements</w:t>
      </w:r>
    </w:p>
    <w:p>
      <w:pPr>
        <w:spacing w:after="0" w:line="111"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Alumis Inc. and its subsidiaries (the “Company”) as of December 31, 2023 and 2022, and the related consolidated statements of operations and comprehensive loss,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27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Substantial Doubt About the Company’s Ability to Continue as a Going Concern</w:t>
      </w:r>
    </w:p>
    <w:p>
      <w:pPr>
        <w:spacing w:after="0" w:line="102"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color w:val="auto"/>
        </w:rPr>
        <w:t>The accompanying consolidated financial statements have been prepared assuming that the Company will continue as a going concern. As discussed in Note 1 to the consolidated financial statements, the Company has incurred negative operating cash flows and significant losses from operations since its inception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2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Basis for Opinion</w:t>
      </w:r>
    </w:p>
    <w:p>
      <w:pPr>
        <w:spacing w:after="0" w:line="111"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4"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212"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/s/ PricewaterhouseCoopers LLP</w:t>
      </w:r>
    </w:p>
    <w:p>
      <w:pPr>
        <w:spacing w:after="0" w:line="10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San Jose, California</w:t>
      </w:r>
    </w:p>
    <w:p>
      <w:pPr>
        <w:spacing w:after="0" w:line="27"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April 10, 2024, except for the effects of the reverse stock split discussed in Note 15 to the consolidated financial statements, as to which the date is June 24, 2024</w:t>
      </w:r>
    </w:p>
    <w:p>
      <w:pPr>
        <w:spacing w:after="0" w:line="5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09" w:name="page210"/>
    <w:bookmarkEnd w:id="209"/>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97"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0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80" w:type="dxa"/>
            <w:vAlign w:val="bottom"/>
            <w:gridSpan w:val="8"/>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December 31,  December 31,</w:t>
            </w:r>
          </w:p>
        </w:tc>
      </w:tr>
      <w:tr>
        <w:trPr>
          <w:trHeight w:val="136"/>
        </w:trPr>
        <w:tc>
          <w:tcPr>
            <w:tcW w:w="20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2"/>
              </w:rPr>
              <w:t>(in thousands, except share and per share amounts)</w:t>
            </w:r>
          </w:p>
        </w:tc>
        <w:tc>
          <w:tcPr>
            <w:tcW w:w="2260" w:type="dxa"/>
            <w:vAlign w:val="bottom"/>
          </w:tcPr>
          <w:p>
            <w:pPr>
              <w:spacing w:after="0"/>
              <w:rPr>
                <w:sz w:val="11"/>
                <w:szCs w:val="11"/>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40" w:type="dxa"/>
            <w:vAlign w:val="bottom"/>
            <w:gridSpan w:val="2"/>
          </w:tcPr>
          <w:p>
            <w:pPr>
              <w:jc w:val="right"/>
              <w:ind w:right="99"/>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20" w:type="dxa"/>
            <w:vAlign w:val="bottom"/>
          </w:tcPr>
          <w:p>
            <w:pPr>
              <w:spacing w:after="0"/>
              <w:rPr>
                <w:sz w:val="11"/>
                <w:szCs w:val="1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20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5"/>
        </w:trPr>
        <w:tc>
          <w:tcPr>
            <w:tcW w:w="2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260" w:type="dxa"/>
            <w:vAlign w:val="bottom"/>
          </w:tcPr>
          <w:p>
            <w:pPr>
              <w:spacing w:after="0"/>
              <w:rPr>
                <w:sz w:val="12"/>
                <w:szCs w:val="12"/>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40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380" w:type="dxa"/>
            <w:vAlign w:val="bottom"/>
          </w:tcPr>
          <w:p>
            <w:pPr>
              <w:spacing w:after="0"/>
              <w:rPr>
                <w:sz w:val="12"/>
                <w:szCs w:val="1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6"/>
        </w:trPr>
        <w:tc>
          <w:tcPr>
            <w:tcW w:w="4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tcPr>
          <w:p>
            <w:pPr>
              <w:spacing w:after="0"/>
              <w:rPr>
                <w:sz w:val="13"/>
                <w:szCs w:val="13"/>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r>
      <w:tr>
        <w:trPr>
          <w:trHeight w:val="156"/>
        </w:trPr>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45,996</w:t>
            </w:r>
          </w:p>
        </w:tc>
        <w:tc>
          <w:tcPr>
            <w:tcW w:w="20" w:type="dxa"/>
            <w:vAlign w:val="bottom"/>
            <w:shd w:val="clear" w:color="auto" w:fill="CCEEFF"/>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6"/>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Marketable securities</w:t>
            </w:r>
          </w:p>
        </w:tc>
        <w:tc>
          <w:tcPr>
            <w:tcW w:w="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67,255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2,956</w:t>
            </w:r>
          </w:p>
        </w:tc>
        <w:tc>
          <w:tcPr>
            <w:tcW w:w="2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6"/>
        </w:trPr>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Restricted cash</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20" w:type="dxa"/>
            <w:vAlign w:val="bottom"/>
            <w:shd w:val="clear" w:color="auto" w:fill="CCEEFF"/>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6"/>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Research and development prepaid expenses</w:t>
            </w:r>
          </w:p>
        </w:tc>
        <w:tc>
          <w:tcPr>
            <w:tcW w:w="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2,661</w:t>
            </w:r>
          </w:p>
        </w:tc>
        <w:tc>
          <w:tcPr>
            <w:tcW w:w="2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prepaid expenses and current assets</w:t>
            </w:r>
          </w:p>
        </w:tc>
        <w:tc>
          <w:tcPr>
            <w:tcW w:w="20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1,298</w:t>
            </w:r>
          </w:p>
        </w:tc>
        <w:tc>
          <w:tcPr>
            <w:tcW w:w="240" w:type="dxa"/>
            <w:vAlign w:val="bottom"/>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1,631</w:t>
            </w:r>
          </w:p>
        </w:tc>
        <w:tc>
          <w:tcPr>
            <w:tcW w:w="20" w:type="dxa"/>
            <w:vAlign w:val="bottom"/>
            <w:shd w:val="clear" w:color="auto" w:fill="CCEEFF"/>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0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5"/>
        </w:trPr>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Total current assets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​102,555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53,357</w:t>
            </w:r>
          </w:p>
        </w:tc>
        <w:tc>
          <w:tcPr>
            <w:tcW w:w="2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cash, non-current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1,024</w:t>
            </w:r>
          </w:p>
        </w:tc>
        <w:tc>
          <w:tcPr>
            <w:tcW w:w="20" w:type="dxa"/>
            <w:vAlign w:val="bottom"/>
            <w:shd w:val="clear" w:color="auto" w:fill="CCEEFF"/>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6"/>
        </w:trPr>
        <w:tc>
          <w:tcPr>
            <w:tcW w:w="4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22,441</w:t>
            </w:r>
          </w:p>
        </w:tc>
        <w:tc>
          <w:tcPr>
            <w:tcW w:w="2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right-of-use assets, net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12,783</w:t>
            </w:r>
          </w:p>
        </w:tc>
        <w:tc>
          <w:tcPr>
            <w:tcW w:w="20" w:type="dxa"/>
            <w:vAlign w:val="bottom"/>
            <w:shd w:val="clear" w:color="auto" w:fill="CCEEFF"/>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4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long-term assets</w:t>
            </w:r>
          </w:p>
        </w:tc>
        <w:tc>
          <w:tcPr>
            <w:tcW w:w="200" w:type="dxa"/>
            <w:vAlign w:val="bottom"/>
            <w:gridSpan w:val="2"/>
          </w:tcPr>
          <w:p>
            <w:pPr>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0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4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assets</w:t>
            </w:r>
          </w:p>
        </w:tc>
        <w:tc>
          <w:tcPr>
            <w:tcW w:w="600" w:type="dxa"/>
            <w:vAlign w:val="bottom"/>
            <w:tcBorders>
              <w:right w:val="single" w:sz="8" w:color="CCEEFF"/>
            </w:tcBorders>
            <w:gridSpan w:val="3"/>
            <w:shd w:val="clear" w:color="auto" w:fill="CCEEFF"/>
          </w:tcPr>
          <w:p>
            <w:pPr>
              <w:jc w:val="right"/>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$ 108,168</w:t>
            </w:r>
          </w:p>
        </w:tc>
        <w:tc>
          <w:tcPr>
            <w:tcW w:w="240" w:type="dxa"/>
            <w:vAlign w:val="bottom"/>
            <w:gridSpan w:val="2"/>
            <w:shd w:val="clear" w:color="auto" w:fill="CCEEFF"/>
          </w:tcPr>
          <w:p>
            <w:pPr>
              <w:jc w:val="right"/>
              <w:spacing w:after="0" w:line="164"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vertAlign w:val="superscript"/>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89,612</w:t>
            </w:r>
          </w:p>
        </w:tc>
        <w:tc>
          <w:tcPr>
            <w:tcW w:w="20" w:type="dxa"/>
            <w:vAlign w:val="bottom"/>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0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40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38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5"/>
        </w:trPr>
        <w:tc>
          <w:tcPr>
            <w:tcW w:w="432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b w:val="1"/>
                <w:bCs w:val="1"/>
                <w:color w:val="auto"/>
              </w:rPr>
              <w:t>Liabilities, Redeemable Convertible Preferred Stock and Stockholders’ Deficit</w:t>
            </w:r>
          </w:p>
        </w:tc>
        <w:tc>
          <w:tcPr>
            <w:tcW w:w="20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b w:val="1"/>
                <w:bCs w:val="1"/>
                <w:color w:val="auto"/>
              </w:rPr>
              <w:t>​​​ ​</w:t>
            </w:r>
          </w:p>
        </w:tc>
        <w:tc>
          <w:tcPr>
            <w:tcW w:w="400" w:type="dxa"/>
            <w:vAlign w:val="bottom"/>
          </w:tcPr>
          <w:p>
            <w:pPr>
              <w:spacing w:after="0"/>
              <w:rPr>
                <w:sz w:val="10"/>
                <w:szCs w:val="10"/>
                <w:color w:val="auto"/>
              </w:rPr>
            </w:pPr>
          </w:p>
        </w:tc>
        <w:tc>
          <w:tcPr>
            <w:tcW w:w="1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tcPr>
          <w:p>
            <w:pPr>
              <w:spacing w:after="0"/>
              <w:rPr>
                <w:sz w:val="10"/>
                <w:szCs w:val="10"/>
                <w:color w:val="auto"/>
              </w:rPr>
            </w:pPr>
          </w:p>
        </w:tc>
        <w:tc>
          <w:tcPr>
            <w:tcW w:w="6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2"/>
                <w:szCs w:val="12"/>
                <w:b w:val="1"/>
                <w:bCs w:val="1"/>
                <w:color w:val="auto"/>
              </w:rPr>
              <w:t>​​</w:t>
            </w:r>
          </w:p>
        </w:tc>
      </w:tr>
      <w:tr>
        <w:trPr>
          <w:trHeight w:val="15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Borders>
              <w:right w:val="single" w:sz="8" w:color="CCEEFF"/>
            </w:tcBorders>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6"/>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1,118</w:t>
            </w:r>
          </w:p>
        </w:tc>
        <w:tc>
          <w:tcPr>
            <w:tcW w:w="2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6"/>
        </w:trPr>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Research and development accrued expenses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10,946</w:t>
            </w:r>
          </w:p>
        </w:tc>
        <w:tc>
          <w:tcPr>
            <w:tcW w:w="20" w:type="dxa"/>
            <w:vAlign w:val="bottom"/>
            <w:shd w:val="clear" w:color="auto" w:fill="CCEEFF"/>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6"/>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Other accrued expenses and current liabilities</w:t>
            </w:r>
          </w:p>
        </w:tc>
        <w:tc>
          <w:tcPr>
            <w:tcW w:w="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7,087</w:t>
            </w:r>
          </w:p>
        </w:tc>
        <w:tc>
          <w:tcPr>
            <w:tcW w:w="2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Operating lease liabilities, current</w:t>
            </w:r>
          </w:p>
        </w:tc>
        <w:tc>
          <w:tcPr>
            <w:tcW w:w="20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1,310</w:t>
            </w:r>
          </w:p>
        </w:tc>
        <w:tc>
          <w:tcPr>
            <w:tcW w:w="240" w:type="dxa"/>
            <w:vAlign w:val="bottom"/>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1,720</w:t>
            </w:r>
          </w:p>
        </w:tc>
        <w:tc>
          <w:tcPr>
            <w:tcW w:w="20" w:type="dxa"/>
            <w:vAlign w:val="bottom"/>
            <w:shd w:val="clear" w:color="auto" w:fill="CCEEFF"/>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0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5"/>
        </w:trPr>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13,352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20,871</w:t>
            </w:r>
          </w:p>
        </w:tc>
        <w:tc>
          <w:tcPr>
            <w:tcW w:w="2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6"/>
        </w:trPr>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Operating lease liabilities, non-current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30,860</w:t>
            </w:r>
          </w:p>
        </w:tc>
        <w:tc>
          <w:tcPr>
            <w:tcW w:w="20" w:type="dxa"/>
            <w:vAlign w:val="bottom"/>
            <w:shd w:val="clear" w:color="auto" w:fill="CCEEFF"/>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6"/>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Share repurchase liability</w:t>
            </w:r>
          </w:p>
        </w:tc>
        <w:tc>
          <w:tcPr>
            <w:tcW w:w="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1,771</w:t>
            </w:r>
          </w:p>
        </w:tc>
        <w:tc>
          <w:tcPr>
            <w:tcW w:w="2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liabilities, non-current</w:t>
            </w:r>
          </w:p>
        </w:tc>
        <w:tc>
          <w:tcPr>
            <w:tcW w:w="20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w:t>
            </w:r>
          </w:p>
        </w:tc>
        <w:tc>
          <w:tcPr>
            <w:tcW w:w="240" w:type="dxa"/>
            <w:vAlign w:val="bottom"/>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0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Total liabilities</w:t>
            </w:r>
          </w:p>
        </w:tc>
        <w:tc>
          <w:tcPr>
            <w:tcW w:w="200" w:type="dxa"/>
            <w:vAlign w:val="bottom"/>
            <w:gridSpan w:val="2"/>
          </w:tcPr>
          <w:p>
            <w:pPr>
              <w:spacing w:after="0" w:line="173"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17,937</w:t>
            </w:r>
          </w:p>
        </w:tc>
        <w:tc>
          <w:tcPr>
            <w:tcW w:w="24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53,502</w:t>
            </w:r>
          </w:p>
        </w:tc>
        <w:tc>
          <w:tcPr>
            <w:tcW w:w="2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0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5"/>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Commitments and contingencies (Note 8)</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Borders>
              <w:right w:val="single" w:sz="8" w:color="CCEEFF"/>
            </w:tcBorders>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2"/>
        </w:trPr>
        <w:tc>
          <w:tcPr>
            <w:tcW w:w="4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Redeemable convertible preferred stock, $0.0001 par value; 67,960,088 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7"/>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89,016,578 shares authorized as of December 31, 2022 and 2023, respectively;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67,960,088 and 85,960,088 shares issued and outstanding as of December 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2022 and 2023, respectively; aggregate liquidation preference of $280,540 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9"/>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$370,540 as of December 31, 2022 and 2023, respectively</w:t>
            </w:r>
          </w:p>
        </w:tc>
        <w:tc>
          <w:tcPr>
            <w:tcW w:w="1280" w:type="dxa"/>
            <w:vAlign w:val="bottom"/>
            <w:gridSpan w:val="8"/>
          </w:tcPr>
          <w:p>
            <w:pPr>
              <w:jc w:val="right"/>
              <w:spacing w:after="0"/>
              <w:rPr>
                <w:sz w:val="20"/>
                <w:szCs w:val="20"/>
                <w:color w:val="auto"/>
              </w:rPr>
            </w:pPr>
            <w:r>
              <w:rPr>
                <w:rFonts w:ascii="Times New Roman" w:cs="Times New Roman" w:eastAsia="Times New Roman" w:hAnsi="Times New Roman"/>
                <w:sz w:val="12"/>
                <w:szCs w:val="12"/>
                <w:color w:val="auto"/>
              </w:rPr>
              <w:t xml:space="preserve">​​​ ​285,473 ​​​​ ​375,370 </w:t>
            </w:r>
            <w:r>
              <w:rPr>
                <w:rFonts w:ascii="Times New Roman" w:cs="Times New Roman" w:eastAsia="Times New Roman" w:hAnsi="Times New Roman"/>
                <w:sz w:val="12"/>
                <w:szCs w:val="12"/>
                <w:b w:val="1"/>
                <w:bCs w:val="1"/>
                <w:color w:val="auto"/>
              </w:rPr>
              <w:t>​</w:t>
            </w:r>
          </w:p>
        </w:tc>
      </w:tr>
      <w:tr>
        <w:trPr>
          <w:trHeight w:val="15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Stockholders’ deficit: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Borders>
              <w:right w:val="single" w:sz="8" w:color="CCEEFF"/>
            </w:tcBorders>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2"/>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Common stock, $0.0001 par value; 100,000,000 and 125,000,000 Class A 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7"/>
        </w:trPr>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authorized as of December 31, 2022 and 2023, respectively; 2,642,334 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2,675,979 Class A shares issued and outstanding as of December 31, 2022 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2023, respectively; 67,960,088 and 85,960,088 Class B shares authorized as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December 31, 2022 and 2023, respectively; no Class B shares issued 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9"/>
        </w:trPr>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outstanding as of December 31, 2022 and 2023</w:t>
            </w:r>
          </w:p>
        </w:tc>
        <w:tc>
          <w:tcPr>
            <w:tcW w:w="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6"/>
        </w:trPr>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25,055</w:t>
            </w:r>
          </w:p>
        </w:tc>
        <w:tc>
          <w:tcPr>
            <w:tcW w:w="20" w:type="dxa"/>
            <w:vAlign w:val="bottom"/>
            <w:shd w:val="clear" w:color="auto" w:fill="CCEEFF"/>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6"/>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(loss) income</w:t>
            </w:r>
          </w:p>
        </w:tc>
        <w:tc>
          <w:tcPr>
            <w:tcW w:w="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(127)​​​​ ​</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deficit</w:t>
            </w:r>
          </w:p>
        </w:tc>
        <w:tc>
          <w:tcPr>
            <w:tcW w:w="1240" w:type="dxa"/>
            <w:vAlign w:val="bottom"/>
            <w:gridSpan w:val="7"/>
            <w:shd w:val="clear" w:color="auto" w:fill="CCEEFF"/>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​(209,325)</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​(364,318)</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0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Total stockholders’ deficit</w:t>
            </w:r>
          </w:p>
        </w:tc>
        <w:tc>
          <w:tcPr>
            <w:tcW w:w="1280" w:type="dxa"/>
            <w:vAlign w:val="bottom"/>
            <w:gridSpan w:val="8"/>
          </w:tcPr>
          <w:p>
            <w:pPr>
              <w:jc w:val="right"/>
              <w:spacing w:after="0" w:line="173"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​(195,242)</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​(339,260)</w:t>
            </w:r>
            <w:r>
              <w:rPr>
                <w:rFonts w:ascii="Times New Roman" w:cs="Times New Roman" w:eastAsia="Times New Roman" w:hAnsi="Times New Roman"/>
                <w:sz w:val="19"/>
                <w:szCs w:val="19"/>
                <w:b w:val="1"/>
                <w:bCs w:val="1"/>
                <w:color w:val="auto"/>
                <w:vertAlign w:val="subscript"/>
              </w:rPr>
              <w:t>​</w:t>
            </w:r>
          </w:p>
        </w:tc>
      </w:tr>
      <w:tr>
        <w:trPr>
          <w:trHeight w:val="20"/>
        </w:trPr>
        <w:tc>
          <w:tcPr>
            <w:tcW w:w="20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shd w:val="clear" w:color="auto" w:fill="CCEEFF"/>
              </w:rPr>
              <w:t>Total liabilities, redeemable convertible preferred stock and stockholders’ deficit</w:t>
            </w:r>
          </w:p>
        </w:tc>
        <w:tc>
          <w:tcPr>
            <w:tcW w:w="600" w:type="dxa"/>
            <w:vAlign w:val="bottom"/>
            <w:tcBorders>
              <w:right w:val="single" w:sz="8" w:color="CCEEFF"/>
            </w:tcBorders>
            <w:gridSpan w:val="3"/>
            <w:shd w:val="clear" w:color="auto" w:fill="CCEEFF"/>
          </w:tcPr>
          <w:p>
            <w:pPr>
              <w:jc w:val="right"/>
              <w:spacing w:after="0" w:line="163" w:lineRule="exact"/>
              <w:rPr>
                <w:sz w:val="20"/>
                <w:szCs w:val="20"/>
                <w:color w:val="auto"/>
              </w:rPr>
            </w:pPr>
            <w:r>
              <w:rPr>
                <w:rFonts w:ascii="Times New Roman" w:cs="Times New Roman" w:eastAsia="Times New Roman" w:hAnsi="Times New Roman"/>
                <w:sz w:val="18"/>
                <w:szCs w:val="18"/>
                <w:color w:val="auto"/>
                <w:vertAlign w:val="subscript"/>
                <w:shd w:val="clear" w:color="auto" w:fill="CCEEFF"/>
              </w:rPr>
              <w:t>​​​</w:t>
            </w:r>
            <w:r>
              <w:rPr>
                <w:rFonts w:ascii="Times New Roman" w:cs="Times New Roman" w:eastAsia="Times New Roman" w:hAnsi="Times New Roman"/>
                <w:sz w:val="10"/>
                <w:szCs w:val="10"/>
                <w:color w:val="auto"/>
                <w:shd w:val="clear" w:color="auto" w:fill="CCEEFF"/>
              </w:rPr>
              <w:t>$ 108,168</w:t>
            </w:r>
          </w:p>
        </w:tc>
        <w:tc>
          <w:tcPr>
            <w:tcW w:w="240" w:type="dxa"/>
            <w:vAlign w:val="bottom"/>
            <w:gridSpan w:val="2"/>
            <w:shd w:val="clear" w:color="auto" w:fill="CCEEFF"/>
          </w:tcPr>
          <w:p>
            <w:pPr>
              <w:jc w:val="right"/>
              <w:spacing w:after="0" w:line="163" w:lineRule="exact"/>
              <w:rPr>
                <w:sz w:val="20"/>
                <w:szCs w:val="20"/>
                <w:color w:val="auto"/>
              </w:rPr>
            </w:pPr>
            <w:r>
              <w:rPr>
                <w:rFonts w:ascii="Times New Roman" w:cs="Times New Roman" w:eastAsia="Times New Roman" w:hAnsi="Times New Roman"/>
                <w:sz w:val="10"/>
                <w:szCs w:val="10"/>
                <w:color w:val="auto"/>
                <w:shd w:val="clear" w:color="auto" w:fill="CCEEFF"/>
              </w:rPr>
              <w:t>​​​​</w:t>
            </w:r>
            <w:r>
              <w:rPr>
                <w:rFonts w:ascii="Times New Roman" w:cs="Times New Roman" w:eastAsia="Times New Roman" w:hAnsi="Times New Roman"/>
                <w:sz w:val="18"/>
                <w:szCs w:val="18"/>
                <w:color w:val="auto"/>
                <w:vertAlign w:val="superscript"/>
                <w:shd w:val="clear" w:color="auto" w:fill="CCEEFF"/>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89,612</w:t>
            </w:r>
          </w:p>
        </w:tc>
        <w:tc>
          <w:tcPr>
            <w:tcW w:w="20" w:type="dxa"/>
            <w:vAlign w:val="bottom"/>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7"/>
        </w:trPr>
        <w:tc>
          <w:tcPr>
            <w:tcW w:w="20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00" w:type="dxa"/>
            <w:vAlign w:val="bottom"/>
            <w:tcBorders>
              <w:right w:val="single" w:sz="8" w:color="CCEEFF"/>
            </w:tcBorders>
            <w:shd w:val="clear" w:color="auto" w:fill="000000"/>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-4337685</wp:posOffset>
            </wp:positionV>
            <wp:extent cx="3535680" cy="990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535680" cy="9906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-144780</wp:posOffset>
            </wp:positionV>
            <wp:extent cx="353568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535680" cy="5715"/>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-266700</wp:posOffset>
            </wp:positionV>
            <wp:extent cx="23495"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349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-1831340</wp:posOffset>
            </wp:positionV>
            <wp:extent cx="353568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535680" cy="5715"/>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-1953260</wp:posOffset>
            </wp:positionV>
            <wp:extent cx="23495"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3495" cy="5715"/>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-2372360</wp:posOffset>
            </wp:positionV>
            <wp:extent cx="2349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349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-3110865</wp:posOffset>
            </wp:positionV>
            <wp:extent cx="353568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535680" cy="5715"/>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-3628390</wp:posOffset>
            </wp:positionV>
            <wp:extent cx="23495"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3495" cy="5715"/>
                    </a:xfrm>
                    <a:prstGeom prst="rect">
                      <a:avLst/>
                    </a:prstGeom>
                    <a:noFill/>
                  </pic:spPr>
                </pic:pic>
              </a:graphicData>
            </a:graphic>
          </wp:anchor>
        </w:drawing>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10" w:name="page211"/>
    <w:bookmarkEnd w:id="210"/>
    <w:p>
      <w:pPr>
        <w:spacing w:after="0" w:line="189" w:lineRule="auto"/>
        <w:framePr w:w="3820" w:h="109" w:wrap="auto" w:vAnchor="page" w:hAnchor="page" w:x="3120" w:y="4675"/>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Weighted-average Class A common shares outstanding, basic and diluted</w:t>
      </w:r>
    </w:p>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rFonts w:ascii="Times New Roman" w:cs="Times New Roman" w:eastAsia="Times New Roman" w:hAnsi="Times New Roman"/>
          <w:sz w:val="12"/>
          <w:szCs w:val="12"/>
          <w:color w:val="auto"/>
        </w:rPr>
      </w:pPr>
    </w:p>
    <w:p>
      <w:pPr>
        <w:spacing w:after="0" w:line="366" w:lineRule="exact"/>
        <w:rPr>
          <w:rFonts w:ascii="Times New Roman" w:cs="Times New Roman" w:eastAsia="Times New Roman" w:hAnsi="Times New Roman"/>
          <w:sz w:val="12"/>
          <w:szCs w:val="12"/>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rFonts w:ascii="Times New Roman" w:cs="Times New Roman" w:eastAsia="Times New Roman" w:hAnsi="Times New Roman"/>
          <w:sz w:val="12"/>
          <w:szCs w:val="12"/>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 AND COMPREHENSIVE LOSS</w:t>
      </w:r>
    </w:p>
    <w:p>
      <w:pPr>
        <w:spacing w:after="0" w:line="116" w:lineRule="exact"/>
        <w:rPr>
          <w:rFonts w:ascii="Times New Roman" w:cs="Times New Roman" w:eastAsia="Times New Roman" w:hAnsi="Times New Roman"/>
          <w:sz w:val="12"/>
          <w:szCs w:val="12"/>
          <w:color w:val="auto"/>
        </w:rPr>
      </w:pPr>
    </w:p>
    <w:tbl>
      <w:tblPr>
        <w:tblLayout w:type="fixed"/>
        <w:tblInd w:w="1720" w:type="dxa"/>
        <w:tblCellMar>
          <w:top w:w="0" w:type="dxa"/>
          <w:left w:w="0" w:type="dxa"/>
          <w:bottom w:w="0" w:type="dxa"/>
          <w:right w:w="0" w:type="dxa"/>
        </w:tblCellMar>
      </w:tblPr>
      <w:tr>
        <w:trPr>
          <w:trHeight w:val="115"/>
        </w:trPr>
        <w:tc>
          <w:tcPr>
            <w:tcW w:w="20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4"/>
          </w:tcPr>
          <w:p>
            <w:pPr>
              <w:jc w:val="center"/>
              <w:ind w:right="82"/>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120" w:type="dxa"/>
            <w:vAlign w:val="bottom"/>
          </w:tcPr>
          <w:p>
            <w:pPr>
              <w:spacing w:after="0"/>
              <w:rPr>
                <w:sz w:val="10"/>
                <w:szCs w:val="10"/>
                <w:color w:val="auto"/>
              </w:rPr>
            </w:pPr>
          </w:p>
        </w:tc>
        <w:tc>
          <w:tcPr>
            <w:tcW w:w="500" w:type="dxa"/>
            <w:vAlign w:val="bottom"/>
            <w:gridSpan w:val="2"/>
          </w:tcPr>
          <w:p>
            <w:pPr>
              <w:jc w:val="center"/>
              <w:ind w:right="2"/>
              <w:spacing w:after="0"/>
              <w:rPr>
                <w:sz w:val="20"/>
                <w:szCs w:val="20"/>
                <w:color w:val="auto"/>
              </w:rPr>
            </w:pPr>
            <w:r>
              <w:rPr>
                <w:rFonts w:ascii="Times New Roman" w:cs="Times New Roman" w:eastAsia="Times New Roman" w:hAnsi="Times New Roman"/>
                <w:sz w:val="10"/>
                <w:szCs w:val="10"/>
                <w:b w:val="1"/>
                <w:bCs w:val="1"/>
                <w:color w:val="auto"/>
                <w:w w:val="89"/>
              </w:rPr>
              <w:t>Year ended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800" w:type="dxa"/>
            <w:vAlign w:val="bottom"/>
            <w:gridSpan w:val="5"/>
          </w:tcPr>
          <w:p>
            <w:pPr>
              <w:ind w:left="140"/>
              <w:spacing w:after="0" w:line="11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620" w:type="dxa"/>
            <w:vAlign w:val="bottom"/>
            <w:gridSpan w:val="3"/>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2"/>
              </w:rPr>
              <w:t>(in thousands, except share and per share amounts)</w:t>
            </w:r>
          </w:p>
        </w:tc>
        <w:tc>
          <w:tcPr>
            <w:tcW w:w="2080" w:type="dxa"/>
            <w:vAlign w:val="bottom"/>
          </w:tcPr>
          <w:p>
            <w:pPr>
              <w:spacing w:after="0"/>
              <w:rPr>
                <w:sz w:val="10"/>
                <w:szCs w:val="1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auto"/>
            </w:tcBorders>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72"/>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 ​</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 ​</w:t>
            </w:r>
          </w:p>
        </w:tc>
        <w:tc>
          <w:tcPr>
            <w:tcW w:w="440" w:type="dxa"/>
            <w:vAlign w:val="bottom"/>
            <w:shd w:val="clear" w:color="auto" w:fill="CCEEFF"/>
          </w:tcPr>
          <w:p>
            <w:pPr>
              <w:spacing w:after="0"/>
              <w:rPr>
                <w:sz w:val="14"/>
                <w:szCs w:val="14"/>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2"/>
        </w:trPr>
        <w:tc>
          <w:tcPr>
            <w:tcW w:w="4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Research and development expenses, including related party expenses of $1,570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and $1,519 for the years ended December 31, 2022 and 2023, respectively</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101,304​​ ​​$</w:t>
            </w:r>
          </w:p>
        </w:tc>
        <w:tc>
          <w:tcPr>
            <w:tcW w:w="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137,676</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3"/>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26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21"/>
                <w:szCs w:val="21"/>
                <w:color w:val="auto"/>
                <w:vertAlign w:val="superscript"/>
              </w:rPr>
              <w:t>​</w:t>
            </w:r>
          </w:p>
        </w:tc>
        <w:tc>
          <w:tcPr>
            <w:tcW w:w="720" w:type="dxa"/>
            <w:vAlign w:val="bottom"/>
            <w:gridSpan w:val="5"/>
            <w:shd w:val="clear" w:color="auto" w:fill="CCEEFF"/>
          </w:tcPr>
          <w:p>
            <w:pPr>
              <w:jc w:val="right"/>
              <w:spacing w:after="0" w:line="184" w:lineRule="exact"/>
              <w:rPr>
                <w:sz w:val="20"/>
                <w:szCs w:val="20"/>
                <w:color w:val="auto"/>
              </w:rPr>
            </w:pPr>
            <w:r>
              <w:rPr>
                <w:rFonts w:ascii="Times New Roman" w:cs="Times New Roman" w:eastAsia="Times New Roman" w:hAnsi="Times New Roman"/>
                <w:sz w:val="11"/>
                <w:szCs w:val="11"/>
                <w:color w:val="auto"/>
              </w:rPr>
              <w:t>12,546</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1"/>
                <w:szCs w:val="11"/>
                <w:color w:val="auto"/>
              </w:rPr>
              <w:t xml:space="preserve">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20,498</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1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Total operating expenses</w:t>
            </w:r>
          </w:p>
        </w:tc>
        <w:tc>
          <w:tcPr>
            <w:tcW w:w="26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9"/>
                <w:szCs w:val="19"/>
                <w:color w:val="auto"/>
                <w:vertAlign w:val="superscript"/>
              </w:rPr>
              <w:t>​</w:t>
            </w:r>
          </w:p>
        </w:tc>
        <w:tc>
          <w:tcPr>
            <w:tcW w:w="720" w:type="dxa"/>
            <w:vAlign w:val="bottom"/>
            <w:gridSpan w:val="5"/>
          </w:tcPr>
          <w:p>
            <w:pPr>
              <w:jc w:val="right"/>
              <w:spacing w:after="0" w:line="173" w:lineRule="exact"/>
              <w:rPr>
                <w:sz w:val="20"/>
                <w:szCs w:val="20"/>
                <w:color w:val="auto"/>
              </w:rPr>
            </w:pPr>
            <w:r>
              <w:rPr>
                <w:rFonts w:ascii="Times New Roman" w:cs="Times New Roman" w:eastAsia="Times New Roman" w:hAnsi="Times New Roman"/>
                <w:sz w:val="10"/>
                <w:szCs w:val="10"/>
                <w:color w:val="auto"/>
              </w:rPr>
              <w:t>113,850</w:t>
            </w: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10"/>
                <w:szCs w:val="10"/>
                <w:color w:val="auto"/>
              </w:rPr>
              <w:t xml:space="preserve"> ​</w:t>
            </w:r>
          </w:p>
        </w:tc>
        <w:tc>
          <w:tcPr>
            <w:tcW w:w="48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0"/>
                <w:szCs w:val="10"/>
                <w:color w:val="auto"/>
              </w:rPr>
              <w:t>158,174</w:t>
            </w:r>
            <w:r>
              <w:rPr>
                <w:rFonts w:ascii="Times New Roman" w:cs="Times New Roman" w:eastAsia="Times New Roman" w:hAnsi="Times New Roman"/>
                <w:sz w:val="19"/>
                <w:szCs w:val="19"/>
                <w:b w:val="1"/>
                <w:bCs w:val="1"/>
                <w:color w:val="auto"/>
                <w:vertAlign w:val="subscript"/>
              </w:rPr>
              <w:t>​</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from operations</w:t>
            </w:r>
          </w:p>
        </w:tc>
        <w:tc>
          <w:tcPr>
            <w:tcW w:w="142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 (113,850)​​ ​​ ​ (158,174)</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4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income (expense):</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 ​</w:t>
            </w:r>
          </w:p>
        </w:tc>
        <w:tc>
          <w:tcPr>
            <w:tcW w:w="44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income</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 ​</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1,992​​ ​​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3,368</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Change in fair value of derivative liability</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spacing w:after="0"/>
              <w:rPr>
                <w:sz w:val="15"/>
                <w:szCs w:val="15"/>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(119)</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7"/>
        </w:trPr>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income (expenses), net</w:t>
            </w: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Borders>
              <w:lef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w w:val="89"/>
              </w:rPr>
              <w:t>(72)</w:t>
            </w:r>
          </w:p>
        </w:tc>
        <w:tc>
          <w:tcPr>
            <w:tcW w:w="12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4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46"/>
        </w:trPr>
        <w:tc>
          <w:tcPr>
            <w:tcW w:w="206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140" w:type="dxa"/>
            <w:vAlign w:val="bottom"/>
            <w:vMerge w:val="continue"/>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jc w:val="right"/>
              <w:spacing w:after="0" w:line="46" w:lineRule="exact"/>
              <w:rPr>
                <w:sz w:val="20"/>
                <w:szCs w:val="20"/>
                <w:color w:val="auto"/>
              </w:rPr>
            </w:pPr>
            <w:r>
              <w:rPr>
                <w:rFonts w:ascii="Times New Roman" w:cs="Times New Roman" w:eastAsia="Times New Roman" w:hAnsi="Times New Roman"/>
                <w:sz w:val="5"/>
                <w:szCs w:val="5"/>
                <w:color w:val="auto"/>
              </w:rPr>
              <w:t>​​</w:t>
            </w:r>
          </w:p>
        </w:tc>
        <w:tc>
          <w:tcPr>
            <w:tcW w:w="120" w:type="dxa"/>
            <w:vAlign w:val="bottom"/>
            <w:tcBorders>
              <w:right w:val="single" w:sz="8" w:color="CCEEFF"/>
            </w:tcBorders>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0" w:type="dxa"/>
            <w:vAlign w:val="bottom"/>
            <w:tcBorders>
              <w:left w:val="single" w:sz="8" w:color="CCEEFF"/>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1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Total other income (expense), net</w:t>
            </w:r>
          </w:p>
        </w:tc>
        <w:tc>
          <w:tcPr>
            <w:tcW w:w="26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9"/>
                <w:szCs w:val="19"/>
                <w:color w:val="auto"/>
                <w:vertAlign w:val="superscript"/>
              </w:rPr>
              <w:t>​</w:t>
            </w:r>
          </w:p>
        </w:tc>
        <w:tc>
          <w:tcPr>
            <w:tcW w:w="720" w:type="dxa"/>
            <w:vAlign w:val="bottom"/>
            <w:gridSpan w:val="5"/>
          </w:tcPr>
          <w:p>
            <w:pPr>
              <w:jc w:val="right"/>
              <w:spacing w:after="0" w:line="173" w:lineRule="exact"/>
              <w:rPr>
                <w:sz w:val="20"/>
                <w:szCs w:val="20"/>
                <w:color w:val="auto"/>
              </w:rPr>
            </w:pPr>
            <w:r>
              <w:rPr>
                <w:rFonts w:ascii="Times New Roman" w:cs="Times New Roman" w:eastAsia="Times New Roman" w:hAnsi="Times New Roman"/>
                <w:sz w:val="10"/>
                <w:szCs w:val="10"/>
                <w:color w:val="auto"/>
              </w:rPr>
              <w:t>1,920</w:t>
            </w: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10"/>
                <w:szCs w:val="10"/>
                <w:color w:val="auto"/>
              </w:rPr>
              <w:t xml:space="preserve"> ​</w:t>
            </w:r>
          </w:p>
        </w:tc>
        <w:tc>
          <w:tcPr>
            <w:tcW w:w="48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0"/>
                <w:szCs w:val="10"/>
                <w:color w:val="auto"/>
              </w:rPr>
              <w:t>3,181</w:t>
            </w:r>
            <w:r>
              <w:rPr>
                <w:rFonts w:ascii="Times New Roman" w:cs="Times New Roman" w:eastAsia="Times New Roman" w:hAnsi="Times New Roman"/>
                <w:sz w:val="19"/>
                <w:szCs w:val="19"/>
                <w:b w:val="1"/>
                <w:bCs w:val="1"/>
                <w:color w:val="auto"/>
                <w:vertAlign w:val="subscript"/>
              </w:rPr>
              <w:t>​</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140" w:type="dxa"/>
            <w:vAlign w:val="bottom"/>
            <w:gridSpan w:val="2"/>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Net loss</w:t>
            </w:r>
          </w:p>
        </w:tc>
        <w:tc>
          <w:tcPr>
            <w:tcW w:w="14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shd w:val="clear" w:color="auto" w:fill="CCEEFF"/>
          </w:tcPr>
          <w:p>
            <w:pPr>
              <w:jc w:val="right"/>
              <w:ind w:right="22"/>
              <w:spacing w:after="0" w:line="127" w:lineRule="exact"/>
              <w:rPr>
                <w:sz w:val="20"/>
                <w:szCs w:val="20"/>
                <w:color w:val="auto"/>
              </w:rPr>
            </w:pPr>
            <w:r>
              <w:rPr>
                <w:rFonts w:ascii="Times New Roman" w:cs="Times New Roman" w:eastAsia="Times New Roman" w:hAnsi="Times New Roman"/>
                <w:sz w:val="12"/>
                <w:szCs w:val="12"/>
                <w:color w:val="auto"/>
                <w:w w:val="97"/>
              </w:rPr>
              <w:t>(111,930)</w:t>
            </w:r>
          </w:p>
        </w:tc>
        <w:tc>
          <w:tcPr>
            <w:tcW w:w="620" w:type="dxa"/>
            <w:vAlign w:val="bottom"/>
            <w:gridSpan w:val="3"/>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 (154,993)</w:t>
            </w:r>
          </w:p>
        </w:tc>
        <w:tc>
          <w:tcPr>
            <w:tcW w:w="4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46"/>
        </w:trPr>
        <w:tc>
          <w:tcPr>
            <w:tcW w:w="206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140" w:type="dxa"/>
            <w:vAlign w:val="bottom"/>
            <w:shd w:val="clear" w:color="auto" w:fill="CCEEFF"/>
          </w:tcPr>
          <w:p>
            <w:pPr>
              <w:ind w:left="40"/>
              <w:spacing w:after="0" w:line="46" w:lineRule="exact"/>
              <w:rPr>
                <w:sz w:val="20"/>
                <w:szCs w:val="20"/>
                <w:color w:val="auto"/>
              </w:rPr>
            </w:pPr>
            <w:r>
              <w:rPr>
                <w:rFonts w:ascii="Times New Roman" w:cs="Times New Roman" w:eastAsia="Times New Roman" w:hAnsi="Times New Roman"/>
                <w:sz w:val="5"/>
                <w:szCs w:val="5"/>
                <w:color w:val="auto"/>
              </w:rPr>
              <w:t>​ ​​</w:t>
            </w:r>
          </w:p>
        </w:tc>
        <w:tc>
          <w:tcPr>
            <w:tcW w:w="12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jc w:val="right"/>
              <w:spacing w:after="0" w:line="46" w:lineRule="exact"/>
              <w:rPr>
                <w:sz w:val="20"/>
                <w:szCs w:val="20"/>
                <w:color w:val="auto"/>
              </w:rPr>
            </w:pPr>
            <w:r>
              <w:rPr>
                <w:rFonts w:ascii="Times New Roman" w:cs="Times New Roman" w:eastAsia="Times New Roman" w:hAnsi="Times New Roman"/>
                <w:sz w:val="5"/>
                <w:szCs w:val="5"/>
                <w:color w:val="auto"/>
              </w:rPr>
              <w:t>​​</w:t>
            </w:r>
          </w:p>
        </w:tc>
        <w:tc>
          <w:tcPr>
            <w:tcW w:w="120" w:type="dxa"/>
            <w:vAlign w:val="bottom"/>
            <w:tcBorders>
              <w:right w:val="single" w:sz="8" w:color="CCEEFF"/>
            </w:tcBorders>
            <w:shd w:val="clear" w:color="auto" w:fill="CCEEFF"/>
          </w:tcPr>
          <w:p>
            <w:pPr>
              <w:ind w:left="20"/>
              <w:spacing w:after="0" w:line="46" w:lineRule="exact"/>
              <w:rPr>
                <w:sz w:val="20"/>
                <w:szCs w:val="20"/>
                <w:color w:val="auto"/>
              </w:rPr>
            </w:pPr>
            <w:r>
              <w:rPr>
                <w:rFonts w:ascii="Times New Roman" w:cs="Times New Roman" w:eastAsia="Times New Roman" w:hAnsi="Times New Roman"/>
                <w:sz w:val="5"/>
                <w:szCs w:val="5"/>
                <w:color w:val="auto"/>
              </w:rPr>
              <w:t>​​</w:t>
            </w:r>
          </w:p>
        </w:tc>
        <w:tc>
          <w:tcPr>
            <w:tcW w:w="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0" w:type="dxa"/>
            <w:vAlign w:val="bottom"/>
            <w:tcBorders>
              <w:left w:val="single" w:sz="8" w:color="CCEEFF"/>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comprehensive (loss) income:</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 ​</w:t>
            </w:r>
          </w:p>
        </w:tc>
        <w:tc>
          <w:tcPr>
            <w:tcW w:w="44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7"/>
        </w:trPr>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Unrealized (loss) gain on marketable securities, net</w:t>
            </w: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Borders>
              <w:lef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(127)</w:t>
            </w:r>
          </w:p>
        </w:tc>
        <w:tc>
          <w:tcPr>
            <w:tcW w:w="12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4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46"/>
        </w:trPr>
        <w:tc>
          <w:tcPr>
            <w:tcW w:w="206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140" w:type="dxa"/>
            <w:vAlign w:val="bottom"/>
            <w:vMerge w:val="continue"/>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jc w:val="right"/>
              <w:spacing w:after="0" w:line="46" w:lineRule="exact"/>
              <w:rPr>
                <w:sz w:val="20"/>
                <w:szCs w:val="20"/>
                <w:color w:val="auto"/>
              </w:rPr>
            </w:pPr>
            <w:r>
              <w:rPr>
                <w:rFonts w:ascii="Times New Roman" w:cs="Times New Roman" w:eastAsia="Times New Roman" w:hAnsi="Times New Roman"/>
                <w:sz w:val="5"/>
                <w:szCs w:val="5"/>
                <w:color w:val="auto"/>
              </w:rPr>
              <w:t>​​</w:t>
            </w:r>
          </w:p>
        </w:tc>
        <w:tc>
          <w:tcPr>
            <w:tcW w:w="120" w:type="dxa"/>
            <w:vAlign w:val="bottom"/>
            <w:tcBorders>
              <w:right w:val="single" w:sz="8" w:color="CCEEFF"/>
            </w:tcBorders>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0" w:type="dxa"/>
            <w:vAlign w:val="bottom"/>
            <w:tcBorders>
              <w:left w:val="single" w:sz="8" w:color="CCEEFF"/>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140" w:type="dxa"/>
            <w:vAlign w:val="bottom"/>
            <w:gridSpan w:val="2"/>
          </w:tcPr>
          <w:p>
            <w:pPr>
              <w:spacing w:after="0" w:line="136" w:lineRule="exact"/>
              <w:rPr>
                <w:sz w:val="20"/>
                <w:szCs w:val="20"/>
                <w:color w:val="auto"/>
              </w:rPr>
            </w:pPr>
            <w:r>
              <w:rPr>
                <w:rFonts w:ascii="Times New Roman" w:cs="Times New Roman" w:eastAsia="Times New Roman" w:hAnsi="Times New Roman"/>
                <w:sz w:val="12"/>
                <w:szCs w:val="12"/>
                <w:color w:val="auto"/>
              </w:rPr>
              <w:t>Net loss and other comprehensive loss</w:t>
            </w:r>
          </w:p>
        </w:tc>
        <w:tc>
          <w:tcPr>
            <w:tcW w:w="140" w:type="dxa"/>
            <w:vAlign w:val="bottom"/>
          </w:tcPr>
          <w:p>
            <w:pPr>
              <w:spacing w:after="0"/>
              <w:rPr>
                <w:sz w:val="11"/>
                <w:szCs w:val="11"/>
                <w:color w:val="auto"/>
              </w:rPr>
            </w:pPr>
          </w:p>
        </w:tc>
        <w:tc>
          <w:tcPr>
            <w:tcW w:w="12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tcPr>
          <w:p>
            <w:pPr>
              <w:jc w:val="right"/>
              <w:ind w:right="22"/>
              <w:spacing w:after="0" w:line="136" w:lineRule="exact"/>
              <w:rPr>
                <w:sz w:val="20"/>
                <w:szCs w:val="20"/>
                <w:color w:val="auto"/>
              </w:rPr>
            </w:pPr>
            <w:r>
              <w:rPr>
                <w:rFonts w:ascii="Times New Roman" w:cs="Times New Roman" w:eastAsia="Times New Roman" w:hAnsi="Times New Roman"/>
                <w:sz w:val="12"/>
                <w:szCs w:val="12"/>
                <w:color w:val="auto"/>
                <w:w w:val="97"/>
              </w:rPr>
              <w:t>(112,057)</w:t>
            </w:r>
          </w:p>
        </w:tc>
        <w:tc>
          <w:tcPr>
            <w:tcW w:w="660" w:type="dxa"/>
            <w:vAlign w:val="bottom"/>
            <w:gridSpan w:val="4"/>
          </w:tcPr>
          <w:p>
            <w:pPr>
              <w:jc w:val="right"/>
              <w:spacing w:after="0" w:line="136" w:lineRule="exact"/>
              <w:rPr>
                <w:sz w:val="20"/>
                <w:szCs w:val="20"/>
                <w:color w:val="auto"/>
              </w:rPr>
            </w:pPr>
            <w:r>
              <w:rPr>
                <w:rFonts w:ascii="Times New Roman" w:cs="Times New Roman" w:eastAsia="Times New Roman" w:hAnsi="Times New Roman"/>
                <w:sz w:val="12"/>
                <w:szCs w:val="12"/>
                <w:color w:val="auto"/>
              </w:rPr>
              <w:t>$ (154,864)</w:t>
            </w:r>
          </w:p>
        </w:tc>
        <w:tc>
          <w:tcPr>
            <w:tcW w:w="0" w:type="dxa"/>
            <w:vAlign w:val="bottom"/>
          </w:tcPr>
          <w:p>
            <w:pPr>
              <w:spacing w:after="0"/>
              <w:rPr>
                <w:sz w:val="1"/>
                <w:szCs w:val="1"/>
                <w:color w:val="auto"/>
              </w:rPr>
            </w:pPr>
          </w:p>
        </w:tc>
      </w:tr>
      <w:tr>
        <w:trPr>
          <w:trHeight w:val="37"/>
        </w:trPr>
        <w:tc>
          <w:tcPr>
            <w:tcW w:w="20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
                <w:szCs w:val="1"/>
                <w:color w:val="auto"/>
              </w:rPr>
              <w:t>​ ​​</w:t>
            </w: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
                <w:sz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
                <w:szCs w:val="1"/>
                <w:color w:val="auto"/>
              </w:rPr>
              <w:t>​​</w:t>
            </w: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rPr>
              <w:t>​</w:t>
            </w:r>
          </w:p>
        </w:tc>
        <w:tc>
          <w:tcPr>
            <w:tcW w:w="0" w:type="dxa"/>
            <w:vAlign w:val="bottom"/>
          </w:tcPr>
          <w:p>
            <w:pPr>
              <w:spacing w:after="0" w:line="20" w:lineRule="exact"/>
              <w:rPr>
                <w:sz w:val="1"/>
                <w:szCs w:val="1"/>
                <w:color w:val="auto"/>
              </w:rPr>
            </w:pPr>
          </w:p>
        </w:tc>
      </w:tr>
      <w:tr>
        <w:trPr>
          <w:trHeight w:val="37"/>
        </w:trPr>
        <w:tc>
          <w:tcPr>
            <w:tcW w:w="4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per share attributable to Class A common stockholders, basic and</w:t>
            </w:r>
          </w:p>
        </w:tc>
        <w:tc>
          <w:tcPr>
            <w:tcW w:w="140" w:type="dxa"/>
            <w:vAlign w:val="bottom"/>
            <w:shd w:val="clear" w:color="auto" w:fill="CCEEFF"/>
          </w:tcPr>
          <w:p>
            <w:pPr>
              <w:spacing w:after="0"/>
              <w:rPr>
                <w:sz w:val="3"/>
                <w:szCs w:val="3"/>
                <w:color w:val="auto"/>
              </w:rPr>
            </w:pPr>
          </w:p>
        </w:tc>
        <w:tc>
          <w:tcPr>
            <w:tcW w:w="120" w:type="dxa"/>
            <w:vAlign w:val="bottom"/>
            <w:tcBorders>
              <w:left w:val="single" w:sz="8" w:color="auto"/>
            </w:tcBorders>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auto"/>
            </w:tcBorders>
            <w:shd w:val="clear" w:color="auto" w:fill="CCEEFF"/>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4140" w:type="dxa"/>
            <w:vAlign w:val="bottom"/>
            <w:gridSpan w:val="2"/>
            <w:vMerge w:val="continue"/>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120" w:type="dxa"/>
            <w:vAlign w:val="bottom"/>
            <w:tcBorders>
              <w:lef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(69.79)</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(72.08)</w:t>
            </w:r>
          </w:p>
        </w:tc>
        <w:tc>
          <w:tcPr>
            <w:tcW w:w="40" w:type="dxa"/>
            <w:vAlign w:val="bottom"/>
            <w:tcBorders>
              <w:left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140" w:type="dxa"/>
            <w:vAlign w:val="bottom"/>
            <w:gridSpan w:val="2"/>
            <w:shd w:val="clear" w:color="auto" w:fill="CCEEFF"/>
          </w:tcPr>
          <w:p>
            <w:pPr>
              <w:ind w:left="120"/>
              <w:spacing w:after="0" w:line="123" w:lineRule="exact"/>
              <w:rPr>
                <w:sz w:val="20"/>
                <w:szCs w:val="20"/>
                <w:color w:val="auto"/>
              </w:rPr>
            </w:pPr>
            <w:r>
              <w:rPr>
                <w:rFonts w:ascii="Times New Roman" w:cs="Times New Roman" w:eastAsia="Times New Roman" w:hAnsi="Times New Roman"/>
                <w:sz w:val="12"/>
                <w:szCs w:val="12"/>
                <w:color w:val="auto"/>
              </w:rPr>
              <w:t>diluted</w:t>
            </w:r>
          </w:p>
        </w:tc>
        <w:tc>
          <w:tcPr>
            <w:tcW w:w="140" w:type="dxa"/>
            <w:vAlign w:val="bottom"/>
            <w:vMerge w:val="continue"/>
            <w:shd w:val="clear" w:color="auto" w:fill="CCEEFF"/>
          </w:tcPr>
          <w:p>
            <w:pPr>
              <w:spacing w:after="0"/>
              <w:rPr>
                <w:sz w:val="10"/>
                <w:szCs w:val="10"/>
                <w:color w:val="auto"/>
              </w:rPr>
            </w:pPr>
          </w:p>
        </w:tc>
        <w:tc>
          <w:tcPr>
            <w:tcW w:w="120" w:type="dxa"/>
            <w:vAlign w:val="bottom"/>
            <w:tcBorders>
              <w:left w:val="single" w:sz="8" w:color="CCEEFF"/>
            </w:tcBorders>
            <w:vMerge w:val="continue"/>
            <w:shd w:val="clear" w:color="auto" w:fill="CCEEFF"/>
          </w:tcPr>
          <w:p>
            <w:pPr>
              <w:spacing w:after="0"/>
              <w:rPr>
                <w:sz w:val="10"/>
                <w:szCs w:val="10"/>
                <w:color w:val="auto"/>
              </w:rPr>
            </w:pPr>
          </w:p>
        </w:tc>
        <w:tc>
          <w:tcPr>
            <w:tcW w:w="540" w:type="dxa"/>
            <w:vAlign w:val="bottom"/>
            <w:gridSpan w:val="3"/>
            <w:vMerge w:val="continue"/>
            <w:shd w:val="clear" w:color="auto" w:fill="CCEEFF"/>
          </w:tcPr>
          <w:p>
            <w:pPr>
              <w:spacing w:after="0"/>
              <w:rPr>
                <w:sz w:val="10"/>
                <w:szCs w:val="10"/>
                <w:color w:val="auto"/>
              </w:rPr>
            </w:pPr>
          </w:p>
        </w:tc>
        <w:tc>
          <w:tcPr>
            <w:tcW w:w="120" w:type="dxa"/>
            <w:vAlign w:val="bottom"/>
            <w:tcBorders>
              <w:right w:val="single" w:sz="8" w:color="CCEEFF"/>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4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46"/>
        </w:trPr>
        <w:tc>
          <w:tcPr>
            <w:tcW w:w="206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140" w:type="dxa"/>
            <w:vAlign w:val="bottom"/>
            <w:shd w:val="clear" w:color="auto" w:fill="CCEEFF"/>
          </w:tcPr>
          <w:p>
            <w:pPr>
              <w:ind w:left="40"/>
              <w:spacing w:after="0" w:line="46" w:lineRule="exact"/>
              <w:rPr>
                <w:sz w:val="20"/>
                <w:szCs w:val="20"/>
                <w:color w:val="auto"/>
              </w:rPr>
            </w:pPr>
            <w:r>
              <w:rPr>
                <w:rFonts w:ascii="Times New Roman" w:cs="Times New Roman" w:eastAsia="Times New Roman" w:hAnsi="Times New Roman"/>
                <w:sz w:val="5"/>
                <w:szCs w:val="5"/>
                <w:color w:val="auto"/>
              </w:rPr>
              <w:t>​ ​​</w:t>
            </w:r>
          </w:p>
        </w:tc>
        <w:tc>
          <w:tcPr>
            <w:tcW w:w="12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jc w:val="right"/>
              <w:spacing w:after="0" w:line="46" w:lineRule="exact"/>
              <w:rPr>
                <w:sz w:val="20"/>
                <w:szCs w:val="20"/>
                <w:color w:val="auto"/>
              </w:rPr>
            </w:pPr>
            <w:r>
              <w:rPr>
                <w:rFonts w:ascii="Times New Roman" w:cs="Times New Roman" w:eastAsia="Times New Roman" w:hAnsi="Times New Roman"/>
                <w:sz w:val="5"/>
                <w:szCs w:val="5"/>
                <w:color w:val="auto"/>
              </w:rPr>
              <w:t>​​</w:t>
            </w:r>
          </w:p>
        </w:tc>
        <w:tc>
          <w:tcPr>
            <w:tcW w:w="120" w:type="dxa"/>
            <w:vAlign w:val="bottom"/>
            <w:tcBorders>
              <w:right w:val="single" w:sz="8" w:color="CCEEFF"/>
            </w:tcBorders>
            <w:shd w:val="clear" w:color="auto" w:fill="CCEEFF"/>
          </w:tcPr>
          <w:p>
            <w:pPr>
              <w:ind w:left="20"/>
              <w:spacing w:after="0" w:line="46" w:lineRule="exact"/>
              <w:rPr>
                <w:sz w:val="20"/>
                <w:szCs w:val="20"/>
                <w:color w:val="auto"/>
              </w:rPr>
            </w:pPr>
            <w:r>
              <w:rPr>
                <w:rFonts w:ascii="Times New Roman" w:cs="Times New Roman" w:eastAsia="Times New Roman" w:hAnsi="Times New Roman"/>
                <w:sz w:val="5"/>
                <w:szCs w:val="5"/>
                <w:color w:val="auto"/>
              </w:rPr>
              <w:t>​​</w:t>
            </w:r>
          </w:p>
        </w:tc>
        <w:tc>
          <w:tcPr>
            <w:tcW w:w="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0" w:type="dxa"/>
            <w:vAlign w:val="bottom"/>
            <w:tcBorders>
              <w:left w:val="single" w:sz="8" w:color="CCEEFF"/>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06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tcBorders>
              <w:left w:val="single" w:sz="8" w:color="auto"/>
            </w:tcBorders>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auto"/>
            </w:tcBorders>
            <w:shd w:val="clear" w:color="auto" w:fill="CCEEFF"/>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column">
              <wp:posOffset>4622165</wp:posOffset>
            </wp:positionH>
            <wp:positionV relativeFrom="paragraph">
              <wp:posOffset>-354330</wp:posOffset>
            </wp:positionV>
            <wp:extent cx="5715"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-586740</wp:posOffset>
            </wp:positionV>
            <wp:extent cx="5715"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-708660</wp:posOffset>
            </wp:positionV>
            <wp:extent cx="353568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535680" cy="5715"/>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-831215</wp:posOffset>
            </wp:positionV>
            <wp:extent cx="5715"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-1395095</wp:posOffset>
            </wp:positionV>
            <wp:extent cx="353568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535680" cy="5715"/>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-1517015</wp:posOffset>
            </wp:positionV>
            <wp:extent cx="5715"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ind w:left="5900"/>
        <w:spacing w:after="0" w:line="182" w:lineRule="auto"/>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24"/>
          <w:szCs w:val="24"/>
          <w:u w:val="single" w:color="auto"/>
          <w:color w:val="auto"/>
          <w:vertAlign w:val="subscript"/>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​1,603,766</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24"/>
          <w:szCs w:val="24"/>
          <w:u w:val="single" w:color="auto"/>
          <w:color w:val="auto"/>
          <w:vertAlign w:val="subscript"/>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​2,150,186</w:t>
      </w:r>
      <w:r>
        <w:rPr>
          <w:rFonts w:ascii="Times New Roman" w:cs="Times New Roman" w:eastAsia="Times New Roman" w:hAnsi="Times New Roman"/>
          <w:sz w:val="24"/>
          <w:szCs w:val="24"/>
          <w:b w:val="1"/>
          <w:bCs w:val="1"/>
          <w:color w:val="auto"/>
          <w:vertAlign w:val="subscript"/>
        </w:rPr>
        <w:t>​</w:t>
      </w:r>
    </w:p>
    <w:p>
      <w:pPr>
        <w:spacing w:after="0" w:line="144" w:lineRule="exact"/>
        <w:rPr>
          <w:rFonts w:ascii="Times New Roman" w:cs="Times New Roman" w:eastAsia="Times New Roman" w:hAnsi="Times New Roman"/>
          <w:sz w:val="12"/>
          <w:szCs w:val="12"/>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335" w:lineRule="exact"/>
        <w:rPr>
          <w:rFonts w:ascii="Times New Roman" w:cs="Times New Roman" w:eastAsia="Times New Roman" w:hAnsi="Times New Roman"/>
          <w:sz w:val="12"/>
          <w:szCs w:val="12"/>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F-4</w:t>
      </w:r>
    </w:p>
    <w:p>
      <w:pPr>
        <w:spacing w:after="0" w:line="20"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11" w:name="page212"/>
    <w:bookmarkEnd w:id="211"/>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CONSOLIDATED STATEMENTS OF REDEEMABLE CONVERTIBLE PREFERRED STOCK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STOCKHOLDERS’ DEFICIT</w:t>
      </w:r>
    </w:p>
    <w:p>
      <w:pPr>
        <w:spacing w:after="0" w:line="134" w:lineRule="exact"/>
        <w:rPr>
          <w:sz w:val="20"/>
          <w:szCs w:val="20"/>
          <w:color w:val="auto"/>
        </w:rPr>
      </w:pPr>
    </w:p>
    <w:tbl>
      <w:tblPr>
        <w:tblLayout w:type="fixed"/>
        <w:tblInd w:w="1200" w:type="dxa"/>
        <w:tblCellMar>
          <w:top w:w="0" w:type="dxa"/>
          <w:left w:w="0" w:type="dxa"/>
          <w:bottom w:w="0" w:type="dxa"/>
          <w:right w:w="0" w:type="dxa"/>
        </w:tblCellMar>
      </w:tblPr>
      <w:tr>
        <w:trPr>
          <w:trHeight w:val="115"/>
        </w:trPr>
        <w:tc>
          <w:tcPr>
            <w:tcW w:w="1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left="3"/>
              <w:spacing w:after="0"/>
              <w:rPr>
                <w:sz w:val="20"/>
                <w:szCs w:val="20"/>
                <w:color w:val="auto"/>
              </w:rPr>
            </w:pPr>
            <w:r>
              <w:rPr>
                <w:rFonts w:ascii="Times New Roman" w:cs="Times New Roman" w:eastAsia="Times New Roman" w:hAnsi="Times New Roman"/>
                <w:sz w:val="10"/>
                <w:szCs w:val="10"/>
                <w:b w:val="1"/>
                <w:bCs w:val="1"/>
                <w:color w:val="auto"/>
                <w:w w:val="95"/>
              </w:rPr>
              <w:t>Redeemable</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1"/>
              </w:rPr>
              <w:t>Accumulated</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restart"/>
          </w:tcPr>
          <w:p>
            <w:pPr>
              <w:jc w:val="center"/>
              <w:ind w:left="3"/>
              <w:spacing w:after="0" w:line="110" w:lineRule="exact"/>
              <w:rPr>
                <w:sz w:val="20"/>
                <w:szCs w:val="20"/>
                <w:color w:val="auto"/>
              </w:rPr>
            </w:pPr>
            <w:r>
              <w:rPr>
                <w:rFonts w:ascii="Times New Roman" w:cs="Times New Roman" w:eastAsia="Times New Roman" w:hAnsi="Times New Roman"/>
                <w:sz w:val="10"/>
                <w:szCs w:val="10"/>
                <w:b w:val="1"/>
                <w:bCs w:val="1"/>
                <w:color w:val="auto"/>
                <w:w w:val="90"/>
              </w:rPr>
              <w:t>Convertible</w:t>
            </w: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1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gridSpan w:val="3"/>
            <w:vMerge w:val="restart"/>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2"/>
              </w:rPr>
              <w:t>Additional</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gridSpan w:val="3"/>
            <w:vMerge w:val="restart"/>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gridSpan w:val="2"/>
            <w:vMerge w:val="restart"/>
          </w:tcPr>
          <w:p>
            <w:pPr>
              <w:jc w:val="right"/>
              <w:ind w:right="179"/>
              <w:spacing w:after="0" w:line="99" w:lineRule="exact"/>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53"/>
        </w:trPr>
        <w:tc>
          <w:tcPr>
            <w:tcW w:w="1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00" w:type="dxa"/>
            <w:vAlign w:val="bottom"/>
            <w:gridSpan w:val="2"/>
            <w:vMerge w:val="restart"/>
          </w:tcPr>
          <w:p>
            <w:pPr>
              <w:jc w:val="center"/>
              <w:ind w:left="23"/>
              <w:spacing w:after="0"/>
              <w:rPr>
                <w:sz w:val="20"/>
                <w:szCs w:val="20"/>
                <w:color w:val="auto"/>
              </w:rPr>
            </w:pPr>
            <w:r>
              <w:rPr>
                <w:rFonts w:ascii="Times New Roman" w:cs="Times New Roman" w:eastAsia="Times New Roman" w:hAnsi="Times New Roman"/>
                <w:sz w:val="10"/>
                <w:szCs w:val="10"/>
                <w:b w:val="1"/>
                <w:bCs w:val="1"/>
                <w:color w:val="auto"/>
                <w:w w:val="94"/>
              </w:rPr>
              <w:t>Preferred Stock</w:t>
            </w: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5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1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gridSpan w:val="2"/>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Pr>
          <w:p>
            <w:pPr>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gridSpan w:val="4"/>
            <w:vMerge w:val="continue"/>
          </w:tcPr>
          <w:p>
            <w:pPr>
              <w:spacing w:after="0"/>
              <w:rPr>
                <w:sz w:val="7"/>
                <w:szCs w:val="7"/>
                <w:color w:val="auto"/>
              </w:rPr>
            </w:pPr>
          </w:p>
        </w:tc>
        <w:tc>
          <w:tcPr>
            <w:tcW w:w="80" w:type="dxa"/>
            <w:vAlign w:val="bottom"/>
          </w:tcPr>
          <w:p>
            <w:pPr>
              <w:ind w:left="20"/>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440" w:type="dxa"/>
            <w:vAlign w:val="bottom"/>
            <w:gridSpan w:val="2"/>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w w:val="92"/>
              </w:rPr>
              <w:t>Paid-In</w:t>
            </w:r>
          </w:p>
        </w:tc>
        <w:tc>
          <w:tcPr>
            <w:tcW w:w="700" w:type="dxa"/>
            <w:vAlign w:val="bottom"/>
            <w:gridSpan w:val="5"/>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600" w:type="dxa"/>
            <w:vAlign w:val="bottom"/>
            <w:gridSpan w:val="2"/>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w w:val="91"/>
              </w:rPr>
              <w:t>Accumulated</w:t>
            </w:r>
          </w:p>
        </w:tc>
        <w:tc>
          <w:tcPr>
            <w:tcW w:w="680" w:type="dxa"/>
            <w:vAlign w:val="bottom"/>
            <w:gridSpan w:val="4"/>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45"/>
        </w:trPr>
        <w:tc>
          <w:tcPr>
            <w:tcW w:w="1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2"/>
              </w:rPr>
              <w:t>(in thousands, except share amounts)</w:t>
            </w:r>
          </w:p>
        </w:tc>
        <w:tc>
          <w:tcPr>
            <w:tcW w:w="64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0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9"/>
                <w:szCs w:val="9"/>
                <w:b w:val="1"/>
                <w:bCs w:val="1"/>
                <w:color w:val="auto"/>
              </w:rPr>
              <w:t xml:space="preserve">Shares   </w:t>
            </w: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 Amount</w:t>
            </w:r>
          </w:p>
        </w:tc>
        <w:tc>
          <w:tcPr>
            <w:tcW w:w="1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900" w:type="dxa"/>
            <w:vAlign w:val="bottom"/>
            <w:gridSpan w:val="5"/>
          </w:tcPr>
          <w:p>
            <w:pPr>
              <w:ind w:left="40"/>
              <w:spacing w:after="0" w:line="145" w:lineRule="exact"/>
              <w:rPr>
                <w:sz w:val="20"/>
                <w:szCs w:val="20"/>
                <w:color w:val="auto"/>
              </w:rPr>
            </w:pPr>
            <w:r>
              <w:rPr>
                <w:rFonts w:ascii="Times New Roman" w:cs="Times New Roman" w:eastAsia="Times New Roman" w:hAnsi="Times New Roman"/>
                <w:sz w:val="9"/>
                <w:szCs w:val="9"/>
                <w:b w:val="1"/>
                <w:bCs w:val="1"/>
                <w:color w:val="auto"/>
              </w:rPr>
              <w:t xml:space="preserve">Shares   </w:t>
            </w: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Amount </w:t>
            </w:r>
            <w:r>
              <w:rPr>
                <w:rFonts w:ascii="Times New Roman" w:cs="Times New Roman" w:eastAsia="Times New Roman" w:hAnsi="Times New Roman"/>
                <w:sz w:val="16"/>
                <w:szCs w:val="16"/>
                <w:b w:val="1"/>
                <w:bCs w:val="1"/>
                <w:color w:val="auto"/>
                <w:vertAlign w:val="subscript"/>
              </w:rPr>
              <w:t>​​</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700" w:type="dxa"/>
            <w:vAlign w:val="bottom"/>
            <w:gridSpan w:val="5"/>
          </w:tcPr>
          <w:p>
            <w:pPr>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 (Loss) Income</w:t>
            </w:r>
          </w:p>
        </w:tc>
        <w:tc>
          <w:tcPr>
            <w:tcW w:w="1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1"/>
              </w:rPr>
              <w:t>Deficit</w:t>
            </w: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4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9"/>
                <w:szCs w:val="9"/>
                <w:b w:val="1"/>
                <w:bCs w:val="1"/>
                <w:color w:val="auto"/>
              </w:rPr>
              <w:t xml:space="preserve">Deficit   </w:t>
            </w:r>
            <w:r>
              <w:rPr>
                <w:rFonts w:ascii="Times New Roman" w:cs="Times New Roman" w:eastAsia="Times New Roman" w:hAnsi="Times New Roman"/>
                <w:sz w:val="16"/>
                <w:szCs w:val="16"/>
                <w:b w:val="1"/>
                <w:bCs w:val="1"/>
                <w:color w:val="auto"/>
                <w:vertAlign w:val="subscript"/>
              </w:rPr>
              <w:t>​</w:t>
            </w: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left w:val="single" w:sz="8" w:color="auto"/>
              <w:right w:val="single" w:sz="8" w:color="CCEEFF"/>
            </w:tcBorders>
            <w:gridSpan w:val="2"/>
            <w:shd w:val="clear" w:color="auto" w:fill="000000"/>
          </w:tcPr>
          <w:p>
            <w:pPr>
              <w:spacing w:after="0" w:line="20" w:lineRule="exact"/>
              <w:rPr>
                <w:sz w:val="1"/>
                <w:szCs w:val="1"/>
                <w:color w:val="auto"/>
              </w:rPr>
            </w:pPr>
          </w:p>
        </w:tc>
        <w:tc>
          <w:tcPr>
            <w:tcW w:w="50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tcBorders>
              <w:left w:val="single" w:sz="8" w:color="CCEEFF"/>
            </w:tcBorders>
            <w:shd w:val="clear" w:color="auto" w:fill="000000"/>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CCEEFF"/>
            </w:tcBorders>
            <w:gridSpan w:val="2"/>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CCEEFF"/>
            </w:tcBorders>
            <w:gridSpan w:val="2"/>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 2021</w:t>
            </w:r>
          </w:p>
        </w:tc>
        <w:tc>
          <w:tcPr>
            <w:tcW w:w="1760" w:type="dxa"/>
            <w:vAlign w:val="bottom"/>
            <w:tcBorders>
              <w:lef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​​​47,960,088​​​$185,580​​​2,453,099​​​</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​$ 1</w:t>
            </w:r>
          </w:p>
        </w:tc>
        <w:tc>
          <w:tcPr>
            <w:tcW w:w="18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6,598</w:t>
            </w: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(97,395)​​​​$</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(90,796)</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2"/>
        </w:trPr>
        <w:tc>
          <w:tcPr>
            <w:tcW w:w="2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Issuance of Series B redeemable</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convertible preferred stock for cash,</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net of issuance costs of $107</w:t>
            </w:r>
          </w:p>
        </w:tc>
        <w:tc>
          <w:tcPr>
            <w:tcW w:w="120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20,000,000​​​ ​ 99,893​​</w:t>
            </w:r>
            <w:r>
              <w:rPr>
                <w:rFonts w:ascii="Times New Roman" w:cs="Times New Roman" w:eastAsia="Times New Roman" w:hAnsi="Times New Roman"/>
                <w:sz w:val="12"/>
                <w:szCs w:val="12"/>
                <w:b w:val="1"/>
                <w:bCs w:val="1"/>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2"/>
        </w:trPr>
        <w:tc>
          <w:tcPr>
            <w:tcW w:w="2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common stock upon exercise</w:t>
            </w:r>
          </w:p>
        </w:tc>
        <w:tc>
          <w:tcPr>
            <w:tcW w:w="100" w:type="dxa"/>
            <w:vAlign w:val="bottom"/>
            <w:tcBorders>
              <w:left w:val="single" w:sz="8" w:color="CCEEFF"/>
            </w:tcBorders>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12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of stock options and early exercise of</w:t>
            </w:r>
          </w:p>
        </w:tc>
        <w:tc>
          <w:tcPr>
            <w:tcW w:w="100" w:type="dxa"/>
            <w:vAlign w:val="bottom"/>
            <w:tcBorders>
              <w:left w:val="single" w:sz="8" w:color="CCEEFF"/>
            </w:tcBorders>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2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 options</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800" w:type="dxa"/>
            <w:vAlign w:val="bottom"/>
            <w:gridSpan w:val="2"/>
            <w:shd w:val="clear" w:color="auto" w:fill="CCEEFF"/>
          </w:tcPr>
          <w:p>
            <w:pPr>
              <w:jc w:val="center"/>
              <w:ind w:left="83"/>
              <w:spacing w:after="0"/>
              <w:rPr>
                <w:sz w:val="20"/>
                <w:szCs w:val="20"/>
                <w:color w:val="auto"/>
              </w:rPr>
            </w:pPr>
            <w:r>
              <w:rPr>
                <w:rFonts w:ascii="Times New Roman" w:cs="Times New Roman" w:eastAsia="Times New Roman" w:hAnsi="Times New Roman"/>
                <w:sz w:val="12"/>
                <w:szCs w:val="12"/>
                <w:color w:val="auto"/>
              </w:rPr>
              <w:t>—​​​ ​</w:t>
            </w:r>
          </w:p>
        </w:tc>
        <w:tc>
          <w:tcPr>
            <w:tcW w:w="3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189,235​​​</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2"/>
        </w:trPr>
        <w:tc>
          <w:tcPr>
            <w:tcW w:w="2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Vesting of early exercised stock</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options</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800" w:type="dxa"/>
            <w:vAlign w:val="bottom"/>
            <w:gridSpan w:val="2"/>
          </w:tcPr>
          <w:p>
            <w:pPr>
              <w:jc w:val="center"/>
              <w:ind w:left="83"/>
              <w:spacing w:after="0"/>
              <w:rPr>
                <w:sz w:val="20"/>
                <w:szCs w:val="20"/>
                <w:color w:val="auto"/>
              </w:rPr>
            </w:pPr>
            <w:r>
              <w:rPr>
                <w:rFonts w:ascii="Times New Roman" w:cs="Times New Roman" w:eastAsia="Times New Roman" w:hAnsi="Times New Roman"/>
                <w:sz w:val="12"/>
                <w:szCs w:val="12"/>
                <w:color w:val="auto"/>
              </w:rPr>
              <w:t>—​​​ ​</w:t>
            </w:r>
          </w:p>
        </w:tc>
        <w:tc>
          <w:tcPr>
            <w:tcW w:w="3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 ​ 1,596 ​​​</w:t>
            </w:r>
          </w:p>
        </w:tc>
        <w:tc>
          <w:tcPr>
            <w:tcW w:w="14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xml:space="preserve">1,596 </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2"/>
        </w:trPr>
        <w:tc>
          <w:tcPr>
            <w:tcW w:w="2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Vesting of restricted shares of common</w:t>
            </w:r>
          </w:p>
        </w:tc>
        <w:tc>
          <w:tcPr>
            <w:tcW w:w="100" w:type="dxa"/>
            <w:vAlign w:val="bottom"/>
            <w:tcBorders>
              <w:left w:val="single" w:sz="8" w:color="CCEEFF"/>
            </w:tcBorders>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2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800" w:type="dxa"/>
            <w:vAlign w:val="bottom"/>
            <w:gridSpan w:val="2"/>
            <w:shd w:val="clear" w:color="auto" w:fill="CCEEFF"/>
          </w:tcPr>
          <w:p>
            <w:pPr>
              <w:jc w:val="center"/>
              <w:ind w:left="83"/>
              <w:spacing w:after="0"/>
              <w:rPr>
                <w:sz w:val="20"/>
                <w:szCs w:val="20"/>
                <w:color w:val="auto"/>
              </w:rPr>
            </w:pPr>
            <w:r>
              <w:rPr>
                <w:rFonts w:ascii="Times New Roman" w:cs="Times New Roman" w:eastAsia="Times New Roman" w:hAnsi="Times New Roman"/>
                <w:sz w:val="12"/>
                <w:szCs w:val="12"/>
                <w:color w:val="auto"/>
              </w:rPr>
              <w:t>—​​​ ​</w:t>
            </w:r>
          </w:p>
        </w:tc>
        <w:tc>
          <w:tcPr>
            <w:tcW w:w="3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6"/>
        </w:trPr>
        <w:tc>
          <w:tcPr>
            <w:tcW w:w="2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800" w:type="dxa"/>
            <w:vAlign w:val="bottom"/>
            <w:gridSpan w:val="2"/>
          </w:tcPr>
          <w:p>
            <w:pPr>
              <w:jc w:val="center"/>
              <w:ind w:left="83"/>
              <w:spacing w:after="0"/>
              <w:rPr>
                <w:sz w:val="20"/>
                <w:szCs w:val="20"/>
                <w:color w:val="auto"/>
              </w:rPr>
            </w:pPr>
            <w:r>
              <w:rPr>
                <w:rFonts w:ascii="Times New Roman" w:cs="Times New Roman" w:eastAsia="Times New Roman" w:hAnsi="Times New Roman"/>
                <w:sz w:val="12"/>
                <w:szCs w:val="12"/>
                <w:color w:val="auto"/>
              </w:rPr>
              <w:t>—​​​ ​</w:t>
            </w:r>
          </w:p>
        </w:tc>
        <w:tc>
          <w:tcPr>
            <w:tcW w:w="3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 ​ 5,960 ​​​</w:t>
            </w:r>
          </w:p>
        </w:tc>
        <w:tc>
          <w:tcPr>
            <w:tcW w:w="14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xml:space="preserve">5,960 </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6"/>
        </w:trPr>
        <w:tc>
          <w:tcPr>
            <w:tcW w:w="2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loss, net</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800" w:type="dxa"/>
            <w:vAlign w:val="bottom"/>
            <w:gridSpan w:val="2"/>
            <w:shd w:val="clear" w:color="auto" w:fill="CCEEFF"/>
          </w:tcPr>
          <w:p>
            <w:pPr>
              <w:jc w:val="center"/>
              <w:ind w:left="83"/>
              <w:spacing w:after="0"/>
              <w:rPr>
                <w:sz w:val="20"/>
                <w:szCs w:val="20"/>
                <w:color w:val="auto"/>
              </w:rPr>
            </w:pPr>
            <w:r>
              <w:rPr>
                <w:rFonts w:ascii="Times New Roman" w:cs="Times New Roman" w:eastAsia="Times New Roman" w:hAnsi="Times New Roman"/>
                <w:sz w:val="12"/>
                <w:szCs w:val="12"/>
                <w:color w:val="auto"/>
              </w:rPr>
              <w:t>—​​​ ​</w:t>
            </w:r>
          </w:p>
        </w:tc>
        <w:tc>
          <w:tcPr>
            <w:tcW w:w="3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spacing w:after="0"/>
              <w:rPr>
                <w:sz w:val="13"/>
                <w:szCs w:val="13"/>
                <w:color w:val="auto"/>
              </w:rPr>
            </w:pPr>
          </w:p>
        </w:tc>
        <w:tc>
          <w:tcPr>
            <w:tcW w:w="4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​(127)</w:t>
            </w:r>
          </w:p>
        </w:tc>
        <w:tc>
          <w:tcPr>
            <w:tcW w:w="1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3"/>
        </w:trPr>
        <w:tc>
          <w:tcPr>
            <w:tcW w:w="2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loss</w:t>
            </w:r>
          </w:p>
        </w:tc>
        <w:tc>
          <w:tcPr>
            <w:tcW w:w="100" w:type="dxa"/>
            <w:vAlign w:val="bottom"/>
          </w:tcPr>
          <w:p>
            <w:pPr>
              <w:spacing w:after="0" w:line="184"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800" w:type="dxa"/>
            <w:vAlign w:val="bottom"/>
            <w:gridSpan w:val="2"/>
          </w:tcPr>
          <w:p>
            <w:pPr>
              <w:jc w:val="center"/>
              <w:ind w:left="83"/>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00" w:type="dxa"/>
            <w:vAlign w:val="bottom"/>
            <w:gridSpan w:val="3"/>
          </w:tcPr>
          <w:p>
            <w:pPr>
              <w:ind w:left="60"/>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560" w:type="dxa"/>
            <w:vAlign w:val="bottom"/>
            <w:gridSpan w:val="2"/>
          </w:tcPr>
          <w:p>
            <w:pPr>
              <w:jc w:val="right"/>
              <w:ind w:right="60"/>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260" w:type="dxa"/>
            <w:vAlign w:val="bottom"/>
            <w:gridSpan w:val="2"/>
          </w:tcPr>
          <w:p>
            <w:pP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180" w:type="dxa"/>
            <w:vAlign w:val="bottom"/>
            <w:gridSpan w:val="2"/>
          </w:tcPr>
          <w:p>
            <w:pPr>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40" w:type="dxa"/>
            <w:vAlign w:val="bottom"/>
          </w:tcPr>
          <w:p>
            <w:pPr>
              <w:spacing w:after="0"/>
              <w:rPr>
                <w:sz w:val="15"/>
                <w:szCs w:val="15"/>
                <w:color w:val="auto"/>
              </w:rPr>
            </w:pPr>
          </w:p>
        </w:tc>
        <w:tc>
          <w:tcPr>
            <w:tcW w:w="140" w:type="dxa"/>
            <w:vAlign w:val="bottom"/>
          </w:tcPr>
          <w:p>
            <w:pPr>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gridSpan w:val="6"/>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​(111,930)</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​(111,930)</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14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50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tcBorders>
              <w:left w:val="single" w:sz="8" w:color="CCEEFF"/>
            </w:tcBorders>
            <w:shd w:val="clear" w:color="auto" w:fill="000000"/>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 2022</w:t>
            </w:r>
          </w:p>
        </w:tc>
        <w:tc>
          <w:tcPr>
            <w:tcW w:w="1760" w:type="dxa"/>
            <w:vAlign w:val="bottom"/>
            <w:tcBorders>
              <w:lef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​67,960,088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​285,473</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​2,642,334</w:t>
            </w:r>
            <w:r>
              <w:rPr>
                <w:rFonts w:ascii="Times New Roman" w:cs="Times New Roman" w:eastAsia="Times New Roman" w:hAnsi="Times New Roman"/>
                <w:sz w:val="12"/>
                <w:szCs w:val="12"/>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1</w:t>
            </w:r>
          </w:p>
        </w:tc>
        <w:tc>
          <w:tcPr>
            <w:tcW w:w="60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​14,209</w:t>
            </w:r>
            <w:r>
              <w:rPr>
                <w:rFonts w:ascii="Times New Roman" w:cs="Times New Roman" w:eastAsia="Times New Roman" w:hAnsi="Times New Roman"/>
                <w:sz w:val="12"/>
                <w:szCs w:val="12"/>
                <w:color w:val="auto"/>
              </w:rPr>
              <w:t xml:space="preserve"> ​​​</w:t>
            </w:r>
          </w:p>
        </w:tc>
        <w:tc>
          <w:tcPr>
            <w:tcW w:w="14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127)</w:t>
            </w:r>
          </w:p>
        </w:tc>
        <w:tc>
          <w:tcPr>
            <w:tcW w:w="1240" w:type="dxa"/>
            <w:vAlign w:val="bottom"/>
            <w:tcBorders>
              <w:left w:val="single" w:sz="8" w:color="CCEEFF"/>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​(209,325)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​(195,242)</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2"/>
        </w:trPr>
        <w:tc>
          <w:tcPr>
            <w:tcW w:w="2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Issuance of Series B-2 and B-2A</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redeemable convertible preferred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stock in May 2023 for cash, net of</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derivative liability of $2,112 and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issuance costs of $208</w:t>
            </w:r>
          </w:p>
        </w:tc>
        <w:tc>
          <w:tcPr>
            <w:tcW w:w="120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12,000,000​​​ ​ 57,679​​</w:t>
            </w:r>
            <w:r>
              <w:rPr>
                <w:rFonts w:ascii="Times New Roman" w:cs="Times New Roman" w:eastAsia="Times New Roman" w:hAnsi="Times New Roman"/>
                <w:sz w:val="12"/>
                <w:szCs w:val="12"/>
                <w:b w:val="1"/>
                <w:bCs w:val="1"/>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2"/>
        </w:trPr>
        <w:tc>
          <w:tcPr>
            <w:tcW w:w="2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Series B-2 and B-2A</w:t>
            </w:r>
          </w:p>
        </w:tc>
        <w:tc>
          <w:tcPr>
            <w:tcW w:w="100" w:type="dxa"/>
            <w:vAlign w:val="bottom"/>
            <w:tcBorders>
              <w:left w:val="single" w:sz="8" w:color="CCEEFF"/>
            </w:tcBorders>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12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redeemable convertible preferred</w:t>
            </w:r>
          </w:p>
        </w:tc>
        <w:tc>
          <w:tcPr>
            <w:tcW w:w="100" w:type="dxa"/>
            <w:vAlign w:val="bottom"/>
            <w:tcBorders>
              <w:left w:val="single" w:sz="8" w:color="CCEEFF"/>
            </w:tcBorders>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2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 in October 2023 for cash, net of</w:t>
            </w:r>
          </w:p>
        </w:tc>
        <w:tc>
          <w:tcPr>
            <w:tcW w:w="100" w:type="dxa"/>
            <w:vAlign w:val="bottom"/>
            <w:tcBorders>
              <w:left w:val="single" w:sz="8" w:color="CCEEFF"/>
            </w:tcBorders>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2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issuance costs of $13, and settlement</w:t>
            </w:r>
          </w:p>
        </w:tc>
        <w:tc>
          <w:tcPr>
            <w:tcW w:w="100" w:type="dxa"/>
            <w:vAlign w:val="bottom"/>
            <w:tcBorders>
              <w:left w:val="single" w:sz="8" w:color="CCEEFF"/>
            </w:tcBorders>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2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of derivative liability of $2,231</w:t>
            </w:r>
          </w:p>
        </w:tc>
        <w:tc>
          <w:tcPr>
            <w:tcW w:w="1200" w:type="dxa"/>
            <w:vAlign w:val="bottom"/>
            <w:tcBorders>
              <w:lef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6,000,000​​​ ​ 32,218​​</w:t>
            </w:r>
            <w:r>
              <w:rPr>
                <w:rFonts w:ascii="Times New Roman" w:cs="Times New Roman" w:eastAsia="Times New Roman" w:hAnsi="Times New Roman"/>
                <w:sz w:val="12"/>
                <w:szCs w:val="12"/>
                <w:b w:val="1"/>
                <w:bCs w:val="1"/>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2"/>
        </w:trPr>
        <w:tc>
          <w:tcPr>
            <w:tcW w:w="2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Issuance of common stock upon exercise</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of stock options and early exercise of</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stock options</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800" w:type="dxa"/>
            <w:vAlign w:val="bottom"/>
            <w:gridSpan w:val="2"/>
          </w:tcPr>
          <w:p>
            <w:pPr>
              <w:jc w:val="center"/>
              <w:ind w:left="83"/>
              <w:spacing w:after="0"/>
              <w:rPr>
                <w:sz w:val="20"/>
                <w:szCs w:val="20"/>
                <w:color w:val="auto"/>
              </w:rPr>
            </w:pPr>
            <w:r>
              <w:rPr>
                <w:rFonts w:ascii="Times New Roman" w:cs="Times New Roman" w:eastAsia="Times New Roman" w:hAnsi="Times New Roman"/>
                <w:sz w:val="12"/>
                <w:szCs w:val="12"/>
                <w:color w:val="auto"/>
              </w:rPr>
              <w:t>—​​​ ​</w:t>
            </w:r>
          </w:p>
        </w:tc>
        <w:tc>
          <w:tcPr>
            <w:tcW w:w="3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48,442​​​</w:t>
            </w:r>
          </w:p>
        </w:tc>
        <w:tc>
          <w:tcPr>
            <w:tcW w:w="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277 ​​​</w:t>
            </w:r>
          </w:p>
        </w:tc>
        <w:tc>
          <w:tcPr>
            <w:tcW w:w="14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xml:space="preserve">277 </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2"/>
        </w:trPr>
        <w:tc>
          <w:tcPr>
            <w:tcW w:w="2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Vesting of early exercised stock</w:t>
            </w:r>
          </w:p>
        </w:tc>
        <w:tc>
          <w:tcPr>
            <w:tcW w:w="100" w:type="dxa"/>
            <w:vAlign w:val="bottom"/>
            <w:tcBorders>
              <w:left w:val="single" w:sz="8" w:color="CCEEFF"/>
            </w:tcBorders>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2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options</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800" w:type="dxa"/>
            <w:vAlign w:val="bottom"/>
            <w:gridSpan w:val="2"/>
            <w:shd w:val="clear" w:color="auto" w:fill="CCEEFF"/>
          </w:tcPr>
          <w:p>
            <w:pPr>
              <w:jc w:val="center"/>
              <w:ind w:left="83"/>
              <w:spacing w:after="0"/>
              <w:rPr>
                <w:sz w:val="20"/>
                <w:szCs w:val="20"/>
                <w:color w:val="auto"/>
              </w:rPr>
            </w:pPr>
            <w:r>
              <w:rPr>
                <w:rFonts w:ascii="Times New Roman" w:cs="Times New Roman" w:eastAsia="Times New Roman" w:hAnsi="Times New Roman"/>
                <w:sz w:val="12"/>
                <w:szCs w:val="12"/>
                <w:color w:val="auto"/>
              </w:rPr>
              <w:t>—​​​ ​</w:t>
            </w:r>
          </w:p>
        </w:tc>
        <w:tc>
          <w:tcPr>
            <w:tcW w:w="3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1,921 ​​​</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1,921</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2"/>
        </w:trPr>
        <w:tc>
          <w:tcPr>
            <w:tcW w:w="2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Vesting of restricted shares of common</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stock</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800" w:type="dxa"/>
            <w:vAlign w:val="bottom"/>
            <w:gridSpan w:val="2"/>
          </w:tcPr>
          <w:p>
            <w:pPr>
              <w:jc w:val="center"/>
              <w:ind w:left="83"/>
              <w:spacing w:after="0"/>
              <w:rPr>
                <w:sz w:val="20"/>
                <w:szCs w:val="20"/>
                <w:color w:val="auto"/>
              </w:rPr>
            </w:pPr>
            <w:r>
              <w:rPr>
                <w:rFonts w:ascii="Times New Roman" w:cs="Times New Roman" w:eastAsia="Times New Roman" w:hAnsi="Times New Roman"/>
                <w:sz w:val="12"/>
                <w:szCs w:val="12"/>
                <w:color w:val="auto"/>
              </w:rPr>
              <w:t>—​​​ ​</w:t>
            </w:r>
          </w:p>
        </w:tc>
        <w:tc>
          <w:tcPr>
            <w:tcW w:w="3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 ​​​</w:t>
            </w:r>
          </w:p>
        </w:tc>
        <w:tc>
          <w:tcPr>
            <w:tcW w:w="14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xml:space="preserve">23 </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2"/>
        </w:trPr>
        <w:tc>
          <w:tcPr>
            <w:tcW w:w="2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Repurchase of unvested early exercised</w:t>
            </w:r>
          </w:p>
        </w:tc>
        <w:tc>
          <w:tcPr>
            <w:tcW w:w="100" w:type="dxa"/>
            <w:vAlign w:val="bottom"/>
            <w:tcBorders>
              <w:left w:val="single" w:sz="8" w:color="CCEEFF"/>
            </w:tcBorders>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2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 options</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800" w:type="dxa"/>
            <w:vAlign w:val="bottom"/>
            <w:gridSpan w:val="2"/>
            <w:shd w:val="clear" w:color="auto" w:fill="CCEEFF"/>
          </w:tcPr>
          <w:p>
            <w:pPr>
              <w:jc w:val="center"/>
              <w:ind w:left="83"/>
              <w:spacing w:after="0"/>
              <w:rPr>
                <w:sz w:val="20"/>
                <w:szCs w:val="20"/>
                <w:color w:val="auto"/>
              </w:rPr>
            </w:pPr>
            <w:r>
              <w:rPr>
                <w:rFonts w:ascii="Times New Roman" w:cs="Times New Roman" w:eastAsia="Times New Roman" w:hAnsi="Times New Roman"/>
                <w:sz w:val="12"/>
                <w:szCs w:val="12"/>
                <w:color w:val="auto"/>
              </w:rPr>
              <w:t>—​​​ ​</w:t>
            </w:r>
          </w:p>
        </w:tc>
        <w:tc>
          <w:tcPr>
            <w:tcW w:w="3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(14,797​​​)</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6"/>
        </w:trPr>
        <w:tc>
          <w:tcPr>
            <w:tcW w:w="2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800" w:type="dxa"/>
            <w:vAlign w:val="bottom"/>
            <w:gridSpan w:val="2"/>
          </w:tcPr>
          <w:p>
            <w:pPr>
              <w:jc w:val="center"/>
              <w:ind w:left="83"/>
              <w:spacing w:after="0"/>
              <w:rPr>
                <w:sz w:val="20"/>
                <w:szCs w:val="20"/>
                <w:color w:val="auto"/>
              </w:rPr>
            </w:pPr>
            <w:r>
              <w:rPr>
                <w:rFonts w:ascii="Times New Roman" w:cs="Times New Roman" w:eastAsia="Times New Roman" w:hAnsi="Times New Roman"/>
                <w:sz w:val="12"/>
                <w:szCs w:val="12"/>
                <w:color w:val="auto"/>
              </w:rPr>
              <w:t>—​​​ ​</w:t>
            </w:r>
          </w:p>
        </w:tc>
        <w:tc>
          <w:tcPr>
            <w:tcW w:w="3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 ​ 8,625 ​​​</w:t>
            </w:r>
          </w:p>
        </w:tc>
        <w:tc>
          <w:tcPr>
            <w:tcW w:w="14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xml:space="preserve">8,625 </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6"/>
        </w:trPr>
        <w:tc>
          <w:tcPr>
            <w:tcW w:w="2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income, net</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800" w:type="dxa"/>
            <w:vAlign w:val="bottom"/>
            <w:gridSpan w:val="2"/>
            <w:shd w:val="clear" w:color="auto" w:fill="CCEEFF"/>
          </w:tcPr>
          <w:p>
            <w:pPr>
              <w:jc w:val="center"/>
              <w:ind w:left="83"/>
              <w:spacing w:after="0"/>
              <w:rPr>
                <w:sz w:val="20"/>
                <w:szCs w:val="20"/>
                <w:color w:val="auto"/>
              </w:rPr>
            </w:pPr>
            <w:r>
              <w:rPr>
                <w:rFonts w:ascii="Times New Roman" w:cs="Times New Roman" w:eastAsia="Times New Roman" w:hAnsi="Times New Roman"/>
                <w:sz w:val="12"/>
                <w:szCs w:val="12"/>
                <w:color w:val="auto"/>
              </w:rPr>
              <w:t>—​​​ ​</w:t>
            </w:r>
          </w:p>
        </w:tc>
        <w:tc>
          <w:tcPr>
            <w:tcW w:w="3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spacing w:after="0"/>
              <w:rPr>
                <w:sz w:val="13"/>
                <w:szCs w:val="13"/>
                <w:color w:val="auto"/>
              </w:rPr>
            </w:pPr>
          </w:p>
        </w:tc>
        <w:tc>
          <w:tcPr>
            <w:tcW w:w="4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 129</w:t>
            </w:r>
          </w:p>
        </w:tc>
        <w:tc>
          <w:tcPr>
            <w:tcW w:w="1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3"/>
        </w:trPr>
        <w:tc>
          <w:tcPr>
            <w:tcW w:w="2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loss</w:t>
            </w:r>
          </w:p>
        </w:tc>
        <w:tc>
          <w:tcPr>
            <w:tcW w:w="100" w:type="dxa"/>
            <w:vAlign w:val="bottom"/>
          </w:tcPr>
          <w:p>
            <w:pPr>
              <w:spacing w:after="0" w:line="184"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800" w:type="dxa"/>
            <w:vAlign w:val="bottom"/>
            <w:gridSpan w:val="2"/>
          </w:tcPr>
          <w:p>
            <w:pPr>
              <w:jc w:val="center"/>
              <w:ind w:left="83"/>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00" w:type="dxa"/>
            <w:vAlign w:val="bottom"/>
            <w:gridSpan w:val="3"/>
          </w:tcPr>
          <w:p>
            <w:pPr>
              <w:ind w:left="60"/>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560" w:type="dxa"/>
            <w:vAlign w:val="bottom"/>
            <w:gridSpan w:val="2"/>
          </w:tcPr>
          <w:p>
            <w:pPr>
              <w:jc w:val="right"/>
              <w:ind w:right="60"/>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260" w:type="dxa"/>
            <w:vAlign w:val="bottom"/>
            <w:gridSpan w:val="2"/>
          </w:tcPr>
          <w:p>
            <w:pP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180" w:type="dxa"/>
            <w:vAlign w:val="bottom"/>
            <w:gridSpan w:val="2"/>
          </w:tcPr>
          <w:p>
            <w:pPr>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40" w:type="dxa"/>
            <w:vAlign w:val="bottom"/>
          </w:tcPr>
          <w:p>
            <w:pPr>
              <w:spacing w:after="0"/>
              <w:rPr>
                <w:sz w:val="15"/>
                <w:szCs w:val="15"/>
                <w:color w:val="auto"/>
              </w:rPr>
            </w:pPr>
          </w:p>
        </w:tc>
        <w:tc>
          <w:tcPr>
            <w:tcW w:w="140" w:type="dxa"/>
            <w:vAlign w:val="bottom"/>
          </w:tcPr>
          <w:p>
            <w:pPr>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gridSpan w:val="6"/>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​(154,993)</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​(154,993)</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14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50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tcBorders>
              <w:left w:val="single" w:sz="8" w:color="CCEEFF"/>
            </w:tcBorders>
            <w:shd w:val="clear" w:color="auto" w:fill="000000"/>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1760" w:type="dxa"/>
            <w:vAlign w:val="bottom"/>
            <w:tcBorders>
              <w:left w:val="single" w:sz="8" w:color="CCEEFF"/>
            </w:tcBorders>
            <w:gridSpan w:val="8"/>
            <w:shd w:val="clear" w:color="auto" w:fill="CCEEFF"/>
          </w:tcPr>
          <w:p>
            <w:pPr>
              <w:spacing w:after="0" w:line="163"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​85,960,088</w:t>
            </w: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375,370</w:t>
            </w: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​2,675,979</w:t>
            </w:r>
            <w:r>
              <w:rPr>
                <w:rFonts w:ascii="Times New Roman" w:cs="Times New Roman" w:eastAsia="Times New Roman" w:hAnsi="Times New Roman"/>
                <w:sz w:val="18"/>
                <w:szCs w:val="18"/>
                <w:b w:val="1"/>
                <w:bCs w:val="1"/>
                <w:color w:val="auto"/>
                <w:vertAlign w:val="subscript"/>
              </w:rPr>
              <w:t>​​​</w:t>
            </w:r>
          </w:p>
        </w:tc>
        <w:tc>
          <w:tcPr>
            <w:tcW w:w="260" w:type="dxa"/>
            <w:vAlign w:val="bottom"/>
            <w:gridSpan w:val="2"/>
            <w:shd w:val="clear" w:color="auto" w:fill="CCEEFF"/>
          </w:tcPr>
          <w:p>
            <w:pPr>
              <w:spacing w:after="0" w:line="163"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$ 1</w:t>
            </w:r>
          </w:p>
        </w:tc>
        <w:tc>
          <w:tcPr>
            <w:tcW w:w="600" w:type="dxa"/>
            <w:vAlign w:val="bottom"/>
            <w:tcBorders>
              <w:left w:val="single" w:sz="8" w:color="CCEEFF"/>
            </w:tcBorders>
            <w:gridSpan w:val="4"/>
            <w:shd w:val="clear" w:color="auto" w:fill="CCEEFF"/>
          </w:tcPr>
          <w:p>
            <w:pPr>
              <w:jc w:val="right"/>
              <w:spacing w:after="0" w:line="163"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 xml:space="preserve">25,055 </w:t>
            </w:r>
            <w:r>
              <w:rPr>
                <w:rFonts w:ascii="Times New Roman" w:cs="Times New Roman" w:eastAsia="Times New Roman" w:hAnsi="Times New Roman"/>
                <w:sz w:val="18"/>
                <w:szCs w:val="18"/>
                <w:b w:val="1"/>
                <w:bCs w:val="1"/>
                <w:color w:val="auto"/>
                <w:vertAlign w:val="subscript"/>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w:t>
            </w:r>
          </w:p>
        </w:tc>
        <w:tc>
          <w:tcPr>
            <w:tcW w:w="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w:t>
            </w:r>
          </w:p>
        </w:tc>
        <w:tc>
          <w:tcPr>
            <w:tcW w:w="1240" w:type="dxa"/>
            <w:vAlign w:val="bottom"/>
            <w:tcBorders>
              <w:left w:val="single" w:sz="8" w:color="CCEEFF"/>
              <w:right w:val="single" w:sz="8" w:color="CCEEFF"/>
            </w:tcBorders>
            <w:gridSpan w:val="5"/>
            <w:shd w:val="clear" w:color="auto" w:fill="CCEEFF"/>
          </w:tcPr>
          <w:p>
            <w:pPr>
              <w:jc w:val="right"/>
              <w:spacing w:after="0" w:line="163"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(364,318)</w:t>
            </w: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(339,260)</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37"/>
        </w:trPr>
        <w:tc>
          <w:tcPr>
            <w:tcW w:w="148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000000"/>
          </w:tcPr>
          <w:p>
            <w:pPr>
              <w:spacing w:after="0"/>
              <w:rPr>
                <w:sz w:val="3"/>
                <w:szCs w:val="3"/>
                <w:color w:val="auto"/>
              </w:rPr>
            </w:pPr>
          </w:p>
        </w:tc>
        <w:tc>
          <w:tcPr>
            <w:tcW w:w="500" w:type="dxa"/>
            <w:vAlign w:val="bottom"/>
            <w:tcBorders>
              <w:right w:val="single" w:sz="8" w:color="CCEEFF"/>
            </w:tcBorders>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200" w:type="dxa"/>
            <w:vAlign w:val="bottom"/>
            <w:tcBorders>
              <w:right w:val="single" w:sz="8" w:color="CCEEFF"/>
            </w:tcBorders>
            <w:shd w:val="clear" w:color="auto" w:fill="000000"/>
          </w:tcPr>
          <w:p>
            <w:pPr>
              <w:spacing w:after="0"/>
              <w:rPr>
                <w:sz w:val="3"/>
                <w:szCs w:val="3"/>
                <w:color w:val="auto"/>
              </w:rPr>
            </w:pPr>
          </w:p>
        </w:tc>
        <w:tc>
          <w:tcPr>
            <w:tcW w:w="40" w:type="dxa"/>
            <w:vAlign w:val="bottom"/>
            <w:tcBorders>
              <w:left w:val="single" w:sz="8" w:color="CCEEFF"/>
            </w:tcBorders>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80" w:type="dxa"/>
            <w:vAlign w:val="bottom"/>
            <w:tcBorders>
              <w:right w:val="single" w:sz="8" w:color="CCEEFF"/>
            </w:tcBorders>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40" w:type="dxa"/>
            <w:vAlign w:val="bottom"/>
            <w:tcBorders>
              <w:right w:val="single" w:sz="8" w:color="CCEEFF"/>
            </w:tcBorders>
            <w:shd w:val="clear" w:color="auto" w:fill="000000"/>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80" w:type="dxa"/>
            <w:vAlign w:val="bottom"/>
            <w:tcBorders>
              <w:left w:val="single" w:sz="8" w:color="CCEEFF"/>
            </w:tcBorders>
            <w:shd w:val="clear" w:color="auto" w:fill="000000"/>
          </w:tcPr>
          <w:p>
            <w:pPr>
              <w:spacing w:after="0"/>
              <w:rPr>
                <w:sz w:val="3"/>
                <w:szCs w:val="3"/>
                <w:color w:val="auto"/>
              </w:rPr>
            </w:pPr>
          </w:p>
        </w:tc>
        <w:tc>
          <w:tcPr>
            <w:tcW w:w="420" w:type="dxa"/>
            <w:vAlign w:val="bottom"/>
            <w:tcBorders>
              <w:right w:val="single" w:sz="8" w:color="CCEEFF"/>
            </w:tcBorders>
            <w:shd w:val="clear" w:color="auto" w:fill="000000"/>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40" w:type="dxa"/>
            <w:vAlign w:val="bottom"/>
            <w:tcBorders>
              <w:right w:val="single" w:sz="8" w:color="CCEEFF"/>
            </w:tcBorders>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4930140</wp:posOffset>
            </wp:positionH>
            <wp:positionV relativeFrom="paragraph">
              <wp:posOffset>-144780</wp:posOffset>
            </wp:positionV>
            <wp:extent cx="23495"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3495" cy="5715"/>
                    </a:xfrm>
                    <a:prstGeom prst="rect">
                      <a:avLst/>
                    </a:prstGeom>
                    <a:noFill/>
                  </pic:spPr>
                </pic:pic>
              </a:graphicData>
            </a:graphic>
          </wp:anchor>
        </w:drawing>
        <w:drawing>
          <wp:anchor simplePos="0" relativeHeight="251657728" behindDoc="1" locked="0" layoutInCell="0" allowOverlap="1">
            <wp:simplePos x="0" y="0"/>
            <wp:positionH relativeFrom="column">
              <wp:posOffset>4535170</wp:posOffset>
            </wp:positionH>
            <wp:positionV relativeFrom="paragraph">
              <wp:posOffset>-144780</wp:posOffset>
            </wp:positionV>
            <wp:extent cx="6985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850" cy="571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-144780</wp:posOffset>
            </wp:positionV>
            <wp:extent cx="16256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-144780</wp:posOffset>
            </wp:positionV>
            <wp:extent cx="156845"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56845" cy="5715"/>
                    </a:xfrm>
                    <a:prstGeom prst="rect">
                      <a:avLst/>
                    </a:prstGeom>
                    <a:noFill/>
                  </pic:spPr>
                </pic:pic>
              </a:graphicData>
            </a:graphic>
          </wp:anchor>
        </w:drawing>
        <w:drawing>
          <wp:anchor simplePos="0" relativeHeight="251657728" behindDoc="1" locked="0" layoutInCell="0" allowOverlap="1">
            <wp:simplePos x="0" y="0"/>
            <wp:positionH relativeFrom="column">
              <wp:posOffset>3342640</wp:posOffset>
            </wp:positionH>
            <wp:positionV relativeFrom="paragraph">
              <wp:posOffset>-144780</wp:posOffset>
            </wp:positionV>
            <wp:extent cx="93345"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3139440</wp:posOffset>
            </wp:positionH>
            <wp:positionV relativeFrom="paragraph">
              <wp:posOffset>-144780</wp:posOffset>
            </wp:positionV>
            <wp:extent cx="8128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1280" cy="5715"/>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-4128135</wp:posOffset>
            </wp:positionV>
            <wp:extent cx="4192905" cy="412877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192905" cy="4128770"/>
                    </a:xfrm>
                    <a:prstGeom prst="rect">
                      <a:avLst/>
                    </a:prstGeom>
                    <a:noFill/>
                  </pic:spPr>
                </pic:pic>
              </a:graphicData>
            </a:graphic>
          </wp:anchor>
        </w:drawing>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12" w:name="page213"/>
    <w:bookmarkEnd w:id="212"/>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116"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3"/>
          </w:tcPr>
          <w:p>
            <w:pPr>
              <w:jc w:val="center"/>
              <w:ind w:right="55"/>
              <w:spacing w:after="0"/>
              <w:rPr>
                <w:sz w:val="20"/>
                <w:szCs w:val="20"/>
                <w:color w:val="auto"/>
              </w:rPr>
            </w:pPr>
            <w:r>
              <w:rPr>
                <w:rFonts w:ascii="Times New Roman" w:cs="Times New Roman" w:eastAsia="Times New Roman" w:hAnsi="Times New Roman"/>
                <w:sz w:val="10"/>
                <w:szCs w:val="10"/>
                <w:b w:val="1"/>
                <w:bCs w:val="1"/>
                <w:color w:val="auto"/>
                <w:w w:val="89"/>
              </w:rPr>
              <w:t>Year ended</w:t>
            </w:r>
          </w:p>
        </w:tc>
        <w:tc>
          <w:tcPr>
            <w:tcW w:w="140" w:type="dxa"/>
            <w:vAlign w:val="bottom"/>
          </w:tcPr>
          <w:p>
            <w:pPr>
              <w:spacing w:after="0"/>
              <w:rPr>
                <w:sz w:val="10"/>
                <w:szCs w:val="10"/>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3700" w:type="dxa"/>
            <w:vAlign w:val="bottom"/>
          </w:tcPr>
          <w:p>
            <w:pPr>
              <w:spacing w:after="0"/>
              <w:rPr>
                <w:sz w:val="9"/>
                <w:szCs w:val="9"/>
                <w:color w:val="auto"/>
              </w:rPr>
            </w:pPr>
          </w:p>
        </w:tc>
        <w:tc>
          <w:tcPr>
            <w:tcW w:w="620" w:type="dxa"/>
            <w:vAlign w:val="bottom"/>
            <w:gridSpan w:val="4"/>
          </w:tcPr>
          <w:p>
            <w:pPr>
              <w:jc w:val="center"/>
              <w:ind w:left="6"/>
              <w:spacing w:after="0" w:line="11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700" w:type="dxa"/>
            <w:vAlign w:val="bottom"/>
            <w:gridSpan w:val="5"/>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0" w:type="dxa"/>
            <w:vAlign w:val="bottom"/>
          </w:tcPr>
          <w:p>
            <w:pPr>
              <w:spacing w:after="0"/>
              <w:rPr>
                <w:sz w:val="1"/>
                <w:szCs w:val="1"/>
                <w:color w:val="auto"/>
              </w:rPr>
            </w:pPr>
          </w:p>
        </w:tc>
      </w:tr>
      <w:tr>
        <w:trPr>
          <w:trHeight w:val="126"/>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1"/>
              </w:rPr>
              <w:t>(in thousands)</w:t>
            </w:r>
          </w:p>
        </w:tc>
        <w:tc>
          <w:tcPr>
            <w:tcW w:w="3700" w:type="dxa"/>
            <w:vAlign w:val="bottom"/>
          </w:tcPr>
          <w:p>
            <w:pPr>
              <w:spacing w:after="0"/>
              <w:rPr>
                <w:sz w:val="10"/>
                <w:szCs w:val="1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89"/>
              </w:rPr>
              <w:t>2022</w:t>
            </w:r>
          </w:p>
        </w:tc>
        <w:tc>
          <w:tcPr>
            <w:tcW w:w="40" w:type="dxa"/>
            <w:vAlign w:val="bottom"/>
            <w:tcBorders>
              <w:bottom w:val="single" w:sz="8" w:color="auto"/>
            </w:tcBorders>
          </w:tcPr>
          <w:p>
            <w:pPr>
              <w:spacing w:after="0"/>
              <w:rPr>
                <w:sz w:val="10"/>
                <w:szCs w:val="1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60" w:type="dxa"/>
            <w:vAlign w:val="bottom"/>
            <w:tcBorders>
              <w:bottom w:val="single" w:sz="8" w:color="auto"/>
            </w:tcBorders>
          </w:tcPr>
          <w:p>
            <w:pPr>
              <w:spacing w:after="0"/>
              <w:rPr>
                <w:sz w:val="10"/>
                <w:szCs w:val="1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27"/>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 ​ ​</w:t>
            </w: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 ​ ​</w:t>
            </w: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7"/>
        </w:trPr>
        <w:tc>
          <w:tcPr>
            <w:tcW w:w="4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loss</w:t>
            </w: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 ​$ (111,930)</w:t>
            </w: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1"/>
                <w:szCs w:val="11"/>
                <w:color w:val="auto"/>
              </w:rPr>
              <w:t xml:space="preserve">​​​ ​$(154,993) </w:t>
            </w: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7"/>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42296"/>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7"/>
        </w:trPr>
        <w:tc>
          <w:tcPr>
            <w:tcW w:w="42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Stock-based compensation</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tcPr>
          <w:p>
            <w:pPr>
              <w:jc w:val="right"/>
              <w:ind w:right="35"/>
              <w:spacing w:after="0"/>
              <w:rPr>
                <w:sz w:val="20"/>
                <w:szCs w:val="20"/>
                <w:color w:val="auto"/>
              </w:rPr>
            </w:pPr>
            <w:r>
              <w:rPr>
                <w:rFonts w:ascii="Times New Roman" w:cs="Times New Roman" w:eastAsia="Times New Roman" w:hAnsi="Times New Roman"/>
                <w:sz w:val="11"/>
                <w:szCs w:val="11"/>
                <w:color w:val="auto"/>
              </w:rPr>
              <w:t>5,960</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8,625</w:t>
            </w:r>
          </w:p>
        </w:tc>
        <w:tc>
          <w:tcPr>
            <w:tcW w:w="60" w:type="dxa"/>
            <w:vAlign w:val="bottom"/>
          </w:tcPr>
          <w:p>
            <w:pPr>
              <w:spacing w:after="0"/>
              <w:rPr>
                <w:sz w:val="11"/>
                <w:szCs w:val="1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7"/>
        </w:trPr>
        <w:tc>
          <w:tcPr>
            <w:tcW w:w="4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Non-cash lease expense</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1"/>
                <w:szCs w:val="11"/>
                <w:color w:val="auto"/>
              </w:rPr>
              <w:t>950</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2,010</w:t>
            </w:r>
          </w:p>
        </w:tc>
        <w:tc>
          <w:tcPr>
            <w:tcW w:w="60" w:type="dxa"/>
            <w:vAlign w:val="bottom"/>
            <w:shd w:val="clear" w:color="auto" w:fill="CCEEFF"/>
          </w:tcPr>
          <w:p>
            <w:pPr>
              <w:spacing w:after="0"/>
              <w:rPr>
                <w:sz w:val="11"/>
                <w:szCs w:val="1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7"/>
        </w:trPr>
        <w:tc>
          <w:tcPr>
            <w:tcW w:w="42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tcPr>
          <w:p>
            <w:pPr>
              <w:jc w:val="right"/>
              <w:ind w:right="35"/>
              <w:spacing w:after="0"/>
              <w:rPr>
                <w:sz w:val="20"/>
                <w:szCs w:val="20"/>
                <w:color w:val="auto"/>
              </w:rPr>
            </w:pPr>
            <w:r>
              <w:rPr>
                <w:rFonts w:ascii="Times New Roman" w:cs="Times New Roman" w:eastAsia="Times New Roman" w:hAnsi="Times New Roman"/>
                <w:sz w:val="11"/>
                <w:szCs w:val="11"/>
                <w:color w:val="auto"/>
              </w:rPr>
              <w:t>250</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1,284</w:t>
            </w:r>
          </w:p>
        </w:tc>
        <w:tc>
          <w:tcPr>
            <w:tcW w:w="60" w:type="dxa"/>
            <w:vAlign w:val="bottom"/>
          </w:tcPr>
          <w:p>
            <w:pPr>
              <w:spacing w:after="0"/>
              <w:rPr>
                <w:sz w:val="11"/>
                <w:szCs w:val="1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7"/>
        </w:trPr>
        <w:tc>
          <w:tcPr>
            <w:tcW w:w="4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accretion of discounts on marketable securities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(544)</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7"/>
        </w:trPr>
        <w:tc>
          <w:tcPr>
            <w:tcW w:w="42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Loss on abandonment of right-of-use assets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tcPr>
          <w:p>
            <w:pPr>
              <w:jc w:val="right"/>
              <w:ind w:right="35"/>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60" w:type="dxa"/>
            <w:vAlign w:val="bottom"/>
          </w:tcPr>
          <w:p>
            <w:pPr>
              <w:spacing w:after="0"/>
              <w:rPr>
                <w:sz w:val="11"/>
                <w:szCs w:val="1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7"/>
        </w:trPr>
        <w:tc>
          <w:tcPr>
            <w:tcW w:w="4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Loss on disposal of fixed assets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60" w:type="dxa"/>
            <w:vAlign w:val="bottom"/>
            <w:shd w:val="clear" w:color="auto" w:fill="CCEEFF"/>
          </w:tcPr>
          <w:p>
            <w:pPr>
              <w:spacing w:after="0"/>
              <w:rPr>
                <w:sz w:val="11"/>
                <w:szCs w:val="1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7"/>
        </w:trPr>
        <w:tc>
          <w:tcPr>
            <w:tcW w:w="42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Change in fair value of derivative liability</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tcPr>
          <w:p>
            <w:pPr>
              <w:jc w:val="right"/>
              <w:ind w:right="35"/>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6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7"/>
        </w:trPr>
        <w:tc>
          <w:tcPr>
            <w:tcW w:w="4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Write-off of deferred offering costs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w:t>
            </w:r>
          </w:p>
        </w:tc>
        <w:tc>
          <w:tcPr>
            <w:tcW w:w="60" w:type="dxa"/>
            <w:vAlign w:val="bottom"/>
            <w:shd w:val="clear" w:color="auto" w:fill="CCEEFF"/>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7"/>
        </w:trPr>
        <w:tc>
          <w:tcPr>
            <w:tcW w:w="42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60" w:type="dxa"/>
            <w:vAlign w:val="bottom"/>
          </w:tcPr>
          <w:p>
            <w:pPr>
              <w:spacing w:after="0"/>
              <w:rPr>
                <w:sz w:val="12"/>
                <w:szCs w:val="12"/>
                <w:color w:val="auto"/>
              </w:rPr>
            </w:pPr>
          </w:p>
        </w:tc>
        <w:tc>
          <w:tcPr>
            <w:tcW w:w="40" w:type="dxa"/>
            <w:vAlign w:val="bottom"/>
          </w:tcPr>
          <w:p>
            <w:pPr>
              <w:jc w:val="right"/>
              <w:ind w:right="15"/>
              <w:spacing w:after="0"/>
              <w:rPr>
                <w:sz w:val="20"/>
                <w:szCs w:val="20"/>
                <w:color w:val="auto"/>
              </w:rPr>
            </w:pPr>
            <w:r>
              <w:rPr>
                <w:rFonts w:ascii="Times New Roman" w:cs="Times New Roman" w:eastAsia="Times New Roman" w:hAnsi="Times New Roman"/>
                <w:sz w:val="1"/>
                <w:szCs w:val="1"/>
                <w:color w:val="auto"/>
                <w:w w:val="4294942296"/>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4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7"/>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Research and development prepaid expenses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(7,334)</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5,526</w:t>
            </w:r>
          </w:p>
        </w:tc>
        <w:tc>
          <w:tcPr>
            <w:tcW w:w="60" w:type="dxa"/>
            <w:vAlign w:val="bottom"/>
            <w:shd w:val="clear" w:color="auto" w:fill="CCEEFF"/>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7"/>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Other prepaid expenses and current assets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(1,019)</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xml:space="preserve">(340) </w:t>
            </w: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7"/>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payable</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1"/>
                <w:szCs w:val="11"/>
                <w:color w:val="auto"/>
              </w:rPr>
              <w:t>1,294</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28"/>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Research and development accrued expenses, including changes in related party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280" w:type="dxa"/>
            <w:vAlign w:val="bottom"/>
            <w:gridSpan w:val="2"/>
          </w:tcPr>
          <w:p>
            <w:pPr>
              <w:ind w:left="320"/>
              <w:spacing w:after="0" w:line="110" w:lineRule="exact"/>
              <w:rPr>
                <w:sz w:val="20"/>
                <w:szCs w:val="20"/>
                <w:color w:val="auto"/>
              </w:rPr>
            </w:pPr>
            <w:r>
              <w:rPr>
                <w:rFonts w:ascii="Times New Roman" w:cs="Times New Roman" w:eastAsia="Times New Roman" w:hAnsi="Times New Roman"/>
                <w:sz w:val="11"/>
                <w:szCs w:val="11"/>
                <w:color w:val="auto"/>
              </w:rPr>
              <w:t>balances of ($614) and $2 for the years ended December 31, 2022 and 2023,</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1"/>
                <w:szCs w:val="11"/>
                <w:color w:val="auto"/>
              </w:rPr>
              <w:t>2,383</w:t>
            </w:r>
          </w:p>
        </w:tc>
        <w:tc>
          <w:tcPr>
            <w:tcW w:w="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5,168</w:t>
            </w:r>
          </w:p>
        </w:tc>
        <w:tc>
          <w:tcPr>
            <w:tcW w:w="60" w:type="dxa"/>
            <w:vAlign w:val="bottom"/>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28"/>
        </w:trPr>
        <w:tc>
          <w:tcPr>
            <w:tcW w:w="428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respectively</w:t>
            </w:r>
          </w:p>
        </w:tc>
        <w:tc>
          <w:tcPr>
            <w:tcW w:w="220" w:type="dxa"/>
            <w:vAlign w:val="bottom"/>
            <w:gridSpan w:val="2"/>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Other accrued expenses and current liabilities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1"/>
                <w:szCs w:val="11"/>
                <w:color w:val="auto"/>
              </w:rPr>
              <w:t>3,580</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2,490</w:t>
            </w:r>
          </w:p>
        </w:tc>
        <w:tc>
          <w:tcPr>
            <w:tcW w:w="60" w:type="dxa"/>
            <w:vAlign w:val="bottom"/>
            <w:shd w:val="clear" w:color="auto" w:fill="CCEEFF"/>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5"/>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(820)</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xml:space="preserve">(144) </w:t>
            </w: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Net cash used in operating activities</w:t>
            </w:r>
          </w:p>
        </w:tc>
        <w:tc>
          <w:tcPr>
            <w:tcW w:w="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​(107,722)</w:t>
            </w: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 ​(129,975)</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2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 ​</w:t>
            </w:r>
          </w:p>
        </w:tc>
        <w:tc>
          <w:tcPr>
            <w:tcW w:w="360" w:type="dxa"/>
            <w:vAlign w:val="bottom"/>
          </w:tcPr>
          <w:p>
            <w:pPr>
              <w:spacing w:after="0"/>
              <w:rPr>
                <w:sz w:val="11"/>
                <w:szCs w:val="11"/>
                <w:color w:val="auto"/>
              </w:rPr>
            </w:pPr>
          </w:p>
        </w:tc>
        <w:tc>
          <w:tcPr>
            <w:tcW w:w="40" w:type="dxa"/>
            <w:vAlign w:val="bottom"/>
          </w:tcPr>
          <w:p>
            <w:pPr>
              <w:jc w:val="right"/>
              <w:ind w:right="1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 ​</w:t>
            </w:r>
          </w:p>
        </w:tc>
        <w:tc>
          <w:tcPr>
            <w:tcW w:w="340" w:type="dxa"/>
            <w:vAlign w:val="bottom"/>
          </w:tcPr>
          <w:p>
            <w:pPr>
              <w:spacing w:after="0"/>
              <w:rPr>
                <w:sz w:val="11"/>
                <w:szCs w:val="1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0" w:type="dxa"/>
            <w:vAlign w:val="bottom"/>
          </w:tcPr>
          <w:p>
            <w:pPr>
              <w:spacing w:after="0"/>
              <w:rPr>
                <w:sz w:val="1"/>
                <w:szCs w:val="1"/>
                <w:color w:val="auto"/>
              </w:rPr>
            </w:pPr>
          </w:p>
        </w:tc>
      </w:tr>
      <w:tr>
        <w:trPr>
          <w:trHeight w:val="147"/>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Maturities of marketable securities</w:t>
            </w:r>
          </w:p>
        </w:tc>
        <w:tc>
          <w:tcPr>
            <w:tcW w:w="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 142,730</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76,250</w:t>
            </w:r>
          </w:p>
        </w:tc>
        <w:tc>
          <w:tcPr>
            <w:tcW w:w="60" w:type="dxa"/>
            <w:vAlign w:val="bottom"/>
            <w:shd w:val="clear" w:color="auto" w:fill="CCEEFF"/>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7"/>
        </w:trPr>
        <w:tc>
          <w:tcPr>
            <w:tcW w:w="4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Purchases of marketable securities</w:t>
            </w: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 ​ ​(209,075)</w:t>
            </w: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1"/>
                <w:szCs w:val="11"/>
                <w:color w:val="auto"/>
              </w:rPr>
              <w:t xml:space="preserve">​​​ ​ ​ (11,279) </w:t>
            </w: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5"/>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Purchases of property and equipment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(2,406)</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(4,499)</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28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Net cash (used in) provided by investing activities</w:t>
            </w: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 ​ ​ (68,751)</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60,472</w:t>
            </w:r>
          </w:p>
        </w:tc>
        <w:tc>
          <w:tcPr>
            <w:tcW w:w="6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 ​ ​</w:t>
            </w: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 ​ ​</w:t>
            </w: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7"/>
        </w:trPr>
        <w:tc>
          <w:tcPr>
            <w:tcW w:w="4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Proceeds from issuance of redeemable convertible preferred stock, net of issuance costs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tcPr>
          <w:p>
            <w:pPr>
              <w:jc w:val="right"/>
              <w:ind w:right="35"/>
              <w:spacing w:after="0"/>
              <w:rPr>
                <w:sz w:val="20"/>
                <w:szCs w:val="20"/>
                <w:color w:val="auto"/>
              </w:rPr>
            </w:pPr>
            <w:r>
              <w:rPr>
                <w:rFonts w:ascii="Times New Roman" w:cs="Times New Roman" w:eastAsia="Times New Roman" w:hAnsi="Times New Roman"/>
                <w:sz w:val="11"/>
                <w:szCs w:val="11"/>
                <w:color w:val="auto"/>
              </w:rPr>
              <w:t>99,893</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89,778</w:t>
            </w:r>
          </w:p>
        </w:tc>
        <w:tc>
          <w:tcPr>
            <w:tcW w:w="6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7"/>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Proceeds from issuance of common stock upon exercise of stock options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1"/>
                <w:szCs w:val="11"/>
                <w:color w:val="auto"/>
              </w:rPr>
              <w:t>1,734</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60" w:type="dxa"/>
            <w:vAlign w:val="bottom"/>
            <w:shd w:val="clear" w:color="auto" w:fill="CCEEFF"/>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7"/>
        </w:trPr>
        <w:tc>
          <w:tcPr>
            <w:tcW w:w="4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Payments of deferred offering costs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tcPr>
          <w:p>
            <w:pPr>
              <w:jc w:val="right"/>
              <w:ind w:right="35"/>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xml:space="preserve">(485) </w:t>
            </w: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5"/>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Repurchase of unvested stock options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28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Net cash provided by financing activities</w:t>
            </w: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 ​ ​ 101,627</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89,682</w:t>
            </w:r>
          </w:p>
        </w:tc>
        <w:tc>
          <w:tcPr>
            <w:tcW w:w="6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increase (decrease) in cash, cash equivalents and restricted cash</w:t>
            </w:r>
          </w:p>
        </w:tc>
        <w:tc>
          <w:tcPr>
            <w:tcW w:w="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 (74,846)</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20,179</w:t>
            </w:r>
          </w:p>
        </w:tc>
        <w:tc>
          <w:tcPr>
            <w:tcW w:w="60" w:type="dxa"/>
            <w:vAlign w:val="bottom"/>
            <w:shd w:val="clear" w:color="auto" w:fill="CCEEFF"/>
          </w:tcPr>
          <w:p>
            <w:pPr>
              <w:spacing w:after="0"/>
              <w:rPr>
                <w:sz w:val="11"/>
                <w:szCs w:val="1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5"/>
        </w:trPr>
        <w:tc>
          <w:tcPr>
            <w:tcW w:w="4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Cash, cash equivalents and restricted cash at beginning of period</w:t>
            </w: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 ​ ​ 101,800</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26,954</w:t>
            </w:r>
          </w:p>
        </w:tc>
        <w:tc>
          <w:tcPr>
            <w:tcW w:w="6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cash equivalents and restricted cash at end of period</w:t>
            </w:r>
          </w:p>
        </w:tc>
        <w:tc>
          <w:tcPr>
            <w:tcW w:w="2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16"/>
                <w:szCs w:val="16"/>
                <w:color w:val="auto"/>
                <w:vertAlign w:val="superscript"/>
              </w:rPr>
              <w:t>$</w:t>
            </w:r>
          </w:p>
        </w:tc>
        <w:tc>
          <w:tcPr>
            <w:tcW w:w="4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1"/>
                <w:szCs w:val="11"/>
                <w:color w:val="auto"/>
              </w:rPr>
              <w:t>26,954</w:t>
            </w:r>
          </w:p>
        </w:tc>
        <w:tc>
          <w:tcPr>
            <w:tcW w:w="26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16"/>
                <w:szCs w:val="16"/>
                <w:color w:val="auto"/>
                <w:vertAlign w:val="superscript"/>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47,133</w:t>
            </w:r>
          </w:p>
        </w:tc>
        <w:tc>
          <w:tcPr>
            <w:tcW w:w="60" w:type="dxa"/>
            <w:vAlign w:val="bottom"/>
            <w:shd w:val="clear" w:color="auto" w:fill="CCEEFF"/>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360" w:type="dxa"/>
            <w:vAlign w:val="bottom"/>
            <w:tcBorders>
              <w:bottom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tcBorders>
              <w:bottom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28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Supplemental disclosures:</w:t>
            </w:r>
          </w:p>
        </w:tc>
        <w:tc>
          <w:tcPr>
            <w:tcW w:w="12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 ​</w:t>
            </w:r>
          </w:p>
        </w:tc>
        <w:tc>
          <w:tcPr>
            <w:tcW w:w="360" w:type="dxa"/>
            <w:vAlign w:val="bottom"/>
          </w:tcPr>
          <w:p>
            <w:pPr>
              <w:spacing w:after="0"/>
              <w:rPr>
                <w:sz w:val="10"/>
                <w:szCs w:val="10"/>
                <w:color w:val="auto"/>
              </w:rPr>
            </w:pPr>
          </w:p>
        </w:tc>
        <w:tc>
          <w:tcPr>
            <w:tcW w:w="40" w:type="dxa"/>
            <w:vAlign w:val="bottom"/>
          </w:tcPr>
          <w:p>
            <w:pPr>
              <w:jc w:val="right"/>
              <w:ind w:right="1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4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 ​</w:t>
            </w:r>
          </w:p>
        </w:tc>
        <w:tc>
          <w:tcPr>
            <w:tcW w:w="340" w:type="dxa"/>
            <w:vAlign w:val="bottom"/>
          </w:tcPr>
          <w:p>
            <w:pPr>
              <w:spacing w:after="0"/>
              <w:rPr>
                <w:sz w:val="10"/>
                <w:szCs w:val="10"/>
                <w:color w:val="auto"/>
              </w:rPr>
            </w:pPr>
          </w:p>
        </w:tc>
        <w:tc>
          <w:tcPr>
            <w:tcW w:w="1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 ​</w:t>
            </w:r>
          </w:p>
        </w:tc>
        <w:tc>
          <w:tcPr>
            <w:tcW w:w="0" w:type="dxa"/>
            <w:vAlign w:val="bottom"/>
          </w:tcPr>
          <w:p>
            <w:pPr>
              <w:spacing w:after="0"/>
              <w:rPr>
                <w:sz w:val="1"/>
                <w:szCs w:val="1"/>
                <w:color w:val="auto"/>
              </w:rPr>
            </w:pPr>
          </w:p>
        </w:tc>
      </w:tr>
      <w:tr>
        <w:trPr>
          <w:trHeight w:val="147"/>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Right-of-use assets obtained in exchange for operating lease liabilities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1"/>
                <w:szCs w:val="11"/>
                <w:color w:val="auto"/>
              </w:rPr>
              <w:t>896</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14,255</w:t>
            </w:r>
          </w:p>
        </w:tc>
        <w:tc>
          <w:tcPr>
            <w:tcW w:w="60" w:type="dxa"/>
            <w:vAlign w:val="bottom"/>
            <w:shd w:val="clear" w:color="auto" w:fill="CCEEFF"/>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7"/>
        </w:trPr>
        <w:tc>
          <w:tcPr>
            <w:tcW w:w="4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Vesting of early exercised stock options and unvested restricted shares of common stock</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gridSpan w:val="2"/>
          </w:tcPr>
          <w:p>
            <w:pPr>
              <w:jc w:val="right"/>
              <w:ind w:right="35"/>
              <w:spacing w:after="0"/>
              <w:rPr>
                <w:sz w:val="20"/>
                <w:szCs w:val="20"/>
                <w:color w:val="auto"/>
              </w:rPr>
            </w:pPr>
            <w:r>
              <w:rPr>
                <w:rFonts w:ascii="Times New Roman" w:cs="Times New Roman" w:eastAsia="Times New Roman" w:hAnsi="Times New Roman"/>
                <w:sz w:val="11"/>
                <w:szCs w:val="11"/>
                <w:color w:val="auto"/>
              </w:rPr>
              <w:t>1,639</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1,944</w:t>
            </w:r>
          </w:p>
        </w:tc>
        <w:tc>
          <w:tcPr>
            <w:tcW w:w="6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7"/>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Purchases of property and equipment in other accrued expenses and current liabilities</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1"/>
                <w:szCs w:val="11"/>
                <w:color w:val="auto"/>
              </w:rPr>
              <w:t>27</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60" w:type="dxa"/>
            <w:vAlign w:val="bottom"/>
            <w:shd w:val="clear" w:color="auto" w:fill="CCEEFF"/>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7"/>
        </w:trPr>
        <w:tc>
          <w:tcPr>
            <w:tcW w:w="4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Property and equipment acquired through tenant improvement allowance</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gridSpan w:val="2"/>
          </w:tcPr>
          <w:p>
            <w:pPr>
              <w:jc w:val="right"/>
              <w:ind w:right="35"/>
              <w:spacing w:after="0"/>
              <w:rPr>
                <w:sz w:val="20"/>
                <w:szCs w:val="20"/>
                <w:color w:val="auto"/>
              </w:rPr>
            </w:pPr>
            <w:r>
              <w:rPr>
                <w:rFonts w:ascii="Times New Roman" w:cs="Times New Roman" w:eastAsia="Times New Roman" w:hAnsi="Times New Roman"/>
                <w:sz w:val="11"/>
                <w:szCs w:val="11"/>
                <w:color w:val="auto"/>
              </w:rPr>
              <w:t>511</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16,691</w:t>
            </w:r>
          </w:p>
        </w:tc>
        <w:tc>
          <w:tcPr>
            <w:tcW w:w="6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7"/>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Recognition of derivative liability upon issuance of redeemable convertible preferred stock</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2,112</w:t>
            </w:r>
          </w:p>
        </w:tc>
        <w:tc>
          <w:tcPr>
            <w:tcW w:w="60" w:type="dxa"/>
            <w:vAlign w:val="bottom"/>
            <w:shd w:val="clear" w:color="auto" w:fill="CCEEFF"/>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7"/>
        </w:trPr>
        <w:tc>
          <w:tcPr>
            <w:tcW w:w="4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Settlement of derivative liability upon issuance of redeemable convertible preferred stock</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gridSpan w:val="2"/>
          </w:tcPr>
          <w:p>
            <w:pPr>
              <w:jc w:val="right"/>
              <w:ind w:right="35"/>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xml:space="preserve">(2,231) </w:t>
            </w: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7"/>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Reconciliation of cash, cash equivalents and restricted cash:</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 ​ ​</w:t>
            </w: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 ​ ​</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7"/>
        </w:trPr>
        <w:tc>
          <w:tcPr>
            <w:tcW w:w="4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gridSpan w:val="2"/>
          </w:tcPr>
          <w:p>
            <w:pPr>
              <w:jc w:val="right"/>
              <w:ind w:right="35"/>
              <w:spacing w:after="0"/>
              <w:rPr>
                <w:sz w:val="20"/>
                <w:szCs w:val="20"/>
                <w:color w:val="auto"/>
              </w:rPr>
            </w:pPr>
            <w:r>
              <w:rPr>
                <w:rFonts w:ascii="Times New Roman" w:cs="Times New Roman" w:eastAsia="Times New Roman" w:hAnsi="Times New Roman"/>
                <w:sz w:val="11"/>
                <w:szCs w:val="11"/>
                <w:color w:val="auto"/>
              </w:rPr>
              <w:t>25,610</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45,996</w:t>
            </w:r>
          </w:p>
        </w:tc>
        <w:tc>
          <w:tcPr>
            <w:tcW w:w="6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7"/>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Restricted cash</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1"/>
                <w:szCs w:val="11"/>
                <w:color w:val="auto"/>
              </w:rPr>
              <w:t>206</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60" w:type="dxa"/>
            <w:vAlign w:val="bottom"/>
            <w:shd w:val="clear" w:color="auto" w:fill="CCEEFF"/>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5"/>
        </w:trPr>
        <w:tc>
          <w:tcPr>
            <w:tcW w:w="4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Restricted cash, non-current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400" w:type="dxa"/>
            <w:vAlign w:val="bottom"/>
            <w:gridSpan w:val="2"/>
          </w:tcPr>
          <w:p>
            <w:pPr>
              <w:jc w:val="right"/>
              <w:ind w:right="35"/>
              <w:spacing w:after="0"/>
              <w:rPr>
                <w:sz w:val="20"/>
                <w:szCs w:val="20"/>
                <w:color w:val="auto"/>
              </w:rPr>
            </w:pPr>
            <w:r>
              <w:rPr>
                <w:rFonts w:ascii="Times New Roman" w:cs="Times New Roman" w:eastAsia="Times New Roman" w:hAnsi="Times New Roman"/>
                <w:sz w:val="11"/>
                <w:szCs w:val="11"/>
                <w:color w:val="auto"/>
              </w:rPr>
              <w:t>1,138</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1,024</w:t>
            </w:r>
          </w:p>
        </w:tc>
        <w:tc>
          <w:tcPr>
            <w:tcW w:w="6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cash, cash equivalents and restricted cash</w:t>
            </w:r>
          </w:p>
        </w:tc>
        <w:tc>
          <w:tcPr>
            <w:tcW w:w="2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16"/>
                <w:szCs w:val="16"/>
                <w:color w:val="auto"/>
                <w:vertAlign w:val="superscript"/>
              </w:rPr>
              <w:t>$</w:t>
            </w:r>
          </w:p>
        </w:tc>
        <w:tc>
          <w:tcPr>
            <w:tcW w:w="4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1"/>
                <w:szCs w:val="11"/>
                <w:color w:val="auto"/>
              </w:rPr>
              <w:t>26,954</w:t>
            </w:r>
          </w:p>
        </w:tc>
        <w:tc>
          <w:tcPr>
            <w:tcW w:w="26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9"/>
                <w:szCs w:val="9"/>
                <w:color w:val="auto"/>
              </w:rPr>
              <w:t>​​​ ​</w:t>
            </w:r>
            <w:r>
              <w:rPr>
                <w:rFonts w:ascii="Times New Roman" w:cs="Times New Roman" w:eastAsia="Times New Roman" w:hAnsi="Times New Roman"/>
                <w:sz w:val="16"/>
                <w:szCs w:val="16"/>
                <w:color w:val="auto"/>
                <w:vertAlign w:val="superscript"/>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47,133</w:t>
            </w:r>
          </w:p>
        </w:tc>
        <w:tc>
          <w:tcPr>
            <w:tcW w:w="60" w:type="dxa"/>
            <w:vAlign w:val="bottom"/>
            <w:shd w:val="clear" w:color="auto" w:fill="CCEEFF"/>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7"/>
        </w:trPr>
        <w:tc>
          <w:tcPr>
            <w:tcW w:w="58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-133350</wp:posOffset>
            </wp:positionV>
            <wp:extent cx="353568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53568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-1284605</wp:posOffset>
            </wp:positionV>
            <wp:extent cx="353568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53568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-1488440</wp:posOffset>
            </wp:positionV>
            <wp:extent cx="353568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53568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-2081530</wp:posOffset>
            </wp:positionV>
            <wp:extent cx="353568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53568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-2691765</wp:posOffset>
            </wp:positionV>
            <wp:extent cx="353568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535680" cy="5715"/>
                    </a:xfrm>
                    <a:prstGeom prst="rect">
                      <a:avLst/>
                    </a:prstGeom>
                    <a:noFill/>
                  </pic:spPr>
                </pic:pic>
              </a:graphicData>
            </a:graphic>
          </wp:anchor>
        </w:drawing>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13" w:name="page214"/>
    <w:bookmarkEnd w:id="213"/>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 Organization and Nature of the Business</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Organization and Business</w:t>
      </w:r>
    </w:p>
    <w:p>
      <w:pPr>
        <w:spacing w:after="0" w:line="111"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Alumis Inc. (the “Company”) is a clinical stage biopharmaceutical company focused on identifying, acquiring, and accelerating the development and commercialization of transformative medicines for autoimmune disorders. The Company leverages its proprietary precision data analytics platform, biological insights, and a team of experts with deep experience in precision medicine drug discovery, development, and immunology, to create medicines that significantly improve the lives of patients by replacing broad immunosuppression with targeted therapies.</w:t>
      </w:r>
    </w:p>
    <w:p>
      <w:pPr>
        <w:spacing w:after="0" w:line="224"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The Company was founded on January 29, 2021 as a Delaware corporation under the name FL2021-001, Inc. FL2021-001, Inc.’s name was changed to Esker Therapeutics, Inc. on March 8, 2021 and to Alumis Inc. on January 6, 2022. The Company is headquartered in South San Francisco, California.</w:t>
      </w:r>
    </w:p>
    <w:p>
      <w:pPr>
        <w:spacing w:after="0" w:line="62" w:lineRule="exact"/>
        <w:rPr>
          <w:sz w:val="20"/>
          <w:szCs w:val="20"/>
          <w:color w:val="auto"/>
        </w:rPr>
      </w:pPr>
    </w:p>
    <w:p>
      <w:pPr>
        <w:jc w:val="both"/>
        <w:ind w:left="1720" w:right="1739"/>
        <w:spacing w:after="0" w:line="283" w:lineRule="auto"/>
        <w:rPr>
          <w:sz w:val="20"/>
          <w:szCs w:val="20"/>
          <w:color w:val="auto"/>
        </w:rPr>
      </w:pPr>
      <w:r>
        <w:rPr>
          <w:rFonts w:ascii="Times New Roman" w:cs="Times New Roman" w:eastAsia="Times New Roman" w:hAnsi="Times New Roman"/>
          <w:sz w:val="12"/>
          <w:szCs w:val="12"/>
          <w:color w:val="auto"/>
        </w:rPr>
        <w:t>As of December 31, 2022 and 2023, the Company had two wholly owned subsidiaries, FronThera U.S. Holdings, Inc. and FronThera U.S. Pharmaceuticals LLC. These subsidiaries have no operations during 2022 and 2023 years.</w:t>
      </w:r>
    </w:p>
    <w:p>
      <w:pPr>
        <w:spacing w:after="0" w:line="25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Liquidity and Going Concern</w:t>
      </w:r>
    </w:p>
    <w:p>
      <w:pPr>
        <w:spacing w:after="0" w:line="111"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The Company has incurred negative operating cash flows and significant losses from operations since its inception. For the years ended December 31, 2022 and 2023, the Company incurred net losses of $111.9 million and $155.0 million, respectively. Cash used in operating activities was $107.7 million and $130.0 million for the years ended December 31, 2022 and 2023, respectively. As of December 31, 2023, the Company had an accumulated deficit of $364.3 million.</w:t>
      </w:r>
    </w:p>
    <w:p>
      <w:pPr>
        <w:spacing w:after="0" w:line="77"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The Company has historically financed its operations primarily through issuance of redeemable convertible preferred stock and convertible promissory notes in private placements. The Company expects to continue to incur substantial losses for the foreseeable future, and its ability to achieve and sustain profitability will depend on the successful development, approval, and commercialization of any product candidates it may develop, and on the achievement of sufficient revenue to support its cost structure. The Company may never achieve profitability and, unless and until it does, it will need to continue to raise additional capital. As of December 31, 2023, the Company had cash, cash equivalents and marketable securities of $49.0 million. In March 2024, the Company received aggregate gross proceeds of $129.5 million from the issuance and sale of 41,264,891 shares of its Series C redeemable convertible preferred stock at a purchase price of $3.13826 per share (the “First Tranche Series C Closing”) and, at the discretion of the Company’s board of directors, the Company is obligated to sell and Series C investors are obligated to purchase up to $129.5 million worth of additional shares of Series C redeemable convertible preferred stock on the same terms and at the same purchase price per share as in the First Tranche Series C Closing on or before the earliest of (i) December 31, 2024, (ii) the execution of a letter of intent for the sale of the Company, or (iii) the closing date of the Company’s initial public offering (the “Second Tranche Series C Closing”). The Second Tranche Series C Closing is subject to certain conditions and events as described in Note 16, Subsequent Events.</w:t>
      </w:r>
    </w:p>
    <w:p>
      <w:pPr>
        <w:spacing w:after="0" w:line="72"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Management expects that existing cash, cash equivalents and marketable securities together with the Series C financing aggregate gross proceeds of $129.5 million received in March 2024 are not sufficient to fund its current operating plan for at least the next 12 months from the date of issuance of these consolidated financial statements. Additional funds are necessary to maintain current operations and to continue research and development activities. The Company’s management plans to monitor expenses and may raise additional capital through a combination of public and private equity, debt financings, strategic alliances, and licensing arrangements. The Company’s ability to access capital when needed is not assured and, if capital is not available to the Company when, and in the amounts, needed, on the terms which are favorable, the Company could be required to delay, scale back, or abandon some or all of its development programs and other operations, which could materially harm the Company’s business, financial condition and results of operations. These factors raise substantial doubt about the Company’s ability to continue as a going concern.</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14" w:name="page215"/>
    <w:bookmarkEnd w:id="21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 Organization and Nature of the Business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Liquidity and Going Concern (Continued)</w:t>
      </w:r>
    </w:p>
    <w:p>
      <w:pPr>
        <w:spacing w:after="0" w:line="157"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The accompanying consolidated financial statements have been prepared assuming that the Company will continue as a going concern, which contemplates the realization of assets and satisfaction of liabilities in the normal course of business. The accompanying consolidated financial statements do not reflect any adjustments relating to the recoverability and reclassifications of assets and liabilities that might be necessary if the Company is unable to continue as a going concern.</w:t>
      </w:r>
    </w:p>
    <w:p>
      <w:pPr>
        <w:spacing w:after="0" w:line="1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and Basis of Presentation</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Basis of Presentation</w:t>
      </w:r>
    </w:p>
    <w:p>
      <w:pPr>
        <w:spacing w:after="0" w:line="75"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The accompanying consolidated financial statements have been prepared in accordance with accounting principles generally accepted in the United States of America (“GAAP”). The Company’s consolidated financial statements include the accounts of FronThera U.S. Holdings, Inc. and FronThera U.S. Pharmaceuticals LLC, two wholly owned subsidiaries, and all intercompany transactions are eliminated.</w:t>
      </w:r>
    </w:p>
    <w:p>
      <w:pPr>
        <w:spacing w:after="0" w:line="38"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Any reference in these notes to applicable guidance is meant to refer to the authoritative GAAP as found in the Accounting Standards Codification (“ASC”) and Accounting Standards Updates (“ASU”) of the Financial Accounting Standards Board (“FASB”).</w:t>
      </w:r>
    </w:p>
    <w:p>
      <w:pPr>
        <w:spacing w:after="0" w:line="1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Use of Estimates</w:t>
      </w:r>
    </w:p>
    <w:p>
      <w:pPr>
        <w:spacing w:after="0" w:line="65"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expenses during the reporting period. On an ongoing basis, the Company evaluates estimates and assumptions, including but not limited to those related to the fair value of its common and redeemable convertible preferred stock, the fair value of derivative liability, stock-based compensation expense, accruals for research and development expenses and the valuation of deferred tax assets.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27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Segment and Geographical Information</w:t>
      </w:r>
    </w:p>
    <w:p>
      <w:pPr>
        <w:spacing w:after="0" w:line="75"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The Company operates and manages its business as one reportable and operating segment, which is the business of developing medicines for autoimmune disorders. The chief executive officer, who is the chief operating decision maker, reviews financial information on an aggregate basis for purposes of allocating resources and evaluating financial performance. All of the Company’s long-lived assets are located in the United States.</w:t>
      </w:r>
    </w:p>
    <w:p>
      <w:pPr>
        <w:spacing w:after="0" w:line="26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Concentration of Credit Risk</w:t>
      </w:r>
    </w:p>
    <w:p>
      <w:pPr>
        <w:spacing w:after="0" w:line="75"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Financial instruments which potentially subject the Company to concentration of credit risk consist primarily of cash, investments in marketable securities and restricted cash. The Company maintains bank deposits in federally insured financial institutions and these deposits exceed federally insured limits. To date, the Company has not experienced any losses on its deposits of cash and periodically evaluates the creditworthiness of its financial institutions.</w:t>
      </w:r>
    </w:p>
    <w:p>
      <w:pPr>
        <w:spacing w:after="0" w:line="32"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The Company may also invest in money market funds, commercial paper, U.S. treasuries, corporate bonds, supranational debt securities and agency bonds, which can be subject to certain credit risks. The Company mitigates the risks by investing in high-grade instruments, limiting its exposure to any one issuer and monitoring the ongoing creditworthiness of the financial institutions and issuers. The Company has not experienced any loss of principal on its financial instruments.</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15" w:name="page216"/>
    <w:bookmarkEnd w:id="215"/>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and Basis of Presentation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Risks and Uncertainties</w:t>
      </w:r>
    </w:p>
    <w:p>
      <w:pPr>
        <w:spacing w:after="0" w:line="111"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The Company is subject to certain risks and uncertainties, including, but not limited to, changes in any of the following areas that the Company believes could have a material adverse effect on the future financial position or results of operations: the Company’s ability to advance the development of its proprietary precision data analytics platform, timing and ability to advance its product candidates through preclinical and clinical development; costs and timelines associated with the manufacturing of clinical supplies; regulatory approval, market acceptance of, and reimbursement for, any product candidates the Company may develop; performance of third-party vendors; competition from pharmaceutical or other biotechnology companies with greater financial resources or expertise; protection of intellectual property; litigation or claims against the Company based on intellectual property or other factors; and its ability to attract and retain employees necessary to support its growth.</w:t>
      </w:r>
    </w:p>
    <w:p>
      <w:pPr>
        <w:spacing w:after="0" w:line="219"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The Company’s business and operations may be affected by worldwide economic conditions, which may continue to be impacted by global macroeconomic challenges, such as the effects of the ongoing military conflicts in Ukraine, Israel, and the Middle East, tensions in U.S.-China relations, uncertainty in the markets, including disruptions in the banking industry, the COVID-19 pandemic and inflationary trends. Fiscal years 2022 and 2023 were marked by significant market uncertainty and increasing inflationary pressures. These market dynamics continue into 2024, and these and similar adverse market conditions may negatively impact the Company’s business, financial position and results of operations.</w:t>
      </w:r>
    </w:p>
    <w:p>
      <w:pPr>
        <w:spacing w:after="0" w:line="1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Cash and Cash Equivalents</w:t>
      </w:r>
    </w:p>
    <w:p>
      <w:pPr>
        <w:spacing w:after="0" w:line="111"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The Company considers all highly liquid investments purchased with an original maturity of three months or less to be cash equivalents. As of December 31, 2022 and 2023, cash and cash equivalents consisted of bank deposits and investments in money market funds and U.S. treasuries.</w:t>
      </w:r>
    </w:p>
    <w:p>
      <w:pPr>
        <w:spacing w:after="0" w:line="1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Restricted Cash</w:t>
      </w:r>
    </w:p>
    <w:p>
      <w:pPr>
        <w:spacing w:after="0" w:line="102" w:lineRule="exact"/>
        <w:rPr>
          <w:sz w:val="20"/>
          <w:szCs w:val="20"/>
          <w:color w:val="auto"/>
        </w:rPr>
      </w:pPr>
    </w:p>
    <w:p>
      <w:pPr>
        <w:jc w:val="both"/>
        <w:ind w:left="1720" w:right="1739"/>
        <w:spacing w:after="0" w:line="283" w:lineRule="auto"/>
        <w:rPr>
          <w:sz w:val="20"/>
          <w:szCs w:val="20"/>
          <w:color w:val="auto"/>
        </w:rPr>
      </w:pPr>
      <w:r>
        <w:rPr>
          <w:rFonts w:ascii="Times New Roman" w:cs="Times New Roman" w:eastAsia="Times New Roman" w:hAnsi="Times New Roman"/>
          <w:sz w:val="12"/>
          <w:szCs w:val="12"/>
          <w:color w:val="auto"/>
        </w:rPr>
        <w:t>Restricted cash of $1.3 million and $1.1 million as of December 31, 2022 and 2023, respectively, represents security deposits in the form of letters of credit issued in connection with the Company’s leases (see Note 8).</w:t>
      </w:r>
    </w:p>
    <w:p>
      <w:pPr>
        <w:spacing w:after="0" w:line="25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Marketable Securities</w:t>
      </w:r>
    </w:p>
    <w:p>
      <w:pPr>
        <w:spacing w:after="0" w:line="111"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Marketable securities may consist of commercial paper, U.S. treasuries, corporate bonds, supranational debt securities and agency bonds with original maturities of three months or more at the time of purchase and are included in current assets. As the Company’s entire investment portfolio is considered available for use in current operations, the Company classifies all investments as available-for-sale and as current assets, even though the stated maturity may be more than one year from the current balance sheet date. Marketable securities are carried at fair value, with change in fair value reported as unrealized gains or losses in accumulated other comprehensive (loss) income, which is a separate component of stockholders’ deficit in the consolidated balance sheets.</w:t>
      </w:r>
    </w:p>
    <w:p>
      <w:pPr>
        <w:spacing w:after="0" w:line="227" w:lineRule="exact"/>
        <w:rPr>
          <w:sz w:val="20"/>
          <w:szCs w:val="20"/>
          <w:color w:val="auto"/>
        </w:rPr>
      </w:pPr>
    </w:p>
    <w:p>
      <w:pPr>
        <w:jc w:val="both"/>
        <w:ind w:left="1720" w:right="1739"/>
        <w:spacing w:after="0" w:line="283" w:lineRule="auto"/>
        <w:rPr>
          <w:sz w:val="20"/>
          <w:szCs w:val="20"/>
          <w:color w:val="auto"/>
        </w:rPr>
      </w:pPr>
      <w:r>
        <w:rPr>
          <w:rFonts w:ascii="Times New Roman" w:cs="Times New Roman" w:eastAsia="Times New Roman" w:hAnsi="Times New Roman"/>
          <w:sz w:val="12"/>
          <w:szCs w:val="12"/>
          <w:color w:val="auto"/>
        </w:rPr>
        <w:t>The amortized cost of marketable securities is adjusted for amortization of premiums and accretion of discounts to maturity, which is included in interest income in the consolidated statements of operations and comprehensive loss.</w:t>
      </w:r>
    </w:p>
    <w:p>
      <w:pPr>
        <w:spacing w:after="0" w:line="206"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Realized gains and losses on the sale of securities are determined by specific identification of each security’s cost basis. The Company regularly reviews its investment portfolio to determine if any security is impaired, which would require it to record an allowance for credit losses or an impairment charge in the period any such determination is made. In making this judgment, the Company evaluates, among other things, the extent to which the fair value of a security is less than its amortized cost, its intent to sell or whether it is more likely than not that the Company will be required to sell the security before recovery of its amortized cost basis, the financial condition of the issuer and any changes thereto, and, as necessary, the portion of a decline in fair</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16" w:name="page217"/>
    <w:bookmarkEnd w:id="21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and Basis of Presentation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Marketable Securities (Continued)</w:t>
      </w:r>
    </w:p>
    <w:p>
      <w:pPr>
        <w:spacing w:after="0" w:line="157"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value that is credit-related. This assessment could change in the future due to new developments or changes in assumptions related to any particular security. Realized gains and losses, allowances for credit losses and impairments on available-for-sale securities, if any, are recorded in the consolidated statements of operations and comprehensive loss.</w:t>
      </w:r>
    </w:p>
    <w:p>
      <w:pPr>
        <w:spacing w:after="0" w:line="1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Fair Value Measurement</w:t>
      </w:r>
    </w:p>
    <w:p>
      <w:pPr>
        <w:spacing w:after="0" w:line="102" w:lineRule="exact"/>
        <w:rPr>
          <w:sz w:val="20"/>
          <w:szCs w:val="20"/>
          <w:color w:val="auto"/>
        </w:rPr>
      </w:pPr>
    </w:p>
    <w:p>
      <w:pPr>
        <w:jc w:val="both"/>
        <w:ind w:left="1720" w:right="1739"/>
        <w:spacing w:after="0" w:line="253" w:lineRule="auto"/>
        <w:rPr>
          <w:sz w:val="20"/>
          <w:szCs w:val="20"/>
          <w:color w:val="auto"/>
        </w:rPr>
      </w:pPr>
      <w:r>
        <w:rPr>
          <w:rFonts w:ascii="Times New Roman" w:cs="Times New Roman" w:eastAsia="Times New Roman" w:hAnsi="Times New Roman"/>
          <w:sz w:val="12"/>
          <w:szCs w:val="12"/>
          <w:color w:val="auto"/>
        </w:rPr>
        <w:t>Fair value is defined as the price that would be received to sell an asset or paid to transfer a liability in an orderly transaction between market participants at the measurement date. The carrying amounts of cash equivalents, prepaid expenses and other current assets, accounts payable, accrued expenses and other liabilities, approximate fair value due to their short-term maturities. Financial instruments, such as money market funds, marketable securities and derivative liability are measured at fair value at each reporting date (see Note 3).</w:t>
      </w:r>
    </w:p>
    <w:p>
      <w:pPr>
        <w:spacing w:after="0" w:line="26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Deferred Finance Issuance Costs</w:t>
      </w:r>
    </w:p>
    <w:p>
      <w:pPr>
        <w:spacing w:after="0" w:line="111"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Deferred finance issuance costs, consisting of legal, accounting and other third- party fees directly relating to in-process equity financings or offerings are capitalized. The deferred finance issuance costs will be offset against offering proceeds upon the completion of the financing or the offering. In the event the financing or the offering is terminated or delayed, deferred finance issuance costs will be expensed immediately as a charge to general and administrative expenses in the consolidated statements of operations and comprehensive loss. As of December 31, 2022 and 2023, the Company did not have any capitalized deferred finance issuance costs.</w:t>
      </w:r>
    </w:p>
    <w:p>
      <w:pPr>
        <w:spacing w:after="0" w:line="26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Property and Equipment, net</w:t>
      </w:r>
    </w:p>
    <w:p>
      <w:pPr>
        <w:spacing w:after="0" w:line="111"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Property and equipment are stated at cost less accumulated depreciation and amortization. Depreciation is calculated using the straight-line method over the estimated useful lives of assets. Costs for capital assets not yet placed into service are capitalized as construction-in-progress and depreciated once placed into service. Repair and maintenance costs, which are not considered improvements and do not extend the useful life of property and equipment, are expensed as incurred. Improvements are capitalized as additions to property and equipment. Upon sale or retirement of assets, the costs and related accumulated depreciation are removed from the consolidated balance sheets and the resulting gain or loss is reflected within operating expenses in the consolidated statements of operations and comprehensive loss.</w:t>
      </w:r>
    </w:p>
    <w:p>
      <w:pPr>
        <w:spacing w:after="0" w:line="1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Asset Acquisitions and Acquired In-Process Research and Development Expenses</w:t>
      </w:r>
    </w:p>
    <w:p>
      <w:pPr>
        <w:spacing w:after="0" w:line="111"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The Company measures and recognizes asset acquisitions that are not deemed to be business combinations based on the cost to acquire the asset or group of assets, which includes transaction costs. The Company determines if the acquisition should be accounted for as an asset acquisition after considering whether substantially all of the fair value of the gross assets acquired is concentrated in a single asset or group of assets and whether the Company acquired a substantive process capable of significantly contributing to the Company’s ability to create outputs. Goodwill is not recognized in asset acquisitions. If acquired in-process technology assets, including licenses, know -how and patents are determined to not have an alternative future use, the cost is charged to research and development expenses at the acquisition date.</w:t>
      </w:r>
    </w:p>
    <w:p>
      <w:pPr>
        <w:spacing w:after="0" w:line="77"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 xml:space="preserve">The Company accounts for contingent consideration identified in an asset acquisition that does not meet the definition of a derivative under ASC 815, </w:t>
      </w:r>
      <w:r>
        <w:rPr>
          <w:rFonts w:ascii="Times New Roman" w:cs="Times New Roman" w:eastAsia="Times New Roman" w:hAnsi="Times New Roman"/>
          <w:sz w:val="12"/>
          <w:szCs w:val="12"/>
          <w:i w:val="1"/>
          <w:iCs w:val="1"/>
          <w:color w:val="auto"/>
        </w:rPr>
        <w:t>Derivatives and Hedging</w:t>
      </w:r>
      <w:r>
        <w:rPr>
          <w:rFonts w:ascii="Times New Roman" w:cs="Times New Roman" w:eastAsia="Times New Roman" w:hAnsi="Times New Roman"/>
          <w:sz w:val="12"/>
          <w:szCs w:val="12"/>
          <w:color w:val="auto"/>
        </w:rPr>
        <w:t>, when the payment becomes probable and reasonably estimable. Such amounts are expensed or capitalized based on the nature of the associated asset at the date the related contingency is recognized.</w:t>
      </w:r>
    </w:p>
    <w:p>
      <w:pPr>
        <w:spacing w:after="0" w:line="11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Leases</w:t>
      </w:r>
    </w:p>
    <w:p>
      <w:pPr>
        <w:spacing w:after="0" w:line="102" w:lineRule="exact"/>
        <w:rPr>
          <w:sz w:val="20"/>
          <w:szCs w:val="20"/>
          <w:color w:val="auto"/>
        </w:rPr>
      </w:pPr>
    </w:p>
    <w:p>
      <w:pPr>
        <w:jc w:val="both"/>
        <w:ind w:left="1720" w:right="1739"/>
        <w:spacing w:after="0"/>
        <w:rPr>
          <w:sz w:val="20"/>
          <w:szCs w:val="20"/>
          <w:color w:val="auto"/>
        </w:rPr>
      </w:pPr>
      <w:r>
        <w:rPr>
          <w:rFonts w:ascii="Times New Roman" w:cs="Times New Roman" w:eastAsia="Times New Roman" w:hAnsi="Times New Roman"/>
          <w:sz w:val="12"/>
          <w:szCs w:val="12"/>
          <w:color w:val="auto"/>
        </w:rPr>
        <w:t>The Company determines whether an arrangement is or contains a lease at the inception of the arrangement and whether such a lease should be classified as a financing lease or operating lease at the commencement date</w:t>
      </w: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17" w:name="page218"/>
    <w:bookmarkEnd w:id="21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and Basis of Presentation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Leases (Continued)</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of the lease. Leases with a term greater than one year are recognized on the consolidated balance sheets as</w:t>
      </w:r>
    </w:p>
    <w:p>
      <w:pPr>
        <w:spacing w:after="0" w:line="4" w:lineRule="exact"/>
        <w:rPr>
          <w:sz w:val="20"/>
          <w:szCs w:val="20"/>
          <w:color w:val="auto"/>
        </w:rPr>
      </w:pPr>
    </w:p>
    <w:p>
      <w:pPr>
        <w:jc w:val="both"/>
        <w:ind w:left="1720" w:right="1739"/>
        <w:spacing w:after="0" w:line="212" w:lineRule="auto"/>
        <w:rPr>
          <w:sz w:val="20"/>
          <w:szCs w:val="20"/>
          <w:color w:val="auto"/>
        </w:rPr>
      </w:pPr>
      <w:r>
        <w:rPr>
          <w:rFonts w:ascii="Times New Roman" w:cs="Times New Roman" w:eastAsia="Times New Roman" w:hAnsi="Times New Roman"/>
          <w:sz w:val="12"/>
          <w:szCs w:val="12"/>
          <w:color w:val="auto"/>
        </w:rPr>
        <w:t>operating right-of-use assets (“ROU assets”) and operating lease liabilities. The Company elected not to recognize the right -of- use assets and lease liabilities for leases with lease terms of one year or less (short-term leases). Lease liabilities and their corresponding ROU assets are recorded based on the present value of</w:t>
      </w:r>
    </w:p>
    <w:p>
      <w:pPr>
        <w:spacing w:after="0" w:line="1" w:lineRule="exact"/>
        <w:rPr>
          <w:sz w:val="20"/>
          <w:szCs w:val="20"/>
          <w:color w:val="auto"/>
        </w:rPr>
      </w:pPr>
    </w:p>
    <w:p>
      <w:pPr>
        <w:jc w:val="both"/>
        <w:ind w:left="1720" w:right="1739"/>
        <w:spacing w:after="0" w:line="212" w:lineRule="auto"/>
        <w:rPr>
          <w:sz w:val="20"/>
          <w:szCs w:val="20"/>
          <w:color w:val="auto"/>
        </w:rPr>
      </w:pPr>
      <w:r>
        <w:rPr>
          <w:rFonts w:ascii="Times New Roman" w:cs="Times New Roman" w:eastAsia="Times New Roman" w:hAnsi="Times New Roman"/>
          <w:sz w:val="12"/>
          <w:szCs w:val="12"/>
          <w:color w:val="auto"/>
        </w:rPr>
        <w:t>lease payments over the lease term. The Company considers the lease term to be the noncancelable period that it has the right to use the underlying asset, together with any periods where it is reasonably certain it will exercise an option to extend (or not terminate) the lease. As the interest rate implicit in the Company’s</w:t>
      </w:r>
    </w:p>
    <w:p>
      <w:pPr>
        <w:spacing w:after="0" w:line="1" w:lineRule="exact"/>
        <w:rPr>
          <w:sz w:val="20"/>
          <w:szCs w:val="20"/>
          <w:color w:val="auto"/>
        </w:rPr>
      </w:pPr>
    </w:p>
    <w:p>
      <w:pPr>
        <w:jc w:val="both"/>
        <w:ind w:left="1720" w:right="1739"/>
        <w:spacing w:after="0" w:line="212" w:lineRule="auto"/>
        <w:rPr>
          <w:sz w:val="20"/>
          <w:szCs w:val="20"/>
          <w:color w:val="auto"/>
        </w:rPr>
      </w:pPr>
      <w:r>
        <w:rPr>
          <w:rFonts w:ascii="Times New Roman" w:cs="Times New Roman" w:eastAsia="Times New Roman" w:hAnsi="Times New Roman"/>
          <w:sz w:val="12"/>
          <w:szCs w:val="12"/>
          <w:color w:val="auto"/>
        </w:rPr>
        <w:t>lease contracts is not readily determinable, the Company utilizes its incremental borrowing rate (“IBR”) to determine the present value of lease payments. The IBR is derived from information available at the lease commencement date and represents the rate of interest that a lessee would have to pay to borrow an amount</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equal to the lease payments on a collateralized basis over a similar term in a similar economic environment.</w:t>
      </w:r>
    </w:p>
    <w:p>
      <w:pPr>
        <w:spacing w:after="0" w:line="77"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Rent expense for operating leases is recognized on a straight- line basis over the lease term. The Company has elected to not separate lease and non -lease components for its real estate leases and instead accounts for each separate lease component and the non-lease components associated with that lease component as a single lease component. Variable lease payments are recognized as incurred.</w:t>
      </w:r>
    </w:p>
    <w:p>
      <w:pPr>
        <w:spacing w:after="0" w:line="7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As of December 31, 2022 and 2023, the Company had no finance leases.</w:t>
      </w:r>
    </w:p>
    <w:p>
      <w:pPr>
        <w:spacing w:after="0" w:line="15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Impairment of Long-Lived Assets</w:t>
      </w:r>
    </w:p>
    <w:p>
      <w:pPr>
        <w:spacing w:after="0" w:line="102"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The Company regularly reviews the carrying value and estimated lives of all of its long-lived assets, including property and equipment, and ROU assets to determine whether indicators of impairment may exist which warrant adjustments to carrying values or estimated useful lives. Recoverability of assets to be held and used is measured by a comparison of the carrying amount of an asset group to future undiscounted net cash flows expected to be generated by the asset or asset group. Should impairment exist, the impairment loss to be recognized is measured by the amount by which the carrying amount of the asset exceeds the projected discounted future net cash flows arising from the asset.</w:t>
      </w:r>
    </w:p>
    <w:p>
      <w:pPr>
        <w:spacing w:after="0" w:line="1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Derivative Liability</w:t>
      </w:r>
    </w:p>
    <w:p>
      <w:pPr>
        <w:spacing w:after="0" w:line="102"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 xml:space="preserve">The Company may issue financial instruments, such as promissory notes or redeemable convertible preferred stock to its investors, which include embedded derivatives, such as call options. Derivatives are accounted for under ASC 815, </w:t>
      </w:r>
      <w:r>
        <w:rPr>
          <w:rFonts w:ascii="Times New Roman" w:cs="Times New Roman" w:eastAsia="Times New Roman" w:hAnsi="Times New Roman"/>
          <w:sz w:val="12"/>
          <w:szCs w:val="12"/>
          <w:i w:val="1"/>
          <w:iCs w:val="1"/>
          <w:color w:val="auto"/>
        </w:rPr>
        <w:t>Derivatives and Hedging</w:t>
      </w:r>
      <w:r>
        <w:rPr>
          <w:rFonts w:ascii="Times New Roman" w:cs="Times New Roman" w:eastAsia="Times New Roman" w:hAnsi="Times New Roman"/>
          <w:sz w:val="12"/>
          <w:szCs w:val="12"/>
          <w:color w:val="auto"/>
        </w:rPr>
        <w:t>. The Company performs analysis of derivatives embedded in the financial instruments, and if any requires bifurcation, accounts for these at fair value at the issuance date. In May 2023, the Company issued Series B-2/B-2A redeemable convertible preferred stock shares, which included embedded derivatives that required bifurcation.</w:t>
      </w:r>
    </w:p>
    <w:p>
      <w:pPr>
        <w:spacing w:after="0" w:line="74"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A derivative liability is accounted for separately from the financial instrument at fair value on the issuance date and is remeasured each reporting period. The changes in the fair value of the derivative liability are included in change in fair value of derivative liability within the consolidated statements of operations and comprehensive loss.</w:t>
      </w:r>
    </w:p>
    <w:p>
      <w:pPr>
        <w:spacing w:after="0" w:line="25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Redeemable Convertible Preferred Stock</w:t>
      </w:r>
    </w:p>
    <w:p>
      <w:pPr>
        <w:spacing w:after="0" w:line="102" w:lineRule="exact"/>
        <w:rPr>
          <w:sz w:val="20"/>
          <w:szCs w:val="20"/>
          <w:color w:val="auto"/>
        </w:rPr>
      </w:pPr>
    </w:p>
    <w:p>
      <w:pPr>
        <w:jc w:val="both"/>
        <w:ind w:left="1720" w:right="1739"/>
        <w:spacing w:after="0"/>
        <w:rPr>
          <w:sz w:val="20"/>
          <w:szCs w:val="20"/>
          <w:color w:val="auto"/>
        </w:rPr>
      </w:pPr>
      <w:r>
        <w:rPr>
          <w:rFonts w:ascii="Times New Roman" w:cs="Times New Roman" w:eastAsia="Times New Roman" w:hAnsi="Times New Roman"/>
          <w:sz w:val="12"/>
          <w:szCs w:val="12"/>
          <w:color w:val="auto"/>
        </w:rPr>
        <w:t>The Company records redeemable convertible preferred stock at their respective fair values on the dates of issuance, net of issuance costs. The redeemable convertible preferred stock is recorded outside of permanent equity because while it is not mandatory, redemption is contingent upon the occurrence of certain events considered not solely within the Company’s control. The Company has not adjusted the carrying values of the redeemable convertible preferred stock to the liquidation preferences of such stock, because it is uncertain whether or when a deemed liquidation event would occur that would obligate the Company to pay the liquidation preferences to holders of redeemable convertible preferred stock. Subsequent adjustments to the carrying values to the liquidation preferences will be made only when it becomes probable that such a deemed liquidation event will occur.</w:t>
      </w: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18" w:name="page219"/>
    <w:bookmarkEnd w:id="21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and Basis of Presentation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Costs and Accruals</w:t>
      </w:r>
    </w:p>
    <w:p>
      <w:pPr>
        <w:spacing w:after="0" w:line="111"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Research and development costs are expensed as incurred. Research and development costs consist primarily of costs associated with acquiring technology and intellectual property licenses that have no alternative future uses, costs incurred under in-license or assignment agreements, salaries and benefits of research and development personnel, costs related to research activities, preclinical studies, clinical trials, drug manufacturing, third-party professional research and development consulting services, and allocated overhead and facility-related expenses. Payments associated with licensing agreements to acquire exclusive licenses to develop, use, manufacture and commercialize products that have not reached technological feasibility and do not have alternate future use will also be expensed as incurred.</w:t>
      </w:r>
    </w:p>
    <w:p>
      <w:pPr>
        <w:spacing w:after="0" w:line="77" w:lineRule="exact"/>
        <w:rPr>
          <w:sz w:val="20"/>
          <w:szCs w:val="20"/>
          <w:color w:val="auto"/>
        </w:rPr>
      </w:pPr>
    </w:p>
    <w:p>
      <w:pPr>
        <w:jc w:val="both"/>
        <w:ind w:left="1720" w:right="1739"/>
        <w:spacing w:after="0" w:line="261" w:lineRule="auto"/>
        <w:rPr>
          <w:sz w:val="20"/>
          <w:szCs w:val="20"/>
          <w:color w:val="auto"/>
        </w:rPr>
      </w:pPr>
      <w:r>
        <w:rPr>
          <w:rFonts w:ascii="Times New Roman" w:cs="Times New Roman" w:eastAsia="Times New Roman" w:hAnsi="Times New Roman"/>
          <w:sz w:val="12"/>
          <w:szCs w:val="12"/>
          <w:color w:val="auto"/>
        </w:rPr>
        <w:t>The Company records accrued liabilities for estimated costs of its research and development activities conducted by third-party service providers. The Company accrues these costs based on factors such as estimates of the work completed and in accordance with the third-party service agreements. If the Company does not identify costs that have begun to be incurred or if the Company underestimates or overestimates the level of services performed or the costs of these services, actual expenses could differ from the estimates. To date, the Company has not experienced any material differences between accrued costs and actual costs incurred.</w:t>
      </w:r>
    </w:p>
    <w:p>
      <w:pPr>
        <w:spacing w:after="0" w:line="217"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Nonrefundable advance payments for goods or services to be received in the future for use in research and development activities are recorded as prepaid expenses. The prepaid amounts are expensed as the related goods are delivered or the services are performed and classified as current or non-current prepaid expenses and other assets.</w:t>
      </w:r>
    </w:p>
    <w:p>
      <w:pPr>
        <w:spacing w:after="0" w:line="75"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The Company makes payments in connection with clinical trials to contract manufacturing organizations (“CMOs”) that manufacture the materials for its product candidates and to clinical research organizations (“CROs”) and clinical trial sites that conduct and manage the Company’s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The Company makes estimates of accrued research and development expenses as of each balance sheet date based on facts and circumstances known at that time. The Company periodically confirms the accuracy of its estimates with the service providers and makes adjustments, if necessary. Research and development accruals are estimated based on the level of services performed, progress of the studies, including the phase or completion of events, and contracted costs. The estimated costs of research and development services provided, but not yet invoiced, are included in accrued expenses on the consolidated balance sheets. If the actual timing of the performance of services or the level of effort varies from the original estimates, the Company will adjust the accrual accordingly.</w:t>
      </w:r>
    </w:p>
    <w:p>
      <w:pPr>
        <w:spacing w:after="0" w:line="27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Patent Costs</w:t>
      </w:r>
    </w:p>
    <w:p>
      <w:pPr>
        <w:spacing w:after="0" w:line="111"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All patent-related costs incurred in connection with filing and prosecuting patent applications are expensed as incurred due to the uncertainty about the recovery of the expenditure. Amounts incurred are classified as general and administrative expenses in the consolidated statements of operations and comprehensive loss.</w:t>
      </w:r>
    </w:p>
    <w:p>
      <w:pPr>
        <w:spacing w:after="0" w:line="1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p>
      <w:pPr>
        <w:spacing w:after="0" w:line="102" w:lineRule="exact"/>
        <w:rPr>
          <w:sz w:val="20"/>
          <w:szCs w:val="20"/>
          <w:color w:val="auto"/>
        </w:rPr>
      </w:pPr>
    </w:p>
    <w:p>
      <w:pPr>
        <w:jc w:val="both"/>
        <w:ind w:left="1720" w:right="1739"/>
        <w:spacing w:after="0" w:line="261" w:lineRule="auto"/>
        <w:rPr>
          <w:sz w:val="20"/>
          <w:szCs w:val="20"/>
          <w:color w:val="auto"/>
        </w:rPr>
      </w:pPr>
      <w:r>
        <w:rPr>
          <w:rFonts w:ascii="Times New Roman" w:cs="Times New Roman" w:eastAsia="Times New Roman" w:hAnsi="Times New Roman"/>
          <w:sz w:val="12"/>
          <w:szCs w:val="12"/>
          <w:color w:val="auto"/>
        </w:rPr>
        <w:t>The Company grants stock-based awards to employees, directors and non-employee consultants in the form of stock options to purchase shares of its common stock. The Company measures stock options with service-based vesting granted based on the fair value of the award on the grant date using the Black-Scholes option-pricing model. The model requires management to make a number of assumptions, including common stock fair value, expected volatility, expected term, risk-free interest rate and expected dividend yield. The Company estimates common stock fair value using methodologies, approaches and assumptions consistent with the</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19" w:name="page220"/>
    <w:bookmarkEnd w:id="21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and Basis of Presentation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 (Continued)</w:t>
      </w:r>
    </w:p>
    <w:p>
      <w:pPr>
        <w:spacing w:after="0" w:line="155"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 xml:space="preserve">American Institute of Certified Public Accountants Accounting and Valuation Guide, </w:t>
      </w:r>
      <w:r>
        <w:rPr>
          <w:rFonts w:ascii="Times New Roman" w:cs="Times New Roman" w:eastAsia="Times New Roman" w:hAnsi="Times New Roman"/>
          <w:sz w:val="12"/>
          <w:szCs w:val="12"/>
          <w:i w:val="1"/>
          <w:iCs w:val="1"/>
          <w:color w:val="auto"/>
        </w:rPr>
        <w:t xml:space="preserve">Valuation of Privately-Held-Company Equity Securities Issued as Compensation </w:t>
      </w:r>
      <w:r>
        <w:rPr>
          <w:rFonts w:ascii="Times New Roman" w:cs="Times New Roman" w:eastAsia="Times New Roman" w:hAnsi="Times New Roman"/>
          <w:sz w:val="12"/>
          <w:szCs w:val="12"/>
          <w:color w:val="auto"/>
        </w:rPr>
        <w:t>(the “Practice Aid”). The Company expenses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fair value of its equity -based compensation awards on a straight-line basis over the requisite service period, which is the period in which the related services are received. The Company accounts for award forfeitures as they occur.</w:t>
      </w:r>
    </w:p>
    <w:p>
      <w:pPr>
        <w:spacing w:after="0" w:line="180"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The Company classifies stock-based compensation expense in its consolidated statements of operations and comprehensive loss in the same manner in which the award recipient’s salary or services costs are classified.</w:t>
      </w:r>
    </w:p>
    <w:p>
      <w:pPr>
        <w:spacing w:after="0" w:line="8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84"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w:t>
      </w:r>
    </w:p>
    <w:p>
      <w:pPr>
        <w:spacing w:after="0" w:line="48"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The Company assesses the likelihood of deferred tax assets being realized. It provides a valuation allowance when it is more likely than not that some portion or all of a deferred tax asset will not be realized. The ultimate realization of deferred tax assets is dependent upon the generation of future taxable income during the periods in which the temporary differences representing net future deductible amounts become deductible.</w:t>
      </w:r>
    </w:p>
    <w:p>
      <w:pPr>
        <w:spacing w:after="0" w:line="190"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Tax benefits related to uncertain tax positions are recognized when it is more likely than not that a tax position will be sustained during an audit. Tax positions that meet the more-likely-than-not threshold are measured at the largest amount of tax benefit that is greater than 50% likely of being realized upon settlement with the taxing authority. Interest and penalties related to unrecognized tax benefits are included within the provision for income tax.</w:t>
      </w:r>
    </w:p>
    <w:p>
      <w:pPr>
        <w:spacing w:after="0" w:line="26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Comprehensive Loss</w:t>
      </w:r>
    </w:p>
    <w:p>
      <w:pPr>
        <w:spacing w:after="0" w:line="75"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Comprehensive loss represents all changes in stockholders’ deficit except those resulting from distributions to stockholders. The Company’s other comprehensive (loss) income for the years ended December 31, 2022 and 2023 consisted of unrealized gains or losses on investments in marketable securities, net of taxes.</w:t>
      </w:r>
    </w:p>
    <w:p>
      <w:pPr>
        <w:spacing w:after="0" w:line="1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Net Loss Per Share Attributable to Common Stockholders</w:t>
      </w:r>
    </w:p>
    <w:p>
      <w:pPr>
        <w:spacing w:after="0" w:line="75"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Basic net loss per common share is calculated by dividing the net loss attributable to common stockholders by the weighted-average number of shares of common stock outstanding during the period, without consideration of potentially dilutive securities. Diluted net loss per share is computed by dividing the net loss attributable to common stockholders by the weighted-average number of shares of common stock and potentially dilutive securities outstanding for the period. For purposes of the diluted net loss per share calculation, the redeemable convertible preferred stock, unvested common stock shares subject to repurchase and stock options are considered to be potentially dilutive securities.</w:t>
      </w:r>
    </w:p>
    <w:p>
      <w:pPr>
        <w:spacing w:after="0" w:line="47"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Basic and diluted net loss attributable to common stockholders per share is presented in conformity with the two-class method required for participating securities as the redeemable convertible preferred stock are considered participating securities The Company’s participating securities do not have a contractual obligation to share in the Company’s losses. As such, the net loss is attributed entirely to common stockholders. Because the Company has reported a net loss for the reporting periods presented, the diluted net loss per common share is the same as basic net loss per common share for those periods.</w:t>
      </w:r>
    </w:p>
    <w:p>
      <w:pPr>
        <w:spacing w:after="0" w:line="10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w:t>
      </w:r>
    </w:p>
    <w:p>
      <w:pPr>
        <w:spacing w:after="0" w:line="111"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From time to time, new accounting pronouncements are issued by the FASB or other standard setting bodies and adopted by the Company as of the specified effective date. The Company qualifies as an “emerging</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20" w:name="page221"/>
    <w:bookmarkEnd w:id="22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and Basis of Presentation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 (Continued)</w:t>
      </w:r>
    </w:p>
    <w:p>
      <w:pPr>
        <w:spacing w:after="0" w:line="157"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growth company” as defined in the Jumpstart Our Business Startups Act of 2012, as amended (the “JOBS Act”), and has elected not to “opt out” of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19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Recently Adopted Accounting Pronouncements</w:t>
      </w:r>
    </w:p>
    <w:p>
      <w:pPr>
        <w:spacing w:after="0" w:line="183"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 xml:space="preserve">In December 2019, the FASB issued ASU No. 2019-12, </w:t>
      </w:r>
      <w:r>
        <w:rPr>
          <w:rFonts w:ascii="Times New Roman" w:cs="Times New Roman" w:eastAsia="Times New Roman" w:hAnsi="Times New Roman"/>
          <w:sz w:val="12"/>
          <w:szCs w:val="12"/>
          <w:i w:val="1"/>
          <w:iCs w:val="1"/>
          <w:color w:val="auto"/>
        </w:rPr>
        <w:t>Income Taxes (Topic 740): Simplifying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Accounting for Income Taxes</w:t>
      </w:r>
      <w:r>
        <w:rPr>
          <w:rFonts w:ascii="Times New Roman" w:cs="Times New Roman" w:eastAsia="Times New Roman" w:hAnsi="Times New Roman"/>
          <w:sz w:val="12"/>
          <w:szCs w:val="12"/>
          <w:color w:val="auto"/>
        </w:rPr>
        <w:t>, which is intended to simplify the accounting for income taxes. This standard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removes certain exceptions to the general principles in Topic 740 and also clarifies and amends existing standards to improve consistent application. The Company adopted this standard on January 1, 2022. The adoption of this standard did not have a material impact on its consolidated financial statements at the adoption date.</w:t>
      </w:r>
    </w:p>
    <w:p>
      <w:pPr>
        <w:spacing w:after="0" w:line="215"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 xml:space="preserve">In August 2020, the FASB issued ASU No. 2020-06, </w:t>
      </w:r>
      <w:r>
        <w:rPr>
          <w:rFonts w:ascii="Times New Roman" w:cs="Times New Roman" w:eastAsia="Times New Roman" w:hAnsi="Times New Roman"/>
          <w:sz w:val="12"/>
          <w:szCs w:val="12"/>
          <w:i w:val="1"/>
          <w:iCs w:val="1"/>
          <w:color w:val="auto"/>
        </w:rPr>
        <w:t>Debt—Debt with Conversion and Other Options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(Subtopic 470-20) and Derivatives and Hedging—Contracts in Entity’s Own Equity (Subtopic 815-40): Accounting for Convertible Instruments and Contracts in an Entity’s Own Equity</w:t>
      </w:r>
      <w:r>
        <w:rPr>
          <w:rFonts w:ascii="Times New Roman" w:cs="Times New Roman" w:eastAsia="Times New Roman" w:hAnsi="Times New Roman"/>
          <w:sz w:val="12"/>
          <w:szCs w:val="12"/>
          <w:color w:val="auto"/>
        </w:rPr>
        <w:t>. The amendments in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ASU simplifies the accounting for convertible debt instruments and convertible preferred stock by removing the existing guidance that requires entities to account for beneficial conversion features and cash conversion features in equity, separately from the host convertible debt or preferred stock. In addition, the amendments revise the scope exception from derivative accounting in ASC 815-40 for freestanding financial instruments and embedded features that are both indexed to the issuer’s own stock and classified in stockholders’ equity, by removing certain criteria required for equity classification. The amendments further revise the guidance in ASC 260, </w:t>
      </w:r>
      <w:r>
        <w:rPr>
          <w:rFonts w:ascii="Times New Roman" w:cs="Times New Roman" w:eastAsia="Times New Roman" w:hAnsi="Times New Roman"/>
          <w:sz w:val="12"/>
          <w:szCs w:val="12"/>
          <w:i w:val="1"/>
          <w:iCs w:val="1"/>
          <w:color w:val="auto"/>
        </w:rPr>
        <w:t>Earnings Per Share</w:t>
      </w:r>
      <w:r>
        <w:rPr>
          <w:rFonts w:ascii="Times New Roman" w:cs="Times New Roman" w:eastAsia="Times New Roman" w:hAnsi="Times New Roman"/>
          <w:sz w:val="12"/>
          <w:szCs w:val="12"/>
          <w:color w:val="auto"/>
        </w:rPr>
        <w:t>, to require entities to calculate diluted earnings per share for convertible instruments by using the if-converted method. In addition, entities must presume share settlement for purposes of calculating diluted earnings per share when an instrument may be settled in cash or shares. The Company adopted this standard on January 1, 2022. The adoption of this standard did not have a material impact on its consolidated financial statements.</w:t>
      </w:r>
    </w:p>
    <w:p>
      <w:pPr>
        <w:spacing w:after="0" w:line="224"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 xml:space="preserve">In June 2016, the FASB issued ASU No. 2016-13, </w:t>
      </w:r>
      <w:r>
        <w:rPr>
          <w:rFonts w:ascii="Times New Roman" w:cs="Times New Roman" w:eastAsia="Times New Roman" w:hAnsi="Times New Roman"/>
          <w:sz w:val="12"/>
          <w:szCs w:val="12"/>
          <w:i w:val="1"/>
          <w:iCs w:val="1"/>
          <w:color w:val="auto"/>
        </w:rPr>
        <w:t>Financial Instruments-Credit Losses (Topic 326),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Measurement of Credit Losses on Financial Instruments</w:t>
      </w:r>
      <w:r>
        <w:rPr>
          <w:rFonts w:ascii="Times New Roman" w:cs="Times New Roman" w:eastAsia="Times New Roman" w:hAnsi="Times New Roman"/>
          <w:sz w:val="12"/>
          <w:szCs w:val="12"/>
          <w:color w:val="auto"/>
        </w:rPr>
        <w:t>, as clarified in subsequent amendments. ASU 2016-13 changes the impairment model for certain financial instruments. The new model is a forward-looking expected loss model and will apply to financial assets subject to credit losses and measured at amortized cost and certain off-balance sheet credit exposures. This includes loans, held-to-maturity debt securities, loan commitments, financial guarantees and net investments in leases, as well as trade receivables. For available-for-sale debt securities with unrealized losses, credit losses will be measured in a manner similar to today, except that the losses will be recognized as allowances rather than reductions in the amortized cost of the securities. Topic 326 is effective for the Company for fiscal years beginning after December 15, 2022, including interim periods within those fiscal years. Early adoption is permitted. The Company adopted this standard on January 1, 2022. The adoption of this standard did not have a material impact on its consolidated financial statements at the adoption date.</w:t>
      </w:r>
    </w:p>
    <w:p>
      <w:pPr>
        <w:spacing w:after="0" w:line="34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Recently Issued and not Yet Adopted Accounting Pronouncements</w:t>
      </w:r>
    </w:p>
    <w:p>
      <w:pPr>
        <w:spacing w:after="0" w:line="183"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color w:val="auto"/>
        </w:rPr>
        <w:t xml:space="preserve">In November 2023, the FASB issued ASU 2023-07, </w:t>
      </w:r>
      <w:r>
        <w:rPr>
          <w:rFonts w:ascii="Times New Roman" w:cs="Times New Roman" w:eastAsia="Times New Roman" w:hAnsi="Times New Roman"/>
          <w:sz w:val="12"/>
          <w:szCs w:val="12"/>
          <w:i w:val="1"/>
          <w:iCs w:val="1"/>
          <w:color w:val="auto"/>
        </w:rPr>
        <w:t>Segment Reporting (Topic 280): Improvements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Reportable Segment Disclosures</w:t>
      </w:r>
      <w:r>
        <w:rPr>
          <w:rFonts w:ascii="Times New Roman" w:cs="Times New Roman" w:eastAsia="Times New Roman" w:hAnsi="Times New Roman"/>
          <w:sz w:val="12"/>
          <w:szCs w:val="12"/>
          <w:color w:val="auto"/>
        </w:rPr>
        <w:t>. This ASU requires public entities to disclose information about their</w:t>
      </w: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21" w:name="page222"/>
    <w:bookmarkEnd w:id="221"/>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and Basis of Presentation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 (Continued)</w:t>
      </w:r>
    </w:p>
    <w:p>
      <w:pPr>
        <w:spacing w:after="0" w:line="157" w:lineRule="exact"/>
        <w:rPr>
          <w:sz w:val="20"/>
          <w:szCs w:val="20"/>
          <w:color w:val="auto"/>
        </w:rPr>
      </w:pPr>
    </w:p>
    <w:p>
      <w:pPr>
        <w:jc w:val="both"/>
        <w:ind w:left="1720" w:right="1739"/>
        <w:spacing w:after="0" w:line="274" w:lineRule="auto"/>
        <w:rPr>
          <w:sz w:val="20"/>
          <w:szCs w:val="20"/>
          <w:color w:val="auto"/>
        </w:rPr>
      </w:pPr>
      <w:r>
        <w:rPr>
          <w:rFonts w:ascii="Times New Roman" w:cs="Times New Roman" w:eastAsia="Times New Roman" w:hAnsi="Times New Roman"/>
          <w:sz w:val="12"/>
          <w:szCs w:val="12"/>
          <w:color w:val="auto"/>
        </w:rPr>
        <w:t>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is currently evaluating the impact of adopting ASU 2023-07 on its consolidated financial statements.</w:t>
      </w:r>
    </w:p>
    <w:p>
      <w:pPr>
        <w:spacing w:after="0" w:line="69" w:lineRule="exact"/>
        <w:rPr>
          <w:sz w:val="20"/>
          <w:szCs w:val="20"/>
          <w:color w:val="auto"/>
        </w:rPr>
      </w:pPr>
    </w:p>
    <w:p>
      <w:pPr>
        <w:jc w:val="both"/>
        <w:ind w:left="1720" w:right="1739"/>
        <w:spacing w:after="0" w:line="273" w:lineRule="auto"/>
        <w:rPr>
          <w:sz w:val="20"/>
          <w:szCs w:val="20"/>
          <w:color w:val="auto"/>
        </w:rPr>
      </w:pPr>
      <w:r>
        <w:rPr>
          <w:rFonts w:ascii="Times New Roman" w:cs="Times New Roman" w:eastAsia="Times New Roman" w:hAnsi="Times New Roman"/>
          <w:sz w:val="12"/>
          <w:szCs w:val="12"/>
          <w:color w:val="auto"/>
        </w:rPr>
        <w:t xml:space="preserve">In December 2023, the FASB issued ASU No. 2023-09, </w:t>
      </w:r>
      <w:r>
        <w:rPr>
          <w:rFonts w:ascii="Times New Roman" w:cs="Times New Roman" w:eastAsia="Times New Roman" w:hAnsi="Times New Roman"/>
          <w:sz w:val="12"/>
          <w:szCs w:val="12"/>
          <w:i w:val="1"/>
          <w:iCs w:val="1"/>
          <w:color w:val="auto"/>
        </w:rPr>
        <w:t>Income Taxes (Topic 740): Improvements to Income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Tax Disclosures</w:t>
      </w:r>
      <w:r>
        <w:rPr>
          <w:rFonts w:ascii="Times New Roman" w:cs="Times New Roman" w:eastAsia="Times New Roman" w:hAnsi="Times New Roman"/>
          <w:sz w:val="12"/>
          <w:szCs w:val="12"/>
          <w:color w:val="auto"/>
        </w:rPr>
        <w:t>, which requires the disclosure of specific categories in the rate reconciliation and greater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disaggregation for income taxes paid. This standard is effective for annual periods beginning after December 15, 2024 and should be adopted prospectively with the option to be adopted retrospectively. The Company is currently evaluating the impact of this standard on its disclosure on its consolidated financial statements.</w:t>
      </w:r>
    </w:p>
    <w:p>
      <w:pPr>
        <w:spacing w:after="0" w:line="27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3. Fair Value Measurements</w:t>
      </w:r>
    </w:p>
    <w:p>
      <w:pPr>
        <w:spacing w:after="0" w:line="111" w:lineRule="exact"/>
        <w:rPr>
          <w:sz w:val="20"/>
          <w:szCs w:val="20"/>
          <w:color w:val="auto"/>
        </w:rPr>
      </w:pPr>
    </w:p>
    <w:p>
      <w:pPr>
        <w:jc w:val="both"/>
        <w:ind w:left="1720" w:right="1739"/>
        <w:spacing w:after="0" w:line="280" w:lineRule="auto"/>
        <w:rPr>
          <w:sz w:val="20"/>
          <w:szCs w:val="20"/>
          <w:color w:val="auto"/>
        </w:rPr>
      </w:pPr>
      <w:r>
        <w:rPr>
          <w:rFonts w:ascii="Times New Roman" w:cs="Times New Roman" w:eastAsia="Times New Roman" w:hAnsi="Times New Roman"/>
          <w:sz w:val="12"/>
          <w:szCs w:val="12"/>
          <w:color w:val="auto"/>
        </w:rPr>
        <w:t>The Company discloses and recognizes the fair value of its assets and liabilities using a hierarchy that prioritizes the inputs to valuation techniques used to measure fair value. The guidance establishes three levels of the fair value hierarchy as follows:</w:t>
      </w:r>
    </w:p>
    <w:p>
      <w:pPr>
        <w:spacing w:after="0" w:line="6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Level 1—Quoted prices in active markets for identical assets or liabilities.</w:t>
      </w:r>
    </w:p>
    <w:p>
      <w:pPr>
        <w:spacing w:after="0" w:line="109" w:lineRule="exact"/>
        <w:rPr>
          <w:sz w:val="20"/>
          <w:szCs w:val="20"/>
          <w:color w:val="auto"/>
        </w:rPr>
      </w:pPr>
    </w:p>
    <w:p>
      <w:pPr>
        <w:jc w:val="both"/>
        <w:ind w:left="1720" w:right="1739"/>
        <w:spacing w:after="0" w:line="280" w:lineRule="auto"/>
        <w:rPr>
          <w:sz w:val="20"/>
          <w:szCs w:val="20"/>
          <w:color w:val="auto"/>
        </w:rPr>
      </w:pPr>
      <w:r>
        <w:rPr>
          <w:rFonts w:ascii="Times New Roman" w:cs="Times New Roman" w:eastAsia="Times New Roman" w:hAnsi="Times New Roman"/>
          <w:sz w:val="12"/>
          <w:szCs w:val="12"/>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7" w:lineRule="exact"/>
        <w:rPr>
          <w:sz w:val="20"/>
          <w:szCs w:val="20"/>
          <w:color w:val="auto"/>
        </w:rPr>
      </w:pPr>
    </w:p>
    <w:p>
      <w:pPr>
        <w:jc w:val="both"/>
        <w:ind w:left="1720" w:right="1739"/>
        <w:spacing w:after="0" w:line="306" w:lineRule="auto"/>
        <w:rPr>
          <w:sz w:val="20"/>
          <w:szCs w:val="20"/>
          <w:color w:val="auto"/>
        </w:rPr>
      </w:pPr>
      <w:r>
        <w:rPr>
          <w:rFonts w:ascii="Times New Roman" w:cs="Times New Roman" w:eastAsia="Times New Roman" w:hAnsi="Times New Roman"/>
          <w:sz w:val="12"/>
          <w:szCs w:val="12"/>
          <w:color w:val="auto"/>
        </w:rPr>
        <w:t>Level 3—Unobservable inputs that are supported by little or no market activity and that are significant to the fair value of the assets or liabilities.</w:t>
      </w:r>
    </w:p>
    <w:p>
      <w:pPr>
        <w:spacing w:after="0" w:line="51" w:lineRule="exact"/>
        <w:rPr>
          <w:sz w:val="20"/>
          <w:szCs w:val="20"/>
          <w:color w:val="auto"/>
        </w:rPr>
      </w:pPr>
    </w:p>
    <w:p>
      <w:pPr>
        <w:jc w:val="both"/>
        <w:ind w:left="1720" w:right="1739"/>
        <w:spacing w:after="0" w:line="276" w:lineRule="auto"/>
        <w:rPr>
          <w:sz w:val="20"/>
          <w:szCs w:val="20"/>
          <w:color w:val="auto"/>
        </w:rPr>
      </w:pPr>
      <w:r>
        <w:rPr>
          <w:rFonts w:ascii="Times New Roman" w:cs="Times New Roman" w:eastAsia="Times New Roman" w:hAnsi="Times New Roman"/>
          <w:sz w:val="12"/>
          <w:szCs w:val="12"/>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 The Company recognizes transfers into and out of levels within the fair value hierarchy in the period in which the actual event or change in circumstances that caused the transfer occurs.</w:t>
      </w:r>
    </w:p>
    <w:p>
      <w:pPr>
        <w:spacing w:after="0" w:line="223" w:lineRule="exact"/>
        <w:rPr>
          <w:sz w:val="20"/>
          <w:szCs w:val="20"/>
          <w:color w:val="auto"/>
        </w:rPr>
      </w:pPr>
    </w:p>
    <w:p>
      <w:pPr>
        <w:jc w:val="both"/>
        <w:ind w:left="1720" w:right="1739"/>
        <w:spacing w:after="0" w:line="280" w:lineRule="auto"/>
        <w:rPr>
          <w:sz w:val="20"/>
          <w:szCs w:val="20"/>
          <w:color w:val="auto"/>
        </w:rPr>
      </w:pPr>
      <w:r>
        <w:rPr>
          <w:rFonts w:ascii="Times New Roman" w:cs="Times New Roman" w:eastAsia="Times New Roman" w:hAnsi="Times New Roman"/>
          <w:sz w:val="12"/>
          <w:szCs w:val="12"/>
          <w:color w:val="auto"/>
        </w:rPr>
        <w:t>The Company’s financial instruments consist of Level 1, Level 2 and Level 3 financial instruments. Changes in the ability to observe valuation inputs may result in a reclassification of levels of certain securities within the fair value hierarchy.</w:t>
      </w:r>
    </w:p>
    <w:p>
      <w:pPr>
        <w:spacing w:after="0" w:line="76" w:lineRule="exact"/>
        <w:rPr>
          <w:sz w:val="20"/>
          <w:szCs w:val="20"/>
          <w:color w:val="auto"/>
        </w:r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color w:val="auto"/>
        </w:rPr>
        <w:t>Level 1 financial instruments are comprised of money market funds and U.S. treasuries. Level 2 financial instruments are comprised of commercial paper, U.S. treasuries, corporate bonds, supranational debt securities and agency bonds. Level 3 financial instruments include a derivative liability issued in May 2023 and settled in October 2023 in connection with the closing of the second tranche of the Series B-2 and B-2A redeemable convertible preferred stock financing.</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22" w:name="page223"/>
    <w:bookmarkEnd w:id="22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3. Fair Value Measurements (Continued)</w:t>
      </w:r>
    </w:p>
    <w:p>
      <w:pPr>
        <w:spacing w:after="0" w:line="157" w:lineRule="exact"/>
        <w:rPr>
          <w:sz w:val="20"/>
          <w:szCs w:val="20"/>
          <w:color w:val="auto"/>
        </w:rPr>
      </w:pPr>
    </w:p>
    <w:p>
      <w:pPr>
        <w:jc w:val="both"/>
        <w:ind w:left="1720" w:right="1739"/>
        <w:spacing w:after="0" w:line="273" w:lineRule="auto"/>
        <w:rPr>
          <w:sz w:val="20"/>
          <w:szCs w:val="20"/>
          <w:color w:val="auto"/>
        </w:rPr>
      </w:pPr>
      <w:r>
        <w:rPr>
          <w:rFonts w:ascii="Times New Roman" w:cs="Times New Roman" w:eastAsia="Times New Roman" w:hAnsi="Times New Roman"/>
          <w:sz w:val="12"/>
          <w:szCs w:val="12"/>
          <w:color w:val="auto"/>
        </w:rPr>
        <w:t>The following tables represent the Company’s fair value hierarchy for financial assets measured at fair value on a recurring basis as of December 31, 2022 and 2023 (in thousands):</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57"/>
        </w:trPr>
        <w:tc>
          <w:tcPr>
            <w:tcW w:w="24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960" w:type="dxa"/>
            <w:vAlign w:val="bottom"/>
          </w:tcPr>
          <w:p>
            <w:pPr>
              <w:ind w:left="860"/>
              <w:spacing w:after="0"/>
              <w:rPr>
                <w:sz w:val="20"/>
                <w:szCs w:val="20"/>
                <w:color w:val="auto"/>
              </w:rPr>
            </w:pPr>
            <w:r>
              <w:rPr>
                <w:rFonts w:ascii="Times New Roman" w:cs="Times New Roman" w:eastAsia="Times New Roman" w:hAnsi="Times New Roman"/>
                <w:sz w:val="10"/>
                <w:szCs w:val="10"/>
                <w:b w:val="1"/>
                <w:bCs w:val="1"/>
                <w:color w:val="auto"/>
              </w:rPr>
              <w:t>​ ​</w:t>
            </w:r>
          </w:p>
        </w:tc>
        <w:tc>
          <w:tcPr>
            <w:tcW w:w="80" w:type="dxa"/>
            <w:vAlign w:val="bottom"/>
          </w:tcPr>
          <w:p>
            <w:pPr>
              <w:spacing w:after="0"/>
              <w:rPr>
                <w:sz w:val="22"/>
                <w:szCs w:val="22"/>
                <w:color w:val="auto"/>
              </w:rPr>
            </w:pPr>
          </w:p>
        </w:tc>
        <w:tc>
          <w:tcPr>
            <w:tcW w:w="2100" w:type="dxa"/>
            <w:vAlign w:val="bottom"/>
            <w:gridSpan w:val="16"/>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 xml:space="preserve">Fair Value Measurements as of December 31, 2022 </w:t>
            </w:r>
            <w:r>
              <w:rPr>
                <w:rFonts w:ascii="Times New Roman" w:cs="Times New Roman" w:eastAsia="Times New Roman" w:hAnsi="Times New Roman"/>
                <w:sz w:val="19"/>
                <w:szCs w:val="19"/>
                <w:b w:val="1"/>
                <w:bCs w:val="1"/>
                <w:color w:val="auto"/>
                <w:w w:val="94"/>
                <w:vertAlign w:val="subscript"/>
              </w:rPr>
              <w:t>​</w:t>
            </w:r>
          </w:p>
        </w:tc>
      </w:tr>
      <w:tr>
        <w:trPr>
          <w:trHeight w:val="127"/>
        </w:trPr>
        <w:tc>
          <w:tcPr>
            <w:tcW w:w="5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1"/>
              </w:rPr>
              <w:t>(in thousands)</w:t>
            </w:r>
          </w:p>
        </w:tc>
        <w:tc>
          <w:tcPr>
            <w:tcW w:w="1880" w:type="dxa"/>
            <w:vAlign w:val="bottom"/>
          </w:tcPr>
          <w:p>
            <w:pPr>
              <w:spacing w:after="0"/>
              <w:rPr>
                <w:sz w:val="11"/>
                <w:szCs w:val="11"/>
                <w:color w:val="auto"/>
              </w:rPr>
            </w:pPr>
          </w:p>
        </w:tc>
        <w:tc>
          <w:tcPr>
            <w:tcW w:w="960" w:type="dxa"/>
            <w:vAlign w:val="bottom"/>
          </w:tcPr>
          <w:p>
            <w:pPr>
              <w:ind w:left="90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w w:val="77"/>
              </w:rPr>
              <w:t>Level 2</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vertAlign w:val="subscript"/>
              </w:rPr>
              <w:t>​</w:t>
            </w:r>
            <w:r>
              <w:rPr>
                <w:rFonts w:ascii="Times New Roman" w:cs="Times New Roman" w:eastAsia="Times New Roman" w:hAnsi="Times New Roman"/>
                <w:sz w:val="7"/>
                <w:szCs w:val="7"/>
                <w:b w:val="1"/>
                <w:bCs w:val="1"/>
                <w:color w:val="auto"/>
              </w:rPr>
              <w:t xml:space="preserve"> Level 3 </w:t>
            </w:r>
            <w:r>
              <w:rPr>
                <w:rFonts w:ascii="Times New Roman" w:cs="Times New Roman" w:eastAsia="Times New Roman" w:hAnsi="Times New Roman"/>
                <w:sz w:val="13"/>
                <w:szCs w:val="13"/>
                <w:b w:val="1"/>
                <w:bCs w:val="1"/>
                <w:color w:val="auto"/>
                <w:vertAlign w:val="subscript"/>
              </w:rPr>
              <w:t>​</w:t>
            </w: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vertAlign w:val="subscript"/>
              </w:rPr>
              <w:t>​</w:t>
            </w:r>
            <w:r>
              <w:rPr>
                <w:rFonts w:ascii="Times New Roman" w:cs="Times New Roman" w:eastAsia="Times New Roman" w:hAnsi="Times New Roman"/>
                <w:sz w:val="7"/>
                <w:szCs w:val="7"/>
                <w:b w:val="1"/>
                <w:bCs w:val="1"/>
                <w:color w:val="auto"/>
              </w:rPr>
              <w:t xml:space="preserve">   Total</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5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1"/>
        </w:trPr>
        <w:tc>
          <w:tcPr>
            <w:tcW w:w="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880" w:type="dxa"/>
            <w:vAlign w:val="bottom"/>
          </w:tcPr>
          <w:p>
            <w:pPr>
              <w:spacing w:after="0"/>
              <w:rPr>
                <w:sz w:val="15"/>
                <w:szCs w:val="15"/>
                <w:color w:val="auto"/>
              </w:rPr>
            </w:pPr>
          </w:p>
        </w:tc>
        <w:tc>
          <w:tcPr>
            <w:tcW w:w="960" w:type="dxa"/>
            <w:vAlign w:val="bottom"/>
          </w:tcPr>
          <w:p>
            <w:pPr>
              <w:ind w:left="90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 ​</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 ​ ​</w:t>
            </w:r>
          </w:p>
        </w:tc>
        <w:tc>
          <w:tcPr>
            <w:tcW w:w="2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2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 ​</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4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Cash equivalents</w:t>
            </w:r>
          </w:p>
        </w:tc>
        <w:tc>
          <w:tcPr>
            <w:tcW w:w="960" w:type="dxa"/>
            <w:vAlign w:val="bottom"/>
          </w:tcPr>
          <w:p>
            <w:pPr>
              <w:ind w:left="90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 ​</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 ​ ​</w:t>
            </w:r>
          </w:p>
        </w:tc>
        <w:tc>
          <w:tcPr>
            <w:tcW w:w="2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2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 ​</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Money market funds</w:t>
            </w:r>
          </w:p>
        </w:tc>
        <w:tc>
          <w:tcPr>
            <w:tcW w:w="9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​$19,546 ​​</w:t>
            </w:r>
          </w:p>
        </w:tc>
        <w:tc>
          <w:tcPr>
            <w:tcW w:w="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tcBorders>
              <w:right w:val="single" w:sz="8" w:color="CCEEFF"/>
            </w:tcBorders>
            <w:gridSpan w:val="4"/>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 ​$ — ​​</w:t>
            </w:r>
          </w:p>
        </w:tc>
        <w:tc>
          <w:tcPr>
            <w:tcW w:w="4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w w:val="90"/>
              </w:rPr>
              <w:t>​ ​$19,546</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4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Marketable securities</w:t>
            </w:r>
          </w:p>
        </w:tc>
        <w:tc>
          <w:tcPr>
            <w:tcW w:w="960" w:type="dxa"/>
            <w:vAlign w:val="bottom"/>
          </w:tcPr>
          <w:p>
            <w:pPr>
              <w:ind w:left="90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 ​</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 ​ ​</w:t>
            </w:r>
          </w:p>
        </w:tc>
        <w:tc>
          <w:tcPr>
            <w:tcW w:w="2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2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 ​</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Commercial paper</w:t>
            </w:r>
          </w:p>
        </w:tc>
        <w:tc>
          <w:tcPr>
            <w:tcW w:w="9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​31,271 ​​</w:t>
            </w:r>
          </w:p>
        </w:tc>
        <w:tc>
          <w:tcPr>
            <w:tcW w:w="540" w:type="dxa"/>
            <w:vAlign w:val="bottom"/>
            <w:tcBorders>
              <w:right w:val="single" w:sz="8" w:color="CCEEFF"/>
            </w:tcBorders>
            <w:gridSpan w:val="4"/>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 ​ ​ — ​​</w:t>
            </w:r>
          </w:p>
        </w:tc>
        <w:tc>
          <w:tcPr>
            <w:tcW w:w="4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w w:val="97"/>
              </w:rPr>
              <w:t>​ ​ ​31,271</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4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U.S. treasuries</w:t>
            </w:r>
          </w:p>
        </w:tc>
        <w:tc>
          <w:tcPr>
            <w:tcW w:w="9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 ​ ​19,255 ​​</w:t>
            </w:r>
          </w:p>
        </w:tc>
        <w:tc>
          <w:tcPr>
            <w:tcW w:w="2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 ​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4"/>
          </w:tcPr>
          <w:p>
            <w:pPr>
              <w:jc w:val="right"/>
              <w:ind w:right="42"/>
              <w:spacing w:after="0"/>
              <w:rPr>
                <w:sz w:val="20"/>
                <w:szCs w:val="20"/>
                <w:color w:val="auto"/>
              </w:rPr>
            </w:pPr>
            <w:r>
              <w:rPr>
                <w:rFonts w:ascii="Times New Roman" w:cs="Times New Roman" w:eastAsia="Times New Roman" w:hAnsi="Times New Roman"/>
                <w:sz w:val="12"/>
                <w:szCs w:val="12"/>
                <w:color w:val="auto"/>
              </w:rPr>
              <w:t>​ ​ ​ —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xml:space="preserve">​ ​ ​19,255 </w:t>
            </w:r>
            <w:r>
              <w:rPr>
                <w:rFonts w:ascii="Times New Roman" w:cs="Times New Roman" w:eastAsia="Times New Roman" w:hAnsi="Times New Roman"/>
                <w:sz w:val="12"/>
                <w:szCs w:val="12"/>
                <w:b w:val="1"/>
                <w:bCs w:val="1"/>
                <w:color w:val="auto"/>
              </w:rPr>
              <w:t>​</w:t>
            </w:r>
          </w:p>
        </w:tc>
      </w:tr>
      <w:tr>
        <w:trPr>
          <w:trHeight w:val="174"/>
        </w:trPr>
        <w:tc>
          <w:tcPr>
            <w:tcW w:w="2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Corporate bonds</w:t>
            </w:r>
          </w:p>
        </w:tc>
        <w:tc>
          <w:tcPr>
            <w:tcW w:w="9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​10,795 ​​</w:t>
            </w:r>
          </w:p>
        </w:tc>
        <w:tc>
          <w:tcPr>
            <w:tcW w:w="540" w:type="dxa"/>
            <w:vAlign w:val="bottom"/>
            <w:tcBorders>
              <w:right w:val="single" w:sz="8" w:color="CCEEFF"/>
            </w:tcBorders>
            <w:gridSpan w:val="4"/>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 ​ ​ — ​​</w:t>
            </w:r>
          </w:p>
        </w:tc>
        <w:tc>
          <w:tcPr>
            <w:tcW w:w="4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w w:val="97"/>
              </w:rPr>
              <w:t>​ ​ ​10,795</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4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Supranational debt securities</w:t>
            </w:r>
          </w:p>
        </w:tc>
        <w:tc>
          <w:tcPr>
            <w:tcW w:w="9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 ​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3,976 ​​</w:t>
            </w:r>
          </w:p>
        </w:tc>
        <w:tc>
          <w:tcPr>
            <w:tcW w:w="540" w:type="dxa"/>
            <w:vAlign w:val="bottom"/>
            <w:gridSpan w:val="4"/>
          </w:tcPr>
          <w:p>
            <w:pPr>
              <w:jc w:val="right"/>
              <w:ind w:right="42"/>
              <w:spacing w:after="0"/>
              <w:rPr>
                <w:sz w:val="20"/>
                <w:szCs w:val="20"/>
                <w:color w:val="auto"/>
              </w:rPr>
            </w:pPr>
            <w:r>
              <w:rPr>
                <w:rFonts w:ascii="Times New Roman" w:cs="Times New Roman" w:eastAsia="Times New Roman" w:hAnsi="Times New Roman"/>
                <w:sz w:val="12"/>
                <w:szCs w:val="12"/>
                <w:color w:val="auto"/>
              </w:rPr>
              <w:t>​ ​ ​ —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xml:space="preserve">​ ​ ​ 3,976 </w:t>
            </w:r>
            <w:r>
              <w:rPr>
                <w:rFonts w:ascii="Times New Roman" w:cs="Times New Roman" w:eastAsia="Times New Roman" w:hAnsi="Times New Roman"/>
                <w:sz w:val="12"/>
                <w:szCs w:val="12"/>
                <w:b w:val="1"/>
                <w:bCs w:val="1"/>
                <w:color w:val="auto"/>
              </w:rPr>
              <w:t>​</w:t>
            </w:r>
          </w:p>
        </w:tc>
      </w:tr>
      <w:tr>
        <w:trPr>
          <w:trHeight w:val="183"/>
        </w:trPr>
        <w:tc>
          <w:tcPr>
            <w:tcW w:w="2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Agency bonds</w:t>
            </w:r>
          </w:p>
        </w:tc>
        <w:tc>
          <w:tcPr>
            <w:tcW w:w="9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21"/>
                <w:szCs w:val="21"/>
                <w:color w:val="auto"/>
                <w:vertAlign w:val="superscript"/>
              </w:rPr>
              <w:t>​</w:t>
            </w:r>
          </w:p>
        </w:tc>
        <w:tc>
          <w:tcPr>
            <w:tcW w:w="320" w:type="dxa"/>
            <w:vAlign w:val="bottom"/>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200" w:type="dxa"/>
            <w:vAlign w:val="bottom"/>
            <w:gridSpan w:val="4"/>
            <w:shd w:val="clear" w:color="auto" w:fill="CCEEFF"/>
          </w:tcPr>
          <w:p>
            <w:pPr>
              <w:ind w:left="20"/>
              <w:spacing w:after="0" w:line="184" w:lineRule="exact"/>
              <w:rPr>
                <w:sz w:val="20"/>
                <w:szCs w:val="20"/>
                <w:color w:val="auto"/>
              </w:rPr>
            </w:pP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21"/>
                <w:szCs w:val="21"/>
                <w:color w:val="auto"/>
                <w:vertAlign w:val="superscript"/>
              </w:rPr>
              <w:t>​</w:t>
            </w:r>
          </w:p>
        </w:tc>
        <w:tc>
          <w:tcPr>
            <w:tcW w:w="400" w:type="dxa"/>
            <w:vAlign w:val="bottom"/>
            <w:gridSpan w:val="3"/>
            <w:shd w:val="clear" w:color="auto" w:fill="CCEEFF"/>
          </w:tcPr>
          <w:p>
            <w:pPr>
              <w:jc w:val="right"/>
              <w:spacing w:after="0" w:line="184" w:lineRule="exact"/>
              <w:rPr>
                <w:sz w:val="20"/>
                <w:szCs w:val="20"/>
                <w:color w:val="auto"/>
              </w:rPr>
            </w:pPr>
            <w:r>
              <w:rPr>
                <w:rFonts w:ascii="Times New Roman" w:cs="Times New Roman" w:eastAsia="Times New Roman" w:hAnsi="Times New Roman"/>
                <w:sz w:val="11"/>
                <w:szCs w:val="11"/>
                <w:color w:val="auto"/>
              </w:rPr>
              <w:t xml:space="preserve">1,958 </w:t>
            </w:r>
            <w:r>
              <w:rPr>
                <w:rFonts w:ascii="Times New Roman" w:cs="Times New Roman" w:eastAsia="Times New Roman" w:hAnsi="Times New Roman"/>
                <w:sz w:val="21"/>
                <w:szCs w:val="21"/>
                <w:color w:val="auto"/>
                <w:vertAlign w:val="subscript"/>
              </w:rPr>
              <w:t>​​</w:t>
            </w:r>
          </w:p>
        </w:tc>
        <w:tc>
          <w:tcPr>
            <w:tcW w:w="540" w:type="dxa"/>
            <w:vAlign w:val="bottom"/>
            <w:tcBorders>
              <w:right w:val="single" w:sz="8" w:color="CCEEFF"/>
            </w:tcBorders>
            <w:gridSpan w:val="4"/>
            <w:shd w:val="clear" w:color="auto" w:fill="CCEEFF"/>
          </w:tcPr>
          <w:p>
            <w:pPr>
              <w:jc w:val="right"/>
              <w:ind w:right="42"/>
              <w:spacing w:after="0" w:line="184" w:lineRule="exact"/>
              <w:rPr>
                <w:sz w:val="20"/>
                <w:szCs w:val="20"/>
                <w:color w:val="auto"/>
              </w:rPr>
            </w:pP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color w:val="auto"/>
              </w:rPr>
              <w:t xml:space="preserve"> ​​</w:t>
            </w:r>
          </w:p>
        </w:tc>
        <w:tc>
          <w:tcPr>
            <w:tcW w:w="420" w:type="dxa"/>
            <w:vAlign w:val="bottom"/>
            <w:tcBorders>
              <w:right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1"/>
                <w:szCs w:val="11"/>
                <w:color w:val="auto"/>
              </w:rPr>
              <w:t xml:space="preserve"> ​ 1,958</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58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24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Total</w:t>
            </w:r>
          </w:p>
        </w:tc>
        <w:tc>
          <w:tcPr>
            <w:tcW w:w="96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4"/>
          </w:tcPr>
          <w:p>
            <w:pPr>
              <w:ind w:left="20"/>
              <w:spacing w:after="0" w:line="164" w:lineRule="exact"/>
              <w:rPr>
                <w:sz w:val="20"/>
                <w:szCs w:val="20"/>
                <w:color w:val="auto"/>
              </w:rPr>
            </w:pP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 xml:space="preserve">38,801 </w:t>
            </w:r>
            <w:r>
              <w:rPr>
                <w:rFonts w:ascii="Times New Roman" w:cs="Times New Roman" w:eastAsia="Times New Roman" w:hAnsi="Times New Roman"/>
                <w:sz w:val="18"/>
                <w:szCs w:val="18"/>
                <w:color w:val="auto"/>
                <w:vertAlign w:val="subscript"/>
              </w:rPr>
              <w:t>​​</w:t>
            </w:r>
          </w:p>
        </w:tc>
        <w:tc>
          <w:tcPr>
            <w:tcW w:w="600" w:type="dxa"/>
            <w:vAlign w:val="bottom"/>
            <w:gridSpan w:val="7"/>
          </w:tcPr>
          <w:p>
            <w:pPr>
              <w:ind w:left="20"/>
              <w:spacing w:after="0" w:line="164" w:lineRule="exact"/>
              <w:rPr>
                <w:sz w:val="20"/>
                <w:szCs w:val="20"/>
                <w:color w:val="auto"/>
              </w:rPr>
            </w:pP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 xml:space="preserve">48,000 </w:t>
            </w:r>
            <w:r>
              <w:rPr>
                <w:rFonts w:ascii="Times New Roman" w:cs="Times New Roman" w:eastAsia="Times New Roman" w:hAnsi="Times New Roman"/>
                <w:sz w:val="18"/>
                <w:szCs w:val="18"/>
                <w:color w:val="auto"/>
                <w:vertAlign w:val="subscript"/>
              </w:rPr>
              <w:t>​​</w:t>
            </w:r>
          </w:p>
        </w:tc>
        <w:tc>
          <w:tcPr>
            <w:tcW w:w="540" w:type="dxa"/>
            <w:vAlign w:val="bottom"/>
            <w:gridSpan w:val="4"/>
          </w:tcPr>
          <w:p>
            <w:pPr>
              <w:jc w:val="right"/>
              <w:ind w:right="42"/>
              <w:spacing w:after="0" w:line="164"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0"/>
                <w:szCs w:val="10"/>
                <w:color w:val="auto"/>
              </w:rPr>
              <w:t xml:space="preserve"> ​​</w:t>
            </w:r>
          </w:p>
        </w:tc>
        <w:tc>
          <w:tcPr>
            <w:tcW w:w="46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 xml:space="preserve">86,801 </w:t>
            </w:r>
            <w:r>
              <w:rPr>
                <w:rFonts w:ascii="Times New Roman" w:cs="Times New Roman" w:eastAsia="Times New Roman" w:hAnsi="Times New Roman"/>
                <w:sz w:val="18"/>
                <w:szCs w:val="18"/>
                <w:b w:val="1"/>
                <w:bCs w:val="1"/>
                <w:color w:val="auto"/>
                <w:vertAlign w:val="subscript"/>
              </w:rPr>
              <w:t>​</w:t>
            </w:r>
          </w:p>
        </w:tc>
      </w:tr>
      <w:tr>
        <w:trPr>
          <w:trHeight w:val="20"/>
        </w:trPr>
        <w:tc>
          <w:tcPr>
            <w:tcW w:w="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8"/>
        </w:trPr>
        <w:tc>
          <w:tcPr>
            <w:tcW w:w="24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960" w:type="dxa"/>
            <w:vAlign w:val="bottom"/>
          </w:tcPr>
          <w:p>
            <w:pPr>
              <w:ind w:left="860"/>
              <w:spacing w:after="0"/>
              <w:rPr>
                <w:sz w:val="20"/>
                <w:szCs w:val="20"/>
                <w:color w:val="auto"/>
              </w:rPr>
            </w:pPr>
            <w:r>
              <w:rPr>
                <w:rFonts w:ascii="Times New Roman" w:cs="Times New Roman" w:eastAsia="Times New Roman" w:hAnsi="Times New Roman"/>
                <w:sz w:val="10"/>
                <w:szCs w:val="10"/>
                <w:b w:val="1"/>
                <w:bCs w:val="1"/>
                <w:color w:val="auto"/>
              </w:rPr>
              <w:t>​ ​</w:t>
            </w:r>
          </w:p>
        </w:tc>
        <w:tc>
          <w:tcPr>
            <w:tcW w:w="80" w:type="dxa"/>
            <w:vAlign w:val="bottom"/>
          </w:tcPr>
          <w:p>
            <w:pPr>
              <w:spacing w:after="0"/>
              <w:rPr>
                <w:sz w:val="24"/>
                <w:szCs w:val="24"/>
                <w:color w:val="auto"/>
              </w:rPr>
            </w:pPr>
          </w:p>
        </w:tc>
        <w:tc>
          <w:tcPr>
            <w:tcW w:w="2060" w:type="dxa"/>
            <w:vAlign w:val="bottom"/>
            <w:tcBorders>
              <w:bottom w:val="single" w:sz="8" w:color="auto"/>
            </w:tcBorders>
            <w:gridSpan w:val="15"/>
          </w:tcPr>
          <w:p>
            <w:pPr>
              <w:ind w:left="20"/>
              <w:spacing w:after="0"/>
              <w:rPr>
                <w:sz w:val="20"/>
                <w:szCs w:val="20"/>
                <w:color w:val="auto"/>
              </w:rPr>
            </w:pPr>
            <w:r>
              <w:rPr>
                <w:rFonts w:ascii="Times New Roman" w:cs="Times New Roman" w:eastAsia="Times New Roman" w:hAnsi="Times New Roman"/>
                <w:sz w:val="10"/>
                <w:szCs w:val="10"/>
                <w:b w:val="1"/>
                <w:bCs w:val="1"/>
                <w:color w:val="auto"/>
                <w:w w:val="92"/>
              </w:rPr>
              <w:t>Fair Value Measurements as of December 31, 2023</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27"/>
        </w:trPr>
        <w:tc>
          <w:tcPr>
            <w:tcW w:w="5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1"/>
              </w:rPr>
              <w:t>(in thousands)</w:t>
            </w:r>
          </w:p>
        </w:tc>
        <w:tc>
          <w:tcPr>
            <w:tcW w:w="1880" w:type="dxa"/>
            <w:vAlign w:val="bottom"/>
          </w:tcPr>
          <w:p>
            <w:pPr>
              <w:spacing w:after="0"/>
              <w:rPr>
                <w:sz w:val="11"/>
                <w:szCs w:val="11"/>
                <w:color w:val="auto"/>
              </w:rPr>
            </w:pPr>
          </w:p>
        </w:tc>
        <w:tc>
          <w:tcPr>
            <w:tcW w:w="960" w:type="dxa"/>
            <w:vAlign w:val="bottom"/>
          </w:tcPr>
          <w:p>
            <w:pPr>
              <w:ind w:left="90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1"/>
                <w:szCs w:val="11"/>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77"/>
              </w:rPr>
              <w:t>Level 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4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7"/>
                <w:szCs w:val="7"/>
                <w:b w:val="1"/>
                <w:bCs w:val="1"/>
                <w:color w:val="auto"/>
              </w:rPr>
              <w:t xml:space="preserve">Level 3  </w:t>
            </w:r>
            <w:r>
              <w:rPr>
                <w:rFonts w:ascii="Times New Roman" w:cs="Times New Roman" w:eastAsia="Times New Roman" w:hAnsi="Times New Roman"/>
                <w:sz w:val="13"/>
                <w:szCs w:val="13"/>
                <w:b w:val="1"/>
                <w:bCs w:val="1"/>
                <w:color w:val="auto"/>
                <w:vertAlign w:val="subscript"/>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5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1"/>
        </w:trPr>
        <w:tc>
          <w:tcPr>
            <w:tcW w:w="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880" w:type="dxa"/>
            <w:vAlign w:val="bottom"/>
          </w:tcPr>
          <w:p>
            <w:pPr>
              <w:spacing w:after="0"/>
              <w:rPr>
                <w:sz w:val="15"/>
                <w:szCs w:val="15"/>
                <w:color w:val="auto"/>
              </w:rPr>
            </w:pPr>
          </w:p>
        </w:tc>
        <w:tc>
          <w:tcPr>
            <w:tcW w:w="960" w:type="dxa"/>
            <w:vAlign w:val="bottom"/>
          </w:tcPr>
          <w:p>
            <w:pPr>
              <w:ind w:left="90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 ​</w:t>
            </w:r>
          </w:p>
        </w:tc>
        <w:tc>
          <w:tcPr>
            <w:tcW w:w="24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 ​​ ​</w:t>
            </w:r>
          </w:p>
        </w:tc>
        <w:tc>
          <w:tcPr>
            <w:tcW w:w="8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 ​</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4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Cash equivalents</w:t>
            </w:r>
          </w:p>
        </w:tc>
        <w:tc>
          <w:tcPr>
            <w:tcW w:w="1220" w:type="dxa"/>
            <w:vAlign w:val="bottom"/>
            <w:gridSpan w:val="3"/>
          </w:tcPr>
          <w:p>
            <w:pPr>
              <w:ind w:left="900"/>
              <w:spacing w:after="0"/>
              <w:rPr>
                <w:sz w:val="20"/>
                <w:szCs w:val="20"/>
                <w:color w:val="auto"/>
              </w:rPr>
            </w:pPr>
            <w:r>
              <w:rPr>
                <w:rFonts w:ascii="Times New Roman" w:cs="Times New Roman" w:eastAsia="Times New Roman" w:hAnsi="Times New Roman"/>
                <w:sz w:val="12"/>
                <w:szCs w:val="12"/>
                <w:b w:val="1"/>
                <w:bCs w:val="1"/>
                <w:color w:val="auto"/>
              </w:rPr>
              <w:t>​ ​ ​ ​</w:t>
            </w:r>
          </w:p>
        </w:tc>
        <w:tc>
          <w:tcPr>
            <w:tcW w:w="24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 ​​ ​</w:t>
            </w:r>
          </w:p>
        </w:tc>
        <w:tc>
          <w:tcPr>
            <w:tcW w:w="8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 ​</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Money market funds</w:t>
            </w:r>
          </w:p>
        </w:tc>
        <w:tc>
          <w:tcPr>
            <w:tcW w:w="1580" w:type="dxa"/>
            <w:vAlign w:val="bottom"/>
            <w:gridSpan w:val="6"/>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 ​ ​$21,310 ​​</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80" w:type="dxa"/>
            <w:vAlign w:val="bottom"/>
            <w:tcBorders>
              <w:right w:val="single" w:sz="8" w:color="CCEEFF"/>
            </w:tcBorders>
            <w:shd w:val="clear" w:color="auto" w:fill="CCEEFF"/>
          </w:tcPr>
          <w:p>
            <w:pPr>
              <w:spacing w:after="0"/>
              <w:rPr>
                <w:sz w:val="15"/>
                <w:szCs w:val="15"/>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5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​$21,310</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4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U.S. treasuries</w:t>
            </w:r>
          </w:p>
        </w:tc>
        <w:tc>
          <w:tcPr>
            <w:tcW w:w="1580" w:type="dxa"/>
            <w:vAlign w:val="bottom"/>
            <w:gridSpan w:val="6"/>
          </w:tcPr>
          <w:p>
            <w:pPr>
              <w:ind w:left="900"/>
              <w:spacing w:after="0"/>
              <w:rPr>
                <w:sz w:val="20"/>
                <w:szCs w:val="20"/>
                <w:color w:val="auto"/>
              </w:rPr>
            </w:pPr>
            <w:r>
              <w:rPr>
                <w:rFonts w:ascii="Times New Roman" w:cs="Times New Roman" w:eastAsia="Times New Roman" w:hAnsi="Times New Roman"/>
                <w:sz w:val="12"/>
                <w:szCs w:val="12"/>
                <w:color w:val="auto"/>
              </w:rPr>
              <w:t>​ ​ ​ ​ 2,000 ​​</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 ​ —</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xml:space="preserve">​ ​ ​ 2,000 </w:t>
            </w:r>
            <w:r>
              <w:rPr>
                <w:rFonts w:ascii="Times New Roman" w:cs="Times New Roman" w:eastAsia="Times New Roman" w:hAnsi="Times New Roman"/>
                <w:sz w:val="12"/>
                <w:szCs w:val="12"/>
                <w:b w:val="1"/>
                <w:bCs w:val="1"/>
                <w:color w:val="auto"/>
              </w:rPr>
              <w:t>​</w:t>
            </w:r>
          </w:p>
        </w:tc>
      </w:tr>
      <w:tr>
        <w:trPr>
          <w:trHeight w:val="174"/>
        </w:trPr>
        <w:tc>
          <w:tcPr>
            <w:tcW w:w="24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Marketable securities</w:t>
            </w:r>
          </w:p>
        </w:tc>
        <w:tc>
          <w:tcPr>
            <w:tcW w:w="1220" w:type="dxa"/>
            <w:vAlign w:val="bottom"/>
            <w:gridSpan w:val="3"/>
          </w:tcPr>
          <w:p>
            <w:pPr>
              <w:ind w:left="900"/>
              <w:spacing w:after="0"/>
              <w:rPr>
                <w:sz w:val="20"/>
                <w:szCs w:val="20"/>
                <w:color w:val="auto"/>
              </w:rPr>
            </w:pPr>
            <w:r>
              <w:rPr>
                <w:rFonts w:ascii="Times New Roman" w:cs="Times New Roman" w:eastAsia="Times New Roman" w:hAnsi="Times New Roman"/>
                <w:sz w:val="12"/>
                <w:szCs w:val="12"/>
                <w:b w:val="1"/>
                <w:bCs w:val="1"/>
                <w:color w:val="auto"/>
              </w:rPr>
              <w:t>​ ​ ​ ​</w:t>
            </w:r>
          </w:p>
        </w:tc>
        <w:tc>
          <w:tcPr>
            <w:tcW w:w="24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 ​​ ​</w:t>
            </w:r>
          </w:p>
        </w:tc>
        <w:tc>
          <w:tcPr>
            <w:tcW w:w="8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 ​</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24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U.S. treasuries</w:t>
            </w:r>
          </w:p>
        </w:tc>
        <w:tc>
          <w:tcPr>
            <w:tcW w:w="1580" w:type="dxa"/>
            <w:vAlign w:val="bottom"/>
            <w:gridSpan w:val="6"/>
          </w:tcPr>
          <w:p>
            <w:pPr>
              <w:ind w:left="900"/>
              <w:spacing w:after="0" w:line="184" w:lineRule="exact"/>
              <w:rPr>
                <w:sz w:val="20"/>
                <w:szCs w:val="20"/>
                <w:color w:val="auto"/>
              </w:rPr>
            </w:pPr>
            <w:r>
              <w:rPr>
                <w:rFonts w:ascii="Times New Roman" w:cs="Times New Roman" w:eastAsia="Times New Roman" w:hAnsi="Times New Roman"/>
                <w:sz w:val="21"/>
                <w:szCs w:val="21"/>
                <w:color w:val="auto"/>
                <w:vertAlign w:val="subscript"/>
              </w:rPr>
              <w:t>​ ​ ​</w:t>
            </w:r>
            <w:r>
              <w:rPr>
                <w:rFonts w:ascii="Times New Roman" w:cs="Times New Roman" w:eastAsia="Times New Roman" w:hAnsi="Times New Roman"/>
                <w:sz w:val="11"/>
                <w:szCs w:val="11"/>
                <w:color w:val="auto"/>
              </w:rPr>
              <w:t xml:space="preserve"> ​ 1,958 </w:t>
            </w:r>
            <w:r>
              <w:rPr>
                <w:rFonts w:ascii="Times New Roman" w:cs="Times New Roman" w:eastAsia="Times New Roman" w:hAnsi="Times New Roman"/>
                <w:sz w:val="21"/>
                <w:szCs w:val="21"/>
                <w:color w:val="auto"/>
                <w:vertAlign w:val="subscript"/>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​998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5"/>
                <w:szCs w:val="15"/>
                <w:color w:val="auto"/>
              </w:rPr>
            </w:pPr>
          </w:p>
        </w:tc>
        <w:tc>
          <w:tcPr>
            <w:tcW w:w="240" w:type="dxa"/>
            <w:vAlign w:val="bottom"/>
          </w:tcPr>
          <w:p>
            <w:pP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1"/>
                <w:szCs w:val="11"/>
                <w:color w:val="auto"/>
              </w:rPr>
              <w:t xml:space="preserve"> ​ 2,956 </w:t>
            </w:r>
            <w:r>
              <w:rPr>
                <w:rFonts w:ascii="Times New Roman" w:cs="Times New Roman" w:eastAsia="Times New Roman" w:hAnsi="Times New Roman"/>
                <w:sz w:val="21"/>
                <w:szCs w:val="21"/>
                <w:b w:val="1"/>
                <w:bCs w:val="1"/>
                <w:color w:val="auto"/>
                <w:vertAlign w:val="subscript"/>
              </w:rPr>
              <w:t>​</w:t>
            </w:r>
          </w:p>
        </w:tc>
      </w:tr>
      <w:tr>
        <w:trPr>
          <w:trHeight w:val="20"/>
        </w:trPr>
        <w:tc>
          <w:tcPr>
            <w:tcW w:w="58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172"/>
        </w:trPr>
        <w:tc>
          <w:tcPr>
            <w:tcW w:w="2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w:t>
            </w:r>
          </w:p>
        </w:tc>
        <w:tc>
          <w:tcPr>
            <w:tcW w:w="9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5"/>
            <w:shd w:val="clear" w:color="auto" w:fill="CCEEFF"/>
          </w:tcPr>
          <w:p>
            <w:pPr>
              <w:jc w:val="right"/>
              <w:spacing w:after="0" w:line="164" w:lineRule="exact"/>
              <w:rPr>
                <w:sz w:val="20"/>
                <w:szCs w:val="20"/>
                <w:color w:val="auto"/>
              </w:rPr>
            </w:pP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 xml:space="preserve">25,268 </w:t>
            </w:r>
            <w:r>
              <w:rPr>
                <w:rFonts w:ascii="Times New Roman" w:cs="Times New Roman" w:eastAsia="Times New Roman" w:hAnsi="Times New Roman"/>
                <w:sz w:val="18"/>
                <w:szCs w:val="18"/>
                <w:color w:val="auto"/>
                <w:vertAlign w:val="subscript"/>
              </w:rPr>
              <w:t>​​</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4"/>
            <w:shd w:val="clear" w:color="auto" w:fill="CCEEFF"/>
          </w:tcPr>
          <w:p>
            <w:pPr>
              <w:jc w:val="right"/>
              <w:spacing w:after="0" w:line="164"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u w:val="single" w:color="auto"/>
                <w:color w:val="auto"/>
                <w:vertAlign w:val="superscript"/>
              </w:rPr>
              <w:t>$</w:t>
            </w:r>
            <w:r>
              <w:rPr>
                <w:rFonts w:ascii="Times New Roman" w:cs="Times New Roman" w:eastAsia="Times New Roman" w:hAnsi="Times New Roman"/>
                <w:sz w:val="18"/>
                <w:szCs w:val="18"/>
                <w:color w:val="auto"/>
                <w:vertAlign w:val="superscript"/>
              </w:rPr>
              <w:t>998</w:t>
            </w:r>
            <w:r>
              <w:rPr>
                <w:rFonts w:ascii="Times New Roman" w:cs="Times New Roman" w:eastAsia="Times New Roman" w:hAnsi="Times New Roman"/>
                <w:sz w:val="10"/>
                <w:szCs w:val="10"/>
                <w:color w:val="auto"/>
              </w:rPr>
              <w:t xml:space="preserve"> ​​ ​</w:t>
            </w:r>
          </w:p>
        </w:tc>
        <w:tc>
          <w:tcPr>
            <w:tcW w:w="80" w:type="dxa"/>
            <w:vAlign w:val="bottom"/>
            <w:tcBorders>
              <w:right w:val="single" w:sz="8" w:color="CCEEFF"/>
            </w:tcBorders>
            <w:shd w:val="clear" w:color="auto" w:fill="CCEEFF"/>
          </w:tcPr>
          <w:p>
            <w:pPr>
              <w:spacing w:after="0"/>
              <w:rPr>
                <w:sz w:val="14"/>
                <w:szCs w:val="14"/>
                <w:color w:val="auto"/>
              </w:rPr>
            </w:pPr>
          </w:p>
        </w:tc>
        <w:tc>
          <w:tcPr>
            <w:tcW w:w="360" w:type="dxa"/>
            <w:vAlign w:val="bottom"/>
            <w:gridSpan w:val="2"/>
            <w:shd w:val="clear" w:color="auto" w:fill="CCEEFF"/>
          </w:tcPr>
          <w:p>
            <w:pPr>
              <w:jc w:val="right"/>
              <w:spacing w:after="0" w:line="164"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0"/>
                <w:szCs w:val="10"/>
                <w:color w:val="auto"/>
              </w:rPr>
              <w:t xml:space="preserve"> ​​</w:t>
            </w:r>
          </w:p>
        </w:tc>
        <w:tc>
          <w:tcPr>
            <w:tcW w:w="520" w:type="dxa"/>
            <w:vAlign w:val="bottom"/>
            <w:tcBorders>
              <w:right w:val="single" w:sz="8" w:color="CCEEFF"/>
            </w:tcBorders>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26,266</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7"/>
        </w:trPr>
        <w:tc>
          <w:tcPr>
            <w:tcW w:w="58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240" w:type="dxa"/>
            <w:vAlign w:val="bottom"/>
            <w:tcBorders>
              <w:right w:val="single" w:sz="8" w:color="CCEEFF"/>
            </w:tcBorders>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220" w:type="dxa"/>
            <w:vAlign w:val="bottom"/>
            <w:tcBorders>
              <w:right w:val="single" w:sz="8" w:color="CCEEFF"/>
            </w:tcBorders>
            <w:shd w:val="clear" w:color="auto" w:fill="000000"/>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tcBorders>
              <w:right w:val="single" w:sz="8" w:color="auto"/>
            </w:tcBorders>
            <w:shd w:val="clear" w:color="auto" w:fill="CCEEFF"/>
          </w:tcPr>
          <w:p>
            <w:pPr>
              <w:spacing w:after="0"/>
              <w:rPr>
                <w:sz w:val="3"/>
                <w:szCs w:val="3"/>
                <w:color w:val="auto"/>
              </w:rPr>
            </w:pPr>
          </w:p>
        </w:tc>
        <w:tc>
          <w:tcPr>
            <w:tcW w:w="240" w:type="dxa"/>
            <w:vAlign w:val="bottom"/>
            <w:tcBorders>
              <w:right w:val="single" w:sz="8" w:color="CCEEFF"/>
            </w:tcBorders>
            <w:shd w:val="clear" w:color="auto" w:fill="000000"/>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tcBorders>
              <w:right w:val="single" w:sz="8" w:color="auto"/>
            </w:tcBorders>
            <w:shd w:val="clear" w:color="auto" w:fill="CCEEFF"/>
          </w:tcPr>
          <w:p>
            <w:pPr>
              <w:spacing w:after="0"/>
              <w:rPr>
                <w:sz w:val="3"/>
                <w:szCs w:val="3"/>
                <w:color w:val="auto"/>
              </w:rPr>
            </w:pPr>
          </w:p>
        </w:tc>
        <w:tc>
          <w:tcPr>
            <w:tcW w:w="420" w:type="dxa"/>
            <w:vAlign w:val="bottom"/>
            <w:tcBorders>
              <w:right w:val="single" w:sz="8" w:color="CCEEFF"/>
            </w:tcBorders>
            <w:shd w:val="clear" w:color="auto" w:fill="000000"/>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-2267585</wp:posOffset>
            </wp:positionV>
            <wp:extent cx="3535680" cy="1104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535680" cy="11049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-1267460</wp:posOffset>
            </wp:positionV>
            <wp:extent cx="1143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143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-813435</wp:posOffset>
            </wp:positionV>
            <wp:extent cx="3535680" cy="1104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535680" cy="1104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-371475</wp:posOffset>
            </wp:positionV>
            <wp:extent cx="3535680" cy="1104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535680" cy="110490"/>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-144780</wp:posOffset>
            </wp:positionV>
            <wp:extent cx="23495"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3495" cy="571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-144780</wp:posOffset>
            </wp:positionV>
            <wp:extent cx="15113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5113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-144780</wp:posOffset>
            </wp:positionV>
            <wp:extent cx="2948305"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948305" cy="5715"/>
                    </a:xfrm>
                    <a:prstGeom prst="rect">
                      <a:avLst/>
                    </a:prstGeom>
                    <a:noFill/>
                  </pic:spPr>
                </pic:pic>
              </a:graphicData>
            </a:graphic>
          </wp:anchor>
        </w:drawing>
      </w:r>
    </w:p>
    <w:p>
      <w:pPr>
        <w:spacing w:after="0" w:line="141" w:lineRule="exact"/>
        <w:rPr>
          <w:sz w:val="20"/>
          <w:szCs w:val="20"/>
          <w:color w:val="auto"/>
        </w:r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color w:val="auto"/>
        </w:rPr>
        <w:t>The derivative liability is a freestanding financial instrument and represents the Company’s obligation to issue additional shares of Series B-2 and B-2A redeemable convertible preferred stock at a fixed price upon the approval by the board of directors. The derivative liability’s fair value was estimated using a Black-Scholes option pricing model adjusted for the probability of occurring. Significant estimates and assumptions impacting fair value include the estimated time and probability of closing of the second tranche financing, preferred stock fair value and estimated stock volatility.</w:t>
      </w:r>
    </w:p>
    <w:p>
      <w:pPr>
        <w:spacing w:after="0" w:line="73" w:lineRule="exact"/>
        <w:rPr>
          <w:sz w:val="20"/>
          <w:szCs w:val="20"/>
          <w:color w:val="auto"/>
        </w:rPr>
      </w:pPr>
    </w:p>
    <w:p>
      <w:pPr>
        <w:jc w:val="both"/>
        <w:ind w:left="1720" w:right="1739"/>
        <w:spacing w:after="0" w:line="306" w:lineRule="auto"/>
        <w:rPr>
          <w:sz w:val="20"/>
          <w:szCs w:val="20"/>
          <w:color w:val="auto"/>
        </w:rPr>
      </w:pPr>
      <w:r>
        <w:rPr>
          <w:rFonts w:ascii="Times New Roman" w:cs="Times New Roman" w:eastAsia="Times New Roman" w:hAnsi="Times New Roman"/>
          <w:sz w:val="12"/>
          <w:szCs w:val="12"/>
          <w:color w:val="auto"/>
        </w:rPr>
        <w:t>The following table provides roll-forward of the fair value of the Company’s Level 3 financial instruments, the derivative liability, for the year ended December 31, 2023 (in thousands):</w:t>
      </w:r>
    </w:p>
    <w:p>
      <w:pPr>
        <w:sectPr>
          <w:pgSz w:w="11900" w:h="16838" w:orient="portrait"/>
          <w:cols w:equalWidth="0" w:num="1">
            <w:col w:w="9019"/>
          </w:cols>
          <w:pgMar w:left="1440" w:top="106" w:right="1440" w:bottom="1440" w:gutter="0" w:footer="0" w:header="0"/>
        </w:sectPr>
      </w:pPr>
    </w:p>
    <w:p>
      <w:pPr>
        <w:spacing w:after="0" w:line="6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Balance​ as of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-73025</wp:posOffset>
            </wp:positionV>
            <wp:extent cx="3535680" cy="8128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535680" cy="81280"/>
                    </a:xfrm>
                    <a:prstGeom prst="rect">
                      <a:avLst/>
                    </a:prstGeom>
                    <a:noFill/>
                  </pic:spPr>
                </pic:pic>
              </a:graphicData>
            </a:graphic>
          </wp:anchor>
        </w:drawing>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Fair​ value upon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535680" cy="1104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535680" cy="11049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Changes​ in fair value</w:t>
      </w:r>
    </w:p>
    <w:p>
      <w:pPr>
        <w:ind w:left="1720"/>
        <w:spacing w:after="0" w:line="181" w:lineRule="auto"/>
        <w:rPr>
          <w:sz w:val="20"/>
          <w:szCs w:val="20"/>
          <w:color w:val="auto"/>
        </w:rPr>
      </w:pPr>
      <w:r>
        <w:rPr>
          <w:rFonts w:ascii="Times New Roman" w:cs="Times New Roman" w:eastAsia="Times New Roman" w:hAnsi="Times New Roman"/>
          <w:sz w:val="12"/>
          <w:szCs w:val="12"/>
          <w:color w:val="auto"/>
        </w:rPr>
        <w:t>Fair</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value upon settlement (see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1270</wp:posOffset>
            </wp:positionV>
            <wp:extent cx="3291840"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2918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6"/>
        <w:spacing w:after="0"/>
        <w:tabs>
          <w:tab w:leader="none" w:pos="346" w:val="left"/>
        </w:tabs>
        <w:rPr>
          <w:sz w:val="20"/>
          <w:szCs w:val="20"/>
          <w:color w:val="auto"/>
        </w:rPr>
      </w:pPr>
      <w:r>
        <w:rPr>
          <w:rFonts w:ascii="Times New Roman" w:cs="Times New Roman" w:eastAsia="Times New Roman" w:hAnsi="Times New Roman"/>
          <w:sz w:val="12"/>
          <w:szCs w:val="12"/>
          <w:color w:val="auto"/>
        </w:rPr>
        <w:t>​ ​​$</w:t>
      </w:r>
      <w:r>
        <w:rPr>
          <w:sz w:val="20"/>
          <w:szCs w:val="20"/>
          <w:color w:val="auto"/>
        </w:rPr>
        <w:tab/>
      </w:r>
      <w:r>
        <w:rPr>
          <w:rFonts w:ascii="Times New Roman" w:cs="Times New Roman" w:eastAsia="Times New Roman" w:hAnsi="Times New Roman"/>
          <w:sz w:val="12"/>
          <w:szCs w:val="12"/>
          <w:color w:val="auto"/>
        </w:rPr>
        <w:t>—​</w:t>
      </w:r>
    </w:p>
    <w:p>
      <w:pPr>
        <w:spacing w:after="0" w:line="3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auto"/>
        </w:rPr>
        <w:t>​ ​​ ​ 2,112​</w:t>
      </w:r>
    </w:p>
    <w:p>
      <w:pPr>
        <w:spacing w:after="0" w:line="36" w:lineRule="exact"/>
        <w:rPr>
          <w:sz w:val="20"/>
          <w:szCs w:val="20"/>
          <w:color w:val="auto"/>
        </w:rPr>
      </w:pPr>
    </w:p>
    <w:p>
      <w:pPr>
        <w:ind w:left="6"/>
        <w:spacing w:after="0"/>
        <w:tabs>
          <w:tab w:leader="none" w:pos="286" w:val="left"/>
        </w:tabs>
        <w:rPr>
          <w:sz w:val="20"/>
          <w:szCs w:val="20"/>
          <w:color w:val="auto"/>
        </w:rPr>
      </w:pPr>
      <w:r>
        <w:rPr>
          <w:rFonts w:ascii="Times New Roman" w:cs="Times New Roman" w:eastAsia="Times New Roman" w:hAnsi="Times New Roman"/>
          <w:sz w:val="12"/>
          <w:szCs w:val="12"/>
          <w:color w:val="auto"/>
        </w:rPr>
        <w:t>​ ​​ ​</w:t>
        <w:tab/>
        <w:t>119​</w:t>
      </w:r>
    </w:p>
    <w:p>
      <w:pPr>
        <w:ind w:left="66" w:hanging="66"/>
        <w:spacing w:after="0" w:line="181" w:lineRule="auto"/>
        <w:tabs>
          <w:tab w:leader="none" w:pos="66" w:val="left"/>
        </w:tabs>
        <w:numPr>
          <w:ilvl w:val="0"/>
          <w:numId w:val="134"/>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​(2,231</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w:t>
      </w:r>
    </w:p>
    <w:p>
      <w:pPr>
        <w:spacing w:after="0" w:line="1" w:lineRule="exact"/>
        <w:rPr>
          <w:sz w:val="20"/>
          <w:szCs w:val="20"/>
          <w:color w:val="auto"/>
        </w:rPr>
      </w:pPr>
    </w:p>
    <w:p>
      <w:pPr>
        <w:sectPr>
          <w:pgSz w:w="11900" w:h="16838" w:orient="portrait"/>
          <w:cols w:equalWidth="0" w:num="2">
            <w:col w:w="6074" w:space="720"/>
            <w:col w:w="2225"/>
          </w:cols>
          <w:pgMar w:left="1440" w:top="106" w:right="1440" w:bottom="1440" w:gutter="0" w:footer="0" w:header="0"/>
          <w:type w:val="continuous"/>
        </w:sectPr>
      </w:pPr>
    </w:p>
    <w:tbl>
      <w:tblPr>
        <w:tblLayout w:type="fixed"/>
        <w:tblInd w:w="860" w:type="dxa"/>
        <w:tblCellMar>
          <w:top w:w="0" w:type="dxa"/>
          <w:left w:w="0" w:type="dxa"/>
          <w:bottom w:w="0" w:type="dxa"/>
          <w:right w:w="0" w:type="dxa"/>
        </w:tblCellMar>
      </w:tblPr>
      <w:tr>
        <w:trPr>
          <w:trHeight w:val="138"/>
        </w:trPr>
        <w:tc>
          <w:tcPr>
            <w:tcW w:w="860" w:type="dxa"/>
            <w:vAlign w:val="bottom"/>
          </w:tcPr>
          <w:p>
            <w:pPr>
              <w:spacing w:after="0"/>
              <w:rPr>
                <w:sz w:val="11"/>
                <w:szCs w:val="11"/>
                <w:color w:val="auto"/>
              </w:rPr>
            </w:pPr>
          </w:p>
        </w:tc>
        <w:tc>
          <w:tcPr>
            <w:tcW w:w="2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December 31, 2023</w:t>
            </w:r>
          </w:p>
        </w:tc>
        <w:tc>
          <w:tcPr>
            <w:tcW w:w="30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w w:val="82"/>
              </w:rPr>
              <w:t>—</w:t>
            </w:r>
          </w:p>
        </w:tc>
        <w:tc>
          <w:tcPr>
            <w:tcW w:w="8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64"/>
        </w:trPr>
        <w:tc>
          <w:tcPr>
            <w:tcW w:w="860" w:type="dxa"/>
            <w:vAlign w:val="bottom"/>
          </w:tcPr>
          <w:p>
            <w:pPr>
              <w:spacing w:after="0"/>
              <w:rPr>
                <w:sz w:val="5"/>
                <w:szCs w:val="5"/>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
                <w:szCs w:val="1"/>
                <w:color w:val="auto"/>
              </w:rPr>
              <w:t>​</w:t>
            </w:r>
          </w:p>
        </w:tc>
        <w:tc>
          <w:tcPr>
            <w:tcW w:w="3160" w:type="dxa"/>
            <w:vAlign w:val="bottom"/>
            <w:tcBorders>
              <w:bottom w:val="single" w:sz="8" w:color="CCEEFF"/>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
                <w:szCs w:val="1"/>
                <w:color w:val="auto"/>
              </w:rPr>
              <w:t>​ ​​</w:t>
            </w:r>
          </w:p>
        </w:tc>
        <w:tc>
          <w:tcPr>
            <w:tcW w:w="220" w:type="dxa"/>
            <w:vAlign w:val="bottom"/>
            <w:tcBorders>
              <w:bottom w:val="single" w:sz="8" w:color="auto"/>
            </w:tcBorders>
            <w:shd w:val="clear" w:color="auto" w:fill="CCEEFF"/>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3"/>
        </w:trPr>
        <w:tc>
          <w:tcPr>
            <w:tcW w:w="8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0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F-16</w:t>
            </w: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60" w:type="dxa"/>
            <w:vAlign w:val="bottom"/>
            <w:tcBorders>
              <w:bottom w:val="single" w:sz="8" w:color="9A9A9A"/>
            </w:tcBorders>
          </w:tcPr>
          <w:p>
            <w:pPr>
              <w:spacing w:after="0"/>
              <w:rPr>
                <w:sz w:val="23"/>
                <w:szCs w:val="23"/>
                <w:color w:val="auto"/>
              </w:rPr>
            </w:pPr>
          </w:p>
        </w:tc>
        <w:tc>
          <w:tcPr>
            <w:tcW w:w="2180" w:type="dxa"/>
            <w:vAlign w:val="bottom"/>
            <w:tcBorders>
              <w:bottom w:val="single" w:sz="8" w:color="9A9A9A"/>
            </w:tcBorders>
          </w:tcPr>
          <w:p>
            <w:pPr>
              <w:spacing w:after="0"/>
              <w:rPr>
                <w:sz w:val="23"/>
                <w:szCs w:val="23"/>
                <w:color w:val="auto"/>
              </w:rPr>
            </w:pPr>
          </w:p>
        </w:tc>
        <w:tc>
          <w:tcPr>
            <w:tcW w:w="300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31115" cy="368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538480</wp:posOffset>
            </wp:positionH>
            <wp:positionV relativeFrom="paragraph">
              <wp:posOffset>-23495</wp:posOffset>
            </wp:positionV>
            <wp:extent cx="31115" cy="368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223" w:name="page224"/>
    <w:bookmarkEnd w:id="223"/>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80" w:type="dxa"/>
            <w:vAlign w:val="bottom"/>
            <w:gridSpan w:val="2"/>
          </w:tcPr>
          <w:p>
            <w:pPr>
              <w:ind w:left="920"/>
              <w:spacing w:after="0"/>
              <w:rPr>
                <w:sz w:val="20"/>
                <w:szCs w:val="20"/>
                <w:color w:val="auto"/>
              </w:rPr>
            </w:pPr>
            <w:r>
              <w:rPr>
                <w:rFonts w:ascii="Times New Roman" w:cs="Times New Roman" w:eastAsia="Times New Roman" w:hAnsi="Times New Roman"/>
                <w:sz w:val="12"/>
                <w:szCs w:val="12"/>
                <w:b w:val="1"/>
                <w:bCs w:val="1"/>
                <w:color w:val="auto"/>
                <w:w w:val="97"/>
              </w:rPr>
              <w:t>NOTES TO CONSOLIDATED FINANCIAL STATEMENTS (Continued)</w:t>
            </w: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3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 Fair Value Measurements (Continued)</w:t>
            </w: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following table provides a range of assumptions used in the valuation of the derivative liability for the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year ended December 31, 2023:</w:t>
            </w:r>
          </w:p>
        </w:tc>
        <w:tc>
          <w:tcPr>
            <w:tcW w:w="1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8"/>
        </w:trPr>
        <w:tc>
          <w:tcPr>
            <w:tcW w:w="32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​Expected term (in years)</w:t>
            </w:r>
          </w:p>
        </w:tc>
        <w:tc>
          <w:tcPr>
            <w:tcW w:w="1400" w:type="dxa"/>
            <w:vAlign w:val="bottom"/>
            <w:shd w:val="clear" w:color="auto" w:fill="CCEEFF"/>
          </w:tcPr>
          <w:p>
            <w:pPr>
              <w:ind w:left="1240"/>
              <w:spacing w:after="0" w:line="129" w:lineRule="exact"/>
              <w:rPr>
                <w:sz w:val="20"/>
                <w:szCs w:val="20"/>
                <w:color w:val="auto"/>
              </w:rPr>
            </w:pPr>
            <w:r>
              <w:rPr>
                <w:rFonts w:ascii="Times New Roman" w:cs="Times New Roman" w:eastAsia="Times New Roman" w:hAnsi="Times New Roman"/>
                <w:sz w:val="12"/>
                <w:szCs w:val="12"/>
                <w:color w:val="auto"/>
              </w:rPr>
              <w:t>​ ​</w:t>
            </w:r>
          </w:p>
        </w:tc>
        <w:tc>
          <w:tcPr>
            <w:tcW w:w="8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rPr>
              <w:t>0.01 – 0.41</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​Volatility</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 43.19% – 83.25%​</w:t>
            </w:r>
          </w:p>
        </w:tc>
        <w:tc>
          <w:tcPr>
            <w:tcW w:w="0" w:type="dxa"/>
            <w:vAlign w:val="bottom"/>
          </w:tcPr>
          <w:p>
            <w:pPr>
              <w:spacing w:after="0"/>
              <w:rPr>
                <w:sz w:val="1"/>
                <w:szCs w:val="1"/>
                <w:color w:val="auto"/>
              </w:rPr>
            </w:pPr>
          </w:p>
        </w:tc>
      </w:tr>
      <w:tr>
        <w:trPr>
          <w:trHeight w:val="18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14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2"/>
                <w:szCs w:val="12"/>
                <w:color w:val="auto"/>
              </w:rPr>
              <w:t>​ ​</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5.23% – 5.55%</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3"/>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​Dividend yield</w:t>
            </w:r>
          </w:p>
        </w:tc>
        <w:tc>
          <w:tcPr>
            <w:tcW w:w="1400" w:type="dxa"/>
            <w:vAlign w:val="bottom"/>
          </w:tcPr>
          <w:p>
            <w:pPr>
              <w:ind w:left="1240"/>
              <w:spacing w:after="0"/>
              <w:rPr>
                <w:sz w:val="20"/>
                <w:szCs w:val="20"/>
                <w:color w:val="auto"/>
              </w:rPr>
            </w:pPr>
            <w:r>
              <w:rPr>
                <w:rFonts w:ascii="Times New Roman" w:cs="Times New Roman" w:eastAsia="Times New Roman" w:hAnsi="Times New Roman"/>
                <w:sz w:val="12"/>
                <w:szCs w:val="12"/>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​Probability of event occurring</w:t>
            </w:r>
          </w:p>
        </w:tc>
        <w:tc>
          <w:tcPr>
            <w:tcW w:w="14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2"/>
                <w:szCs w:val="12"/>
                <w:color w:val="auto"/>
              </w:rPr>
              <w:t>​ ​</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30% – 100%</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There were no transfers between Level 1, Level 2 or Level 3 categories for the years ended December 31, 2022 and 2023.</w:t>
      </w:r>
    </w:p>
    <w:p>
      <w:pPr>
        <w:spacing w:after="0" w:line="10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4. Marketable Securities</w:t>
      </w:r>
    </w:p>
    <w:p>
      <w:pPr>
        <w:spacing w:after="0" w:line="1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Marketable  securities,  which  are  classified  as  available-for-sale,  consisted  of  the  following  as  of</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December 31, 2022 and 2023 (in thousands):</w:t>
      </w:r>
    </w:p>
    <w:p>
      <w:pPr>
        <w:spacing w:after="0" w:line="107"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gridSpan w:val="3"/>
          </w:tcPr>
          <w:p>
            <w:pPr>
              <w:jc w:val="center"/>
              <w:ind w:right="59"/>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Fair Value as of</w:t>
            </w:r>
          </w:p>
        </w:tc>
        <w:tc>
          <w:tcPr>
            <w:tcW w:w="40" w:type="dxa"/>
            <w:vAlign w:val="bottom"/>
          </w:tcPr>
          <w:p>
            <w:pPr>
              <w:spacing w:after="0"/>
              <w:rPr>
                <w:sz w:val="10"/>
                <w:szCs w:val="10"/>
                <w:color w:val="auto"/>
              </w:rPr>
            </w:pPr>
          </w:p>
        </w:tc>
      </w:tr>
      <w:tr>
        <w:trPr>
          <w:trHeight w:val="110"/>
        </w:trPr>
        <w:tc>
          <w:tcPr>
            <w:tcW w:w="2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3"/>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Amortized Cost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gridSpan w:val="3"/>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4"/>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3"/>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40" w:type="dxa"/>
            <w:vAlign w:val="bottom"/>
          </w:tcPr>
          <w:p>
            <w:pPr>
              <w:spacing w:after="0"/>
              <w:rPr>
                <w:sz w:val="9"/>
                <w:szCs w:val="9"/>
                <w:color w:val="auto"/>
              </w:rPr>
            </w:pPr>
          </w:p>
        </w:tc>
      </w:tr>
      <w:tr>
        <w:trPr>
          <w:trHeight w:val="145"/>
        </w:trPr>
        <w:tc>
          <w:tcPr>
            <w:tcW w:w="2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Basis</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Gains</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3"/>
          </w:tcPr>
          <w:p>
            <w:pPr>
              <w:jc w:val="center"/>
              <w:ind w:right="39"/>
              <w:spacing w:after="0"/>
              <w:rPr>
                <w:sz w:val="20"/>
                <w:szCs w:val="20"/>
                <w:color w:val="auto"/>
              </w:rPr>
            </w:pPr>
            <w:r>
              <w:rPr>
                <w:rFonts w:ascii="Times New Roman" w:cs="Times New Roman" w:eastAsia="Times New Roman" w:hAnsi="Times New Roman"/>
                <w:sz w:val="10"/>
                <w:szCs w:val="10"/>
                <w:b w:val="1"/>
                <w:bCs w:val="1"/>
                <w:color w:val="auto"/>
                <w:w w:val="93"/>
              </w:rPr>
              <w:t>Losses</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tcBorders>
              <w:bottom w:val="single" w:sz="8" w:color="auto"/>
            </w:tcBorders>
            <w:gridSpan w:val="2"/>
          </w:tcPr>
          <w:p>
            <w:pPr>
              <w:jc w:val="center"/>
              <w:ind w:left="86"/>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40" w:type="dxa"/>
            <w:vAlign w:val="bottom"/>
            <w:tcBorders>
              <w:bottom w:val="single" w:sz="8" w:color="auto"/>
            </w:tcBorders>
          </w:tcPr>
          <w:p>
            <w:pPr>
              <w:spacing w:after="0"/>
              <w:rPr>
                <w:sz w:val="12"/>
                <w:szCs w:val="1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Short-term marketable securities:</w:t>
            </w:r>
          </w:p>
        </w:tc>
        <w:tc>
          <w:tcPr>
            <w:tcW w:w="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Borders>
              <w:lef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Borders>
              <w:left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4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Commercial paper</w:t>
            </w:r>
          </w:p>
        </w:tc>
        <w:tc>
          <w:tcPr>
            <w:tcW w:w="4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​$31,271</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tcPr>
          <w:p>
            <w:pPr>
              <w:jc w:val="right"/>
              <w:ind w:right="87"/>
              <w:spacing w:after="0"/>
              <w:rPr>
                <w:sz w:val="20"/>
                <w:szCs w:val="20"/>
                <w:color w:val="auto"/>
              </w:rPr>
            </w:pPr>
            <w:r>
              <w:rPr>
                <w:rFonts w:ascii="Times New Roman" w:cs="Times New Roman" w:eastAsia="Times New Roman" w:hAnsi="Times New Roman"/>
                <w:sz w:val="12"/>
                <w:szCs w:val="12"/>
                <w:color w:val="auto"/>
              </w:rPr>
              <w:t>​$31,271</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U.S. treasuries</w:t>
            </w:r>
          </w:p>
        </w:tc>
        <w:tc>
          <w:tcPr>
            <w:tcW w:w="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​19,309</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 ​ (54)</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shd w:val="clear" w:color="auto" w:fill="CCEEFF"/>
          </w:tcPr>
          <w:p>
            <w:pPr>
              <w:jc w:val="right"/>
              <w:ind w:right="87"/>
              <w:spacing w:after="0"/>
              <w:rPr>
                <w:sz w:val="20"/>
                <w:szCs w:val="20"/>
                <w:color w:val="auto"/>
              </w:rPr>
            </w:pPr>
            <w:r>
              <w:rPr>
                <w:rFonts w:ascii="Times New Roman" w:cs="Times New Roman" w:eastAsia="Times New Roman" w:hAnsi="Times New Roman"/>
                <w:sz w:val="12"/>
                <w:szCs w:val="12"/>
                <w:color w:val="auto"/>
              </w:rPr>
              <w:t>​ ​19,255</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4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Corporate bonds</w:t>
            </w:r>
          </w:p>
        </w:tc>
        <w:tc>
          <w:tcPr>
            <w:tcW w:w="4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 ​10,841</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 ​ (46)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tcPr>
          <w:p>
            <w:pPr>
              <w:jc w:val="right"/>
              <w:ind w:right="87"/>
              <w:spacing w:after="0"/>
              <w:rPr>
                <w:sz w:val="20"/>
                <w:szCs w:val="20"/>
                <w:color w:val="auto"/>
              </w:rPr>
            </w:pPr>
            <w:r>
              <w:rPr>
                <w:rFonts w:ascii="Times New Roman" w:cs="Times New Roman" w:eastAsia="Times New Roman" w:hAnsi="Times New Roman"/>
                <w:sz w:val="12"/>
                <w:szCs w:val="12"/>
                <w:color w:val="auto"/>
              </w:rPr>
              <w:t>​ ​10,795</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Supranational debt securities</w:t>
            </w:r>
          </w:p>
        </w:tc>
        <w:tc>
          <w:tcPr>
            <w:tcW w:w="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 4,005</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 ​ (29)</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shd w:val="clear" w:color="auto" w:fill="CCEEFF"/>
          </w:tcPr>
          <w:p>
            <w:pPr>
              <w:jc w:val="right"/>
              <w:ind w:right="87"/>
              <w:spacing w:after="0"/>
              <w:rPr>
                <w:sz w:val="20"/>
                <w:szCs w:val="20"/>
                <w:color w:val="auto"/>
              </w:rPr>
            </w:pPr>
            <w:r>
              <w:rPr>
                <w:rFonts w:ascii="Times New Roman" w:cs="Times New Roman" w:eastAsia="Times New Roman" w:hAnsi="Times New Roman"/>
                <w:sz w:val="12"/>
                <w:szCs w:val="12"/>
                <w:color w:val="auto"/>
              </w:rPr>
              <w:t>​ ​ 3,976</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24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Agency bonds</w:t>
            </w:r>
          </w:p>
        </w:tc>
        <w:tc>
          <w:tcPr>
            <w:tcW w:w="4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tcPr>
          <w:p>
            <w:pPr>
              <w:ind w:left="120"/>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1,956</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3"/>
          </w:tcPr>
          <w:p>
            <w:pPr>
              <w:ind w:left="120"/>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2</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tcPr>
          <w:p>
            <w:pPr>
              <w:jc w:val="right"/>
              <w:ind w:right="87"/>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1,958</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420" w:type="dxa"/>
            <w:vAlign w:val="bottom"/>
            <w:shd w:val="clear" w:color="auto" w:fill="CCEEFF"/>
          </w:tcPr>
          <w:p>
            <w:pPr>
              <w:spacing w:after="0" w:line="20" w:lineRule="exact"/>
              <w:rPr>
                <w:sz w:val="1"/>
                <w:szCs w:val="1"/>
                <w:color w:val="auto"/>
              </w:rPr>
            </w:pPr>
          </w:p>
        </w:tc>
        <w:tc>
          <w:tcPr>
            <w:tcW w:w="460" w:type="dxa"/>
            <w:vAlign w:val="bottom"/>
            <w:gridSpan w:val="2"/>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short-term marketable securities</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3"/>
            <w:shd w:val="clear" w:color="auto" w:fill="CCEEFF"/>
          </w:tcPr>
          <w:p>
            <w:pPr>
              <w:ind w:left="120"/>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67,382</w:t>
            </w: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280" w:type="dxa"/>
            <w:vAlign w:val="bottom"/>
            <w:tcBorders>
              <w:right w:val="single" w:sz="8" w:color="CCEEFF"/>
            </w:tcBorders>
            <w:gridSpan w:val="2"/>
            <w:shd w:val="clear" w:color="auto" w:fill="CCEEFF"/>
          </w:tcPr>
          <w:p>
            <w:pPr>
              <w:ind w:left="120"/>
              <w:spacing w:after="0" w:line="164"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vertAlign w:val="superscript"/>
              </w:rPr>
              <w:t>$</w:t>
            </w:r>
          </w:p>
        </w:tc>
        <w:tc>
          <w:tcPr>
            <w:tcW w:w="160" w:type="dxa"/>
            <w:vAlign w:val="bottom"/>
            <w:tcBorders>
              <w:left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5"/>
                <w:szCs w:val="5"/>
                <w:color w:val="auto"/>
                <w:w w:val="78"/>
              </w:rPr>
              <w:t>2</w:t>
            </w:r>
          </w:p>
        </w:tc>
        <w:tc>
          <w:tcPr>
            <w:tcW w:w="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7"/>
            <w:shd w:val="clear" w:color="auto" w:fill="CCEEFF"/>
          </w:tcPr>
          <w:p>
            <w:pPr>
              <w:ind w:left="80"/>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 xml:space="preserve">(129) </w:t>
            </w:r>
            <w:r>
              <w:rPr>
                <w:rFonts w:ascii="Times New Roman" w:cs="Times New Roman" w:eastAsia="Times New Roman" w:hAnsi="Times New Roman"/>
                <w:sz w:val="18"/>
                <w:szCs w:val="18"/>
                <w:color w:val="auto"/>
                <w:vertAlign w:val="subscript"/>
              </w:rPr>
              <w:t>​​ ​</w:t>
            </w:r>
          </w:p>
        </w:tc>
        <w:tc>
          <w:tcPr>
            <w:tcW w:w="640" w:type="dxa"/>
            <w:vAlign w:val="bottom"/>
            <w:gridSpan w:val="3"/>
            <w:shd w:val="clear" w:color="auto" w:fill="CCEEFF"/>
          </w:tcPr>
          <w:p>
            <w:pPr>
              <w:jc w:val="right"/>
              <w:ind w:right="87"/>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67,255</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26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6"/>
        </w:trPr>
        <w:tc>
          <w:tcPr>
            <w:tcW w:w="2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gridSpan w:val="3"/>
          </w:tcPr>
          <w:p>
            <w:pPr>
              <w:jc w:val="center"/>
              <w:ind w:right="59"/>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Fair Value as of</w:t>
            </w:r>
          </w:p>
        </w:tc>
        <w:tc>
          <w:tcPr>
            <w:tcW w:w="40" w:type="dxa"/>
            <w:vAlign w:val="bottom"/>
          </w:tcPr>
          <w:p>
            <w:pPr>
              <w:spacing w:after="0"/>
              <w:rPr>
                <w:sz w:val="23"/>
                <w:szCs w:val="23"/>
                <w:color w:val="auto"/>
              </w:rPr>
            </w:pPr>
          </w:p>
        </w:tc>
      </w:tr>
      <w:tr>
        <w:trPr>
          <w:trHeight w:val="110"/>
        </w:trPr>
        <w:tc>
          <w:tcPr>
            <w:tcW w:w="2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3"/>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Amortized Cost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gridSpan w:val="3"/>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4"/>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3"/>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40" w:type="dxa"/>
            <w:vAlign w:val="bottom"/>
          </w:tcPr>
          <w:p>
            <w:pPr>
              <w:spacing w:after="0"/>
              <w:rPr>
                <w:sz w:val="9"/>
                <w:szCs w:val="9"/>
                <w:color w:val="auto"/>
              </w:rPr>
            </w:pPr>
          </w:p>
        </w:tc>
      </w:tr>
      <w:tr>
        <w:trPr>
          <w:trHeight w:val="145"/>
        </w:trPr>
        <w:tc>
          <w:tcPr>
            <w:tcW w:w="2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Basis</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Gains</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3"/>
          </w:tcPr>
          <w:p>
            <w:pPr>
              <w:jc w:val="center"/>
              <w:ind w:right="39"/>
              <w:spacing w:after="0"/>
              <w:rPr>
                <w:sz w:val="20"/>
                <w:szCs w:val="20"/>
                <w:color w:val="auto"/>
              </w:rPr>
            </w:pPr>
            <w:r>
              <w:rPr>
                <w:rFonts w:ascii="Times New Roman" w:cs="Times New Roman" w:eastAsia="Times New Roman" w:hAnsi="Times New Roman"/>
                <w:sz w:val="10"/>
                <w:szCs w:val="10"/>
                <w:b w:val="1"/>
                <w:bCs w:val="1"/>
                <w:color w:val="auto"/>
                <w:w w:val="93"/>
              </w:rPr>
              <w:t>Losses</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tcBorders>
              <w:bottom w:val="single" w:sz="8" w:color="auto"/>
            </w:tcBorders>
            <w:gridSpan w:val="2"/>
          </w:tcPr>
          <w:p>
            <w:pPr>
              <w:jc w:val="center"/>
              <w:ind w:left="86"/>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140" w:type="dxa"/>
            <w:vAlign w:val="bottom"/>
            <w:tcBorders>
              <w:bottom w:val="single" w:sz="8" w:color="auto"/>
            </w:tcBorders>
          </w:tcPr>
          <w:p>
            <w:pPr>
              <w:spacing w:after="0"/>
              <w:rPr>
                <w:sz w:val="12"/>
                <w:szCs w:val="1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Short-term marketable securities:</w:t>
            </w:r>
          </w:p>
        </w:tc>
        <w:tc>
          <w:tcPr>
            <w:tcW w:w="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 ​</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Borders>
              <w:left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24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U.S. treasuries</w:t>
            </w:r>
          </w:p>
        </w:tc>
        <w:tc>
          <w:tcPr>
            <w:tcW w:w="4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340" w:type="dxa"/>
            <w:vAlign w:val="bottom"/>
          </w:tcPr>
          <w:p>
            <w:pPr>
              <w:spacing w:after="0" w:line="184" w:lineRule="exact"/>
              <w:rPr>
                <w:sz w:val="20"/>
                <w:szCs w:val="20"/>
                <w:color w:val="auto"/>
              </w:rPr>
            </w:pPr>
            <w:r>
              <w:rPr>
                <w:rFonts w:ascii="Times New Roman" w:cs="Times New Roman" w:eastAsia="Times New Roman" w:hAnsi="Times New Roman"/>
                <w:sz w:val="21"/>
                <w:szCs w:val="21"/>
                <w:color w:val="auto"/>
                <w:w w:val="98"/>
                <w:vertAlign w:val="subscript"/>
              </w:rPr>
              <w:t>​</w:t>
            </w:r>
            <w:r>
              <w:rPr>
                <w:rFonts w:ascii="Times New Roman" w:cs="Times New Roman" w:eastAsia="Times New Roman" w:hAnsi="Times New Roman"/>
                <w:sz w:val="11"/>
                <w:szCs w:val="11"/>
                <w:u w:val="single" w:color="auto"/>
                <w:color w:val="auto"/>
                <w:w w:val="98"/>
              </w:rPr>
              <w:t>$</w:t>
            </w:r>
            <w:r>
              <w:rPr>
                <w:rFonts w:ascii="Times New Roman" w:cs="Times New Roman" w:eastAsia="Times New Roman" w:hAnsi="Times New Roman"/>
                <w:sz w:val="11"/>
                <w:szCs w:val="11"/>
                <w:color w:val="auto"/>
                <w:w w:val="98"/>
              </w:rPr>
              <w:t>2,954</w:t>
            </w:r>
          </w:p>
        </w:tc>
        <w:tc>
          <w:tcPr>
            <w:tcW w:w="140" w:type="dxa"/>
            <w:vAlign w:val="bottom"/>
          </w:tcPr>
          <w:p>
            <w:pPr>
              <w:spacing w:after="0"/>
              <w:rPr>
                <w:sz w:val="15"/>
                <w:szCs w:val="15"/>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280" w:type="dxa"/>
            <w:vAlign w:val="bottom"/>
            <w:gridSpan w:val="2"/>
          </w:tcPr>
          <w:p>
            <w:pP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2</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120" w:type="dxa"/>
            <w:vAlign w:val="bottom"/>
          </w:tcPr>
          <w:p>
            <w:pPr>
              <w:spacing w:after="0" w:line="184"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240" w:type="dxa"/>
            <w:vAlign w:val="bottom"/>
            <w:gridSpan w:val="2"/>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340" w:type="dxa"/>
            <w:vAlign w:val="bottom"/>
          </w:tcPr>
          <w:p>
            <w:pPr>
              <w:jc w:val="cente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2,956</w:t>
            </w:r>
          </w:p>
        </w:tc>
        <w:tc>
          <w:tcPr>
            <w:tcW w:w="14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4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short-term marketable securities</w:t>
            </w:r>
          </w:p>
        </w:tc>
        <w:tc>
          <w:tcPr>
            <w:tcW w:w="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2,954</w:t>
            </w:r>
          </w:p>
        </w:tc>
        <w:tc>
          <w:tcPr>
            <w:tcW w:w="140" w:type="dxa"/>
            <w:vAlign w:val="bottom"/>
            <w:tcBorders>
              <w:left w:val="single" w:sz="8" w:color="CCEEFF"/>
            </w:tcBorders>
            <w:shd w:val="clear" w:color="auto" w:fill="CCEEFF"/>
          </w:tcPr>
          <w:p>
            <w:pPr>
              <w:spacing w:after="0"/>
              <w:rPr>
                <w:sz w:val="14"/>
                <w:szCs w:val="14"/>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28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2</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360" w:type="dxa"/>
            <w:vAlign w:val="bottom"/>
            <w:gridSpan w:val="3"/>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  —</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2,956</w:t>
            </w:r>
          </w:p>
        </w:tc>
        <w:tc>
          <w:tcPr>
            <w:tcW w:w="140" w:type="dxa"/>
            <w:vAlign w:val="bottom"/>
            <w:tcBorders>
              <w:left w:val="single" w:sz="8" w:color="CCEEFF"/>
            </w:tcBorders>
            <w:shd w:val="clear" w:color="auto" w:fill="CCEEFF"/>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7"/>
        </w:trPr>
        <w:tc>
          <w:tcPr>
            <w:tcW w:w="24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tcBorders>
              <w:right w:val="single" w:sz="8" w:color="auto"/>
            </w:tcBorders>
            <w:shd w:val="clear" w:color="auto" w:fill="000000"/>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-859790</wp:posOffset>
            </wp:positionV>
            <wp:extent cx="8128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1280" cy="5715"/>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-859790</wp:posOffset>
            </wp:positionV>
            <wp:extent cx="226695"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2669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-859790</wp:posOffset>
            </wp:positionV>
            <wp:extent cx="2785745"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785745" cy="571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-1534795</wp:posOffset>
            </wp:positionV>
            <wp:extent cx="93345"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-1534795</wp:posOffset>
            </wp:positionV>
            <wp:extent cx="93345"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-1534795</wp:posOffset>
            </wp:positionV>
            <wp:extent cx="2343785"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343785" cy="5715"/>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-144780</wp:posOffset>
            </wp:positionV>
            <wp:extent cx="9906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9906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-144780</wp:posOffset>
            </wp:positionV>
            <wp:extent cx="322199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221990" cy="571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-377190</wp:posOffset>
            </wp:positionV>
            <wp:extent cx="93345"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-377190</wp:posOffset>
            </wp:positionV>
            <wp:extent cx="93345"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-377190</wp:posOffset>
            </wp:positionV>
            <wp:extent cx="2343785"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343785" cy="5715"/>
                    </a:xfrm>
                    <a:prstGeom prst="rect">
                      <a:avLst/>
                    </a:prstGeom>
                    <a:noFill/>
                  </pic:spPr>
                </pic:pic>
              </a:graphicData>
            </a:graphic>
          </wp:anchor>
        </w:drawing>
      </w:r>
    </w:p>
    <w:p>
      <w:pPr>
        <w:spacing w:after="0" w:line="132"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All marketable securities held as of December 31, 2022 and 2023 had contractual maturities of less than one year.</w:t>
      </w:r>
    </w:p>
    <w:p>
      <w:pPr>
        <w:spacing w:after="0" w:line="232"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As of December 31, 2022 and 2023, no significant facts or circumstances were present to indicate a deterioration in the creditworthiness of the issuers of the marketable securities, and the Company has no requirement or intention to sell these securities before maturity or recovery of their amortized cost basis. The Company considered the current and expected future economic and market conditions and determined that its investments were not significantly impacted. For all securities with a fair value less than its amortized cost basis, the Company determined the decline in fair value below amortized cost basis to be immaterial and non-credit related, and therefore no allowance for losses has been recorded. For the years ended December 31, 2022 and 2023, the Company did not recognize any impairment losses on its investments.</w:t>
      </w:r>
    </w:p>
    <w:p>
      <w:pPr>
        <w:spacing w:after="0" w:line="228"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As of December 31, 2022 and 2023, accrued interest receivable was $0.1 million and $0, which is recorded in the marketable securities in the consolidated balance sheets.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24" w:name="page225"/>
    <w:bookmarkEnd w:id="22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5. Balance Sheet Components</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Property and Equipment, net</w:t>
      </w:r>
    </w:p>
    <w:p>
      <w:pPr>
        <w:spacing w:after="0" w:line="1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Property and equipment, net consisted of the following (in thousands):</w:t>
      </w:r>
    </w:p>
    <w:p>
      <w:pPr>
        <w:spacing w:after="0" w:line="119"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Estimated Useful Life</w:t>
            </w:r>
          </w:p>
        </w:tc>
        <w:tc>
          <w:tcPr>
            <w:tcW w:w="120" w:type="dxa"/>
            <w:vAlign w:val="bottom"/>
          </w:tcPr>
          <w:p>
            <w:pPr>
              <w:spacing w:after="0"/>
              <w:rPr>
                <w:sz w:val="10"/>
                <w:szCs w:val="10"/>
                <w:color w:val="auto"/>
              </w:rPr>
            </w:pPr>
          </w:p>
        </w:tc>
        <w:tc>
          <w:tcPr>
            <w:tcW w:w="56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w w:val="89"/>
              </w:rPr>
              <w:t>December 31,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w w:val="92"/>
              </w:rPr>
              <w:t>December 31,</w:t>
            </w:r>
          </w:p>
        </w:tc>
        <w:tc>
          <w:tcPr>
            <w:tcW w:w="40" w:type="dxa"/>
            <w:vAlign w:val="bottom"/>
          </w:tcPr>
          <w:p>
            <w:pPr>
              <w:spacing w:after="0"/>
              <w:rPr>
                <w:sz w:val="10"/>
                <w:szCs w:val="10"/>
                <w:color w:val="auto"/>
              </w:rPr>
            </w:pPr>
          </w:p>
        </w:tc>
      </w:tr>
      <w:tr>
        <w:trPr>
          <w:trHeight w:val="145"/>
        </w:trPr>
        <w:tc>
          <w:tcPr>
            <w:tcW w:w="2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0"/>
                <w:szCs w:val="10"/>
                <w:b w:val="1"/>
                <w:bCs w:val="1"/>
                <w:color w:val="auto"/>
              </w:rPr>
              <w:t>​ ​</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(in years)</w:t>
            </w:r>
          </w:p>
        </w:tc>
        <w:tc>
          <w:tcPr>
            <w:tcW w:w="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4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80" w:type="dxa"/>
            <w:vAlign w:val="bottom"/>
            <w:tcBorders>
              <w:bottom w:val="single" w:sz="8" w:color="auto"/>
            </w:tcBorders>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3"/>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Laboratory equipment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12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​$1,899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3,577</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660" w:type="dxa"/>
            <w:vAlign w:val="bottom"/>
          </w:tcPr>
          <w:p>
            <w:pPr>
              <w:spacing w:after="0"/>
              <w:rPr>
                <w:sz w:val="20"/>
                <w:szCs w:val="20"/>
                <w:color w:val="auto"/>
              </w:rPr>
            </w:pPr>
            <w:r>
              <w:rPr>
                <w:rFonts w:ascii="Times New Roman" w:cs="Times New Roman" w:eastAsia="Times New Roman" w:hAnsi="Times New Roman"/>
                <w:sz w:val="12"/>
                <w:szCs w:val="12"/>
                <w:color w:val="auto"/>
              </w:rPr>
              <w:t>Computer equipment</w:t>
            </w:r>
          </w:p>
        </w:tc>
        <w:tc>
          <w:tcPr>
            <w:tcW w:w="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1260" w:type="dxa"/>
            <w:vAlign w:val="bottom"/>
          </w:tcPr>
          <w:p>
            <w:pPr>
              <w:jc w:val="right"/>
              <w:ind w:right="541"/>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371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896</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Furniture and fixtures</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12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 1,709</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2"/>
        </w:trPr>
        <w:tc>
          <w:tcPr>
            <w:tcW w:w="2660" w:type="dxa"/>
            <w:vAlign w:val="bottom"/>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2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Shorter of useful life or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8"/>
        </w:trPr>
        <w:tc>
          <w:tcPr>
            <w:tcW w:w="266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1260" w:type="dxa"/>
            <w:vAlign w:val="bottom"/>
          </w:tcPr>
          <w:p>
            <w:pPr>
              <w:jc w:val="right"/>
              <w:ind w:right="261"/>
              <w:spacing w:after="0"/>
              <w:rPr>
                <w:sz w:val="20"/>
                <w:szCs w:val="20"/>
                <w:color w:val="auto"/>
              </w:rPr>
            </w:pPr>
            <w:r>
              <w:rPr>
                <w:rFonts w:ascii="Times New Roman" w:cs="Times New Roman" w:eastAsia="Times New Roman" w:hAnsi="Times New Roman"/>
                <w:sz w:val="12"/>
                <w:szCs w:val="12"/>
                <w:color w:val="auto"/>
              </w:rPr>
              <w:t>lease term</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4"/>
          </w:tcPr>
          <w:p>
            <w:pPr>
              <w:jc w:val="right"/>
              <w:ind w:right="80"/>
              <w:spacing w:after="0"/>
              <w:rPr>
                <w:sz w:val="20"/>
                <w:szCs w:val="20"/>
                <w:color w:val="auto"/>
              </w:rPr>
            </w:pPr>
            <w:r>
              <w:rPr>
                <w:rFonts w:ascii="Times New Roman" w:cs="Times New Roman" w:eastAsia="Times New Roman" w:hAnsi="Times New Roman"/>
                <w:sz w:val="12"/>
                <w:szCs w:val="12"/>
                <w:color w:val="auto"/>
              </w:rPr>
              <w:t>​ ​17,592</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Capitalized software</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12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75</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2660" w:type="dxa"/>
            <w:vAlign w:val="bottom"/>
          </w:tcPr>
          <w:p>
            <w:pPr>
              <w:spacing w:after="0"/>
              <w:rPr>
                <w:sz w:val="20"/>
                <w:szCs w:val="20"/>
                <w:color w:val="auto"/>
              </w:rPr>
            </w:pPr>
            <w:r>
              <w:rPr>
                <w:rFonts w:ascii="Times New Roman" w:cs="Times New Roman" w:eastAsia="Times New Roman" w:hAnsi="Times New Roman"/>
                <w:sz w:val="12"/>
                <w:szCs w:val="12"/>
                <w:color w:val="auto"/>
              </w:rPr>
              <w:t>Construction in progress</w:t>
            </w:r>
          </w:p>
        </w:tc>
        <w:tc>
          <w:tcPr>
            <w:tcW w:w="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1260" w:type="dxa"/>
            <w:vAlign w:val="bottom"/>
          </w:tcPr>
          <w:p>
            <w:pPr>
              <w:jc w:val="right"/>
              <w:ind w:right="541"/>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578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2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property and equipment, gross</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12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​3,037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​23,849</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2660" w:type="dxa"/>
            <w:vAlign w:val="bottom"/>
          </w:tcPr>
          <w:p>
            <w:pPr>
              <w:spacing w:after="0"/>
              <w:rPr>
                <w:sz w:val="20"/>
                <w:szCs w:val="20"/>
                <w:color w:val="auto"/>
              </w:rPr>
            </w:pPr>
            <w:r>
              <w:rPr>
                <w:rFonts w:ascii="Times New Roman" w:cs="Times New Roman" w:eastAsia="Times New Roman" w:hAnsi="Times New Roman"/>
                <w:sz w:val="12"/>
                <w:szCs w:val="12"/>
                <w:color w:val="auto"/>
              </w:rPr>
              <w:t>Less: Accumulated depreciation and amortization</w:t>
            </w:r>
          </w:p>
        </w:tc>
        <w:tc>
          <w:tcPr>
            <w:tcW w:w="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1260" w:type="dxa"/>
            <w:vAlign w:val="bottom"/>
          </w:tcPr>
          <w:p>
            <w:pPr>
              <w:jc w:val="right"/>
              <w:ind w:right="541"/>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4"/>
          </w:tcPr>
          <w:p>
            <w:pPr>
              <w:ind w:left="120"/>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(257)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5"/>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​(1,408) </w:t>
            </w:r>
            <w:r>
              <w:rPr>
                <w:rFonts w:ascii="Times New Roman" w:cs="Times New Roman" w:eastAsia="Times New Roman" w:hAnsi="Times New Roman"/>
                <w:sz w:val="21"/>
                <w:szCs w:val="21"/>
                <w:b w:val="1"/>
                <w:bCs w:val="1"/>
                <w:color w:val="auto"/>
                <w:vertAlign w:val="subscript"/>
              </w:rPr>
              <w:t>​</w:t>
            </w:r>
          </w:p>
        </w:tc>
      </w:tr>
      <w:tr>
        <w:trPr>
          <w:trHeight w:val="20"/>
        </w:trPr>
        <w:tc>
          <w:tcPr>
            <w:tcW w:w="2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2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property and equipment, net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12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4"/>
            <w:shd w:val="clear" w:color="auto" w:fill="CCEEFF"/>
          </w:tcPr>
          <w:p>
            <w:pPr>
              <w:ind w:left="120"/>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2,780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4"/>
            <w:shd w:val="clear" w:color="auto" w:fill="CCEEFF"/>
          </w:tcPr>
          <w:p>
            <w:pPr>
              <w:jc w:val="right"/>
              <w:ind w:right="80"/>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22,441</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7"/>
        </w:trPr>
        <w:tc>
          <w:tcPr>
            <w:tcW w:w="26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-144780</wp:posOffset>
            </wp:positionV>
            <wp:extent cx="353568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53568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-377190</wp:posOffset>
            </wp:positionV>
            <wp:extent cx="353568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535680" cy="571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-1144905</wp:posOffset>
            </wp:positionV>
            <wp:extent cx="93345"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-1144905</wp:posOffset>
            </wp:positionV>
            <wp:extent cx="86995"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699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-1144905</wp:posOffset>
            </wp:positionV>
            <wp:extent cx="1831975"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831975" cy="5715"/>
                    </a:xfrm>
                    <a:prstGeom prst="rect">
                      <a:avLst/>
                    </a:prstGeom>
                    <a:noFill/>
                  </pic:spPr>
                </pic:pic>
              </a:graphicData>
            </a:graphic>
          </wp:anchor>
        </w:drawing>
      </w:r>
    </w:p>
    <w:p>
      <w:pPr>
        <w:spacing w:after="0" w:line="123"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Depreciation and amortization expense was $0.3 million and $1.3 million for the years ended December 31, 2022 and 2023, respectively.</w:t>
      </w:r>
    </w:p>
    <w:p>
      <w:pPr>
        <w:spacing w:after="0" w:line="9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Other Prepaid Expenses and Current Assets</w:t>
      </w:r>
    </w:p>
    <w:p>
      <w:pPr>
        <w:spacing w:after="0" w:line="1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Other prepaid expenses and current assets consist of the following (in thousands):</w:t>
      </w:r>
    </w:p>
    <w:p>
      <w:pPr>
        <w:spacing w:after="0" w:line="119"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December 31,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5"/>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2"/>
              </w:rPr>
              <w:t>December 31,</w:t>
            </w:r>
          </w:p>
        </w:tc>
        <w:tc>
          <w:tcPr>
            <w:tcW w:w="40" w:type="dxa"/>
            <w:vAlign w:val="bottom"/>
          </w:tcPr>
          <w:p>
            <w:pPr>
              <w:spacing w:after="0"/>
              <w:rPr>
                <w:sz w:val="10"/>
                <w:szCs w:val="10"/>
                <w:color w:val="auto"/>
              </w:rPr>
            </w:pPr>
          </w:p>
        </w:tc>
      </w:tr>
      <w:tr>
        <w:trPr>
          <w:trHeight w:val="145"/>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6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receivable</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614</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Prepaid subscriptions</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296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w w:val="99"/>
              </w:rPr>
              <w:t>703</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8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prepaid expenses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gridSpan w:val="2"/>
            <w:shd w:val="clear" w:color="auto" w:fill="CCEEFF"/>
          </w:tcPr>
          <w:p>
            <w:pPr>
              <w:ind w:left="120"/>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502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314</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4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4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other prepaid expenses and current assets</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4"/>
          </w:tcPr>
          <w:p>
            <w:pPr>
              <w:jc w:val="right"/>
              <w:ind w:right="100"/>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1,298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4"/>
                <w:szCs w:val="14"/>
                <w:color w:val="auto"/>
              </w:rPr>
            </w:pPr>
          </w:p>
        </w:tc>
        <w:tc>
          <w:tcPr>
            <w:tcW w:w="460" w:type="dxa"/>
            <w:vAlign w:val="bottom"/>
            <w:gridSpan w:val="4"/>
          </w:tcPr>
          <w:p>
            <w:pPr>
              <w:jc w:val="right"/>
              <w:ind w:right="120"/>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1,631</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-487680</wp:posOffset>
            </wp:positionV>
            <wp:extent cx="3169285"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169285" cy="5715"/>
                    </a:xfrm>
                    <a:prstGeom prst="rect">
                      <a:avLst/>
                    </a:prstGeom>
                    <a:noFill/>
                  </pic:spPr>
                </pic:pic>
              </a:graphicData>
            </a:graphic>
          </wp:anchor>
        </w:drawing>
      </w:r>
    </w:p>
    <w:p>
      <w:pPr>
        <w:spacing w:after="0" w:line="16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Other Accrued Expenses and Current Liabilities</w:t>
      </w:r>
    </w:p>
    <w:p>
      <w:pPr>
        <w:spacing w:after="0" w:line="10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Other accrued expenses and current liabilities consist of the following (in thousands):</w:t>
      </w:r>
    </w:p>
    <w:p>
      <w:pPr>
        <w:spacing w:after="0" w:line="128"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December 31,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4"/>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2"/>
              </w:rPr>
              <w:t>December 31,</w:t>
            </w:r>
          </w:p>
        </w:tc>
        <w:tc>
          <w:tcPr>
            <w:tcW w:w="40" w:type="dxa"/>
            <w:vAlign w:val="bottom"/>
          </w:tcPr>
          <w:p>
            <w:pPr>
              <w:spacing w:after="0"/>
              <w:rPr>
                <w:sz w:val="10"/>
                <w:szCs w:val="10"/>
                <w:color w:val="auto"/>
              </w:rPr>
            </w:pPr>
          </w:p>
        </w:tc>
      </w:tr>
      <w:tr>
        <w:trPr>
          <w:trHeight w:val="145"/>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440" w:type="dxa"/>
            <w:vAlign w:val="bottom"/>
            <w:tcBorders>
              <w:bottom w:val="single" w:sz="8" w:color="auto"/>
            </w:tcBorders>
            <w:gridSpan w:val="2"/>
          </w:tcPr>
          <w:p>
            <w:pPr>
              <w:jc w:val="center"/>
              <w:ind w:left="71"/>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personnel and related expenses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​$3,576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​$5,585</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Accrued professional services</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455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5"/>
                <w:szCs w:val="15"/>
                <w:color w:val="auto"/>
              </w:rPr>
            </w:pPr>
          </w:p>
        </w:tc>
        <w:tc>
          <w:tcPr>
            <w:tcW w:w="46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rPr>
              <w:t>​ ​1,093</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other expenses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gridSpan w:val="2"/>
            <w:shd w:val="clear" w:color="auto" w:fill="CCEEFF"/>
          </w:tcPr>
          <w:p>
            <w:pPr>
              <w:ind w:left="120"/>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512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center"/>
              <w:ind w:right="120"/>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409</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4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4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other accrued expenses and current liabilities</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4"/>
          </w:tcPr>
          <w:p>
            <w:pPr>
              <w:jc w:val="right"/>
              <w:ind w:right="100"/>
              <w:spacing w:after="0" w:line="163"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4,543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4"/>
                <w:szCs w:val="14"/>
                <w:color w:val="auto"/>
              </w:rPr>
            </w:pPr>
          </w:p>
        </w:tc>
        <w:tc>
          <w:tcPr>
            <w:tcW w:w="460" w:type="dxa"/>
            <w:vAlign w:val="bottom"/>
            <w:gridSpan w:val="3"/>
          </w:tcPr>
          <w:p>
            <w:pPr>
              <w:jc w:val="center"/>
              <w:ind w:right="120"/>
              <w:spacing w:after="0" w:line="163"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7,087</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-487680</wp:posOffset>
            </wp:positionV>
            <wp:extent cx="3169285"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169285" cy="5715"/>
                    </a:xfrm>
                    <a:prstGeom prst="rect">
                      <a:avLst/>
                    </a:prstGeom>
                    <a:noFill/>
                  </pic:spPr>
                </pic:pic>
              </a:graphicData>
            </a:graphic>
          </wp:anchor>
        </w:drawing>
      </w:r>
    </w:p>
    <w:p>
      <w:pPr>
        <w:spacing w:after="0" w:line="15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6. Related Party Transactions</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Foresite Labs Services Agreement</w:t>
      </w:r>
    </w:p>
    <w:p>
      <w:pPr>
        <w:spacing w:after="0" w:line="111"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Foresite Labs, LLC (“Foresite Labs”) is an affiliate of Foresite Capital Management, a stockholder of the Company. In January 2021, the Company entered into a services agreement with Foresite Labs, which was amended and restated in August 2021 and in December 2023, and expires in December 2026, unless terminated earlier by the parties. Thereafter, on each anniversary of the effective date, the agreement will automatically</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25" w:name="page226"/>
    <w:bookmarkEnd w:id="225"/>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6. Related Party Transactions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Foresite Labs Services Agreement (Continued)</w:t>
      </w:r>
    </w:p>
    <w:p>
      <w:pPr>
        <w:spacing w:after="0" w:line="157"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renew for an additional one year term, unless terminated earlier by the parties. Foresite Labs provides services to assist the Company in exploring specified immunology genetic targets and general and administrative services. For the years ended December 31, 2022 and 2023, the Company recognized $1.6 million and $1.5 million as research and development expenses under the service agreement, respectively. General and administrative expenses under the service agreement were immaterial. Accrued expenses under the service agreement were $0 and less than $0.1 million as of December 31, 2022 and 2023, respectively.</w:t>
      </w:r>
    </w:p>
    <w:p>
      <w:pPr>
        <w:spacing w:after="0" w:line="27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7. FronThera Acquisition</w:t>
      </w:r>
    </w:p>
    <w:p>
      <w:pPr>
        <w:spacing w:after="0" w:line="102"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 xml:space="preserve">On March 5, 2021, the closing date, the Company entered into a stock purchase agreement to acquire FronThera U.S. Holdings, Inc. and its wholly owned subsidiary, FronThera U.S. Pharmaceuticals LLC (the “FronThera Acquisition”) . For accounting purposes, the transaction was accounted for as an asset acquisition in accordance with ASC 805, </w:t>
      </w:r>
      <w:r>
        <w:rPr>
          <w:rFonts w:ascii="Times New Roman" w:cs="Times New Roman" w:eastAsia="Times New Roman" w:hAnsi="Times New Roman"/>
          <w:sz w:val="12"/>
          <w:szCs w:val="12"/>
          <w:i w:val="1"/>
          <w:iCs w:val="1"/>
          <w:color w:val="auto"/>
        </w:rPr>
        <w:t>Business Combinations</w:t>
      </w:r>
      <w:r>
        <w:rPr>
          <w:rFonts w:ascii="Times New Roman" w:cs="Times New Roman" w:eastAsia="Times New Roman" w:hAnsi="Times New Roman"/>
          <w:sz w:val="12"/>
          <w:szCs w:val="12"/>
          <w:color w:val="auto"/>
        </w:rPr>
        <w:t xml:space="preserve">, and ASC 350, </w:t>
      </w:r>
      <w:r>
        <w:rPr>
          <w:rFonts w:ascii="Times New Roman" w:cs="Times New Roman" w:eastAsia="Times New Roman" w:hAnsi="Times New Roman"/>
          <w:sz w:val="12"/>
          <w:szCs w:val="12"/>
          <w:i w:val="1"/>
          <w:iCs w:val="1"/>
          <w:color w:val="auto"/>
        </w:rPr>
        <w:t>Intangibles — Goodwill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and Other</w:t>
      </w:r>
      <w:r>
        <w:rPr>
          <w:rFonts w:ascii="Times New Roman" w:cs="Times New Roman" w:eastAsia="Times New Roman" w:hAnsi="Times New Roman"/>
          <w:sz w:val="12"/>
          <w:szCs w:val="12"/>
          <w:color w:val="auto"/>
        </w:rPr>
        <w:t>, after considering whether substantially all of the fair value of the gross assets acquired was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concentrated in a single asset or group of assets.</w:t>
      </w:r>
    </w:p>
    <w:p>
      <w:pPr>
        <w:spacing w:after="0" w:line="74"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The purchase consideration included $60.0 million of cash paid at the closing date. The Company is also obligated to pay contingent consideration of up to an aggregate $120.0 million based on the achievement of specified clinical and approval milestones, including up to an aggregate of $70.0 million payable for clinical milestones, and for up to an aggregate of $50.0 million payable for approval milestones, all related to technology acquired under the agreement. The contingent milestones will be recorded when probable to be achieved.</w:t>
      </w:r>
    </w:p>
    <w:p>
      <w:pPr>
        <w:spacing w:after="0" w:line="224"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The in-process research and development asset related solely to acquired ESK-001 and related know-how and intellectual property. The Company concluded that the acquired asset does not have an alternative future use and recognized the full amount as research and development expenses in the consolidated statement of operations and comprehensive loss in March 2021.</w:t>
      </w:r>
    </w:p>
    <w:p>
      <w:pPr>
        <w:spacing w:after="0" w:line="66"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The Company incurred and paid a milestone of $37.0 million in 2022 for the first administration of ESK-001 to a patient enrolled in a Phase 2 clinical trial of ESK-001, which was recorded as research and development expense in the consolidated statement of operations and comprehensive loss for the year ended December 31, 2022. As of December 31, 2022 and 2023, there are no remaining milestones probable and payable.</w:t>
      </w:r>
    </w:p>
    <w:p>
      <w:pPr>
        <w:spacing w:after="0" w:line="26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8. Commitments and Contingent Liabilities</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Operating Leases</w:t>
      </w:r>
    </w:p>
    <w:p>
      <w:pPr>
        <w:spacing w:after="0" w:line="111"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In 2021, the Company entered into a lease agreement for 14,000 square feet of office space in South San Francisco, California, which commenced in August 2021 and had a contractual termination date of September 2024. In September 2023, the Company abandoned this right-of-use asset as it had moved to its new office space described below; the Company recognized a loss on this abandonment in the amount of $0.6 million.</w:t>
      </w:r>
    </w:p>
    <w:p>
      <w:pPr>
        <w:spacing w:after="0" w:line="224"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color w:val="auto"/>
        </w:rPr>
        <w:t>In January 2022, the Company entered into a lease agreement for 12,000 square feet of office and laboratory space in South San Francisco, California, that commenced in July 2022 and had a contractual termination date of July 2029. This lease contained an early termination option, allowing the Company to terminate this lease before the expiry of the lease term. The Company concluded the lease term for accounting purposes ended in August 2023. In April 2023, this lease was modified to reduce the contractual lease term to terminate in October 2023. The accounting impact of the modification was not material.</w:t>
      </w:r>
    </w:p>
    <w:p>
      <w:pPr>
        <w:spacing w:after="0" w:line="67" w:lineRule="exact"/>
        <w:rPr>
          <w:sz w:val="20"/>
          <w:szCs w:val="20"/>
          <w:color w:val="auto"/>
        </w:rPr>
      </w:pPr>
    </w:p>
    <w:p>
      <w:pPr>
        <w:jc w:val="both"/>
        <w:ind w:left="1720" w:right="1739"/>
        <w:spacing w:after="0" w:line="283" w:lineRule="auto"/>
        <w:rPr>
          <w:sz w:val="20"/>
          <w:szCs w:val="20"/>
          <w:color w:val="auto"/>
        </w:rPr>
      </w:pPr>
      <w:r>
        <w:rPr>
          <w:rFonts w:ascii="Times New Roman" w:cs="Times New Roman" w:eastAsia="Times New Roman" w:hAnsi="Times New Roman"/>
          <w:sz w:val="12"/>
          <w:szCs w:val="12"/>
          <w:color w:val="auto"/>
        </w:rPr>
        <w:t>In August 2022, the Company entered into a lease agreement for 55,000 square feet of additional office and laboratory space in South San Francisco, California, which commenced in January 2023 and has a contractual</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26" w:name="page227"/>
    <w:bookmarkEnd w:id="22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8. Commitments and Contingent Liabilities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Operating Leases (Continued)</w:t>
      </w:r>
    </w:p>
    <w:p>
      <w:pPr>
        <w:spacing w:after="0" w:line="157" w:lineRule="exact"/>
        <w:rPr>
          <w:sz w:val="20"/>
          <w:szCs w:val="20"/>
          <w:color w:val="auto"/>
        </w:rPr>
      </w:pPr>
    </w:p>
    <w:p>
      <w:pPr>
        <w:jc w:val="both"/>
        <w:ind w:left="1720" w:right="1739"/>
        <w:spacing w:after="0" w:line="268" w:lineRule="auto"/>
        <w:rPr>
          <w:sz w:val="20"/>
          <w:szCs w:val="20"/>
          <w:color w:val="auto"/>
        </w:rPr>
      </w:pPr>
      <w:r>
        <w:rPr>
          <w:rFonts w:ascii="Times New Roman" w:cs="Times New Roman" w:eastAsia="Times New Roman" w:hAnsi="Times New Roman"/>
          <w:sz w:val="12"/>
          <w:szCs w:val="12"/>
          <w:color w:val="auto"/>
        </w:rPr>
        <w:t>termination date in August 2033. The Company constructed leasehold improvements in the space, which were concluded to be lessee assets. The lessor provided the Company a tenant improvement allowance of $17.2 million, of which $0.5 million and $16.7 million was received and was accounted for as a reduction to lease payments for the years ended December 31, 2022 and 2023, respectively. At the commencement date, future lease payments totaled $37.9 million, including $54.6 million in gross fixed payments less $16.7 million in lease incentives expected to be received during the first year of the lease. The lease liability at lease commencement was calculated to be $14.1 million, which is equal to the present value of the future lease payments, discounted at the incremental borrowing rate of 11.4%. Following the commencement date, the Company measured its lease liability and right-of-use asset in accordance with ASC 842-20-35-3. In accordance with this guidance, future lease payments increased as the $16.7 million incentive was received and future gross fixed payments were no longer offset by these incentives. The Company recorded the leasehold improvements in property and equipment, net in the consolidated balance sheet as of December 31, 2022 and 2023. The lease agreement also includes a renewal option allowing the Company to extend this lease for an additional three years at the prevailing rental rate, which the Company was not reasonably certain to exercise.</w:t>
      </w:r>
    </w:p>
    <w:p>
      <w:pPr>
        <w:spacing w:after="0" w:line="233" w:lineRule="exact"/>
        <w:rPr>
          <w:sz w:val="20"/>
          <w:szCs w:val="20"/>
          <w:color w:val="auto"/>
        </w:rPr>
      </w:pPr>
    </w:p>
    <w:p>
      <w:pPr>
        <w:jc w:val="both"/>
        <w:ind w:left="1720" w:right="1739"/>
        <w:spacing w:after="0" w:line="282" w:lineRule="auto"/>
        <w:rPr>
          <w:sz w:val="20"/>
          <w:szCs w:val="20"/>
          <w:color w:val="auto"/>
        </w:rPr>
      </w:pPr>
      <w:r>
        <w:rPr>
          <w:rFonts w:ascii="Times New Roman" w:cs="Times New Roman" w:eastAsia="Times New Roman" w:hAnsi="Times New Roman"/>
          <w:sz w:val="12"/>
          <w:szCs w:val="12"/>
          <w:color w:val="auto"/>
        </w:rPr>
        <w:t>The Company maintains letters of credit on these leases in the amount of $1.3 million and $1.1 million at December 31, 2022 and 2023, respectively. The lease letters of credit are reflected on the Company’s consolidated balance sheets in restricted cash, current and restricted cash, noncurrent as of December 31, 2022 and 2023.</w:t>
      </w:r>
    </w:p>
    <w:p>
      <w:pPr>
        <w:spacing w:after="0" w:line="2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The components of lease costs were as follows (in thousands):</w:t>
      </w:r>
    </w:p>
    <w:p>
      <w:pPr>
        <w:spacing w:after="0" w:line="119"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89"/>
              </w:rPr>
              <w:t>Year Ended</w:t>
            </w:r>
          </w:p>
        </w:tc>
        <w:tc>
          <w:tcPr>
            <w:tcW w:w="40" w:type="dxa"/>
            <w:vAlign w:val="bottom"/>
          </w:tcPr>
          <w:p>
            <w:pPr>
              <w:spacing w:after="0"/>
              <w:rPr>
                <w:sz w:val="10"/>
                <w:szCs w:val="10"/>
                <w:color w:val="auto"/>
              </w:rPr>
            </w:pPr>
          </w:p>
        </w:tc>
      </w:tr>
      <w:tr>
        <w:trPr>
          <w:trHeight w:val="110"/>
        </w:trPr>
        <w:tc>
          <w:tcPr>
            <w:tcW w:w="26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tcPr>
          <w:p>
            <w:pPr>
              <w:jc w:val="center"/>
              <w:ind w:right="20"/>
              <w:spacing w:after="0" w:line="110"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40" w:type="dxa"/>
            <w:vAlign w:val="bottom"/>
          </w:tcPr>
          <w:p>
            <w:pPr>
              <w:spacing w:after="0"/>
              <w:rPr>
                <w:sz w:val="9"/>
                <w:szCs w:val="9"/>
                <w:color w:val="auto"/>
              </w:rPr>
            </w:pPr>
          </w:p>
        </w:tc>
      </w:tr>
      <w:tr>
        <w:trPr>
          <w:trHeight w:val="145"/>
        </w:trPr>
        <w:tc>
          <w:tcPr>
            <w:tcW w:w="2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580" w:type="dxa"/>
            <w:vAlign w:val="bottom"/>
            <w:tcBorders>
              <w:bottom w:val="single" w:sz="8" w:color="CCEEFF"/>
            </w:tcBorders>
          </w:tcPr>
          <w:p>
            <w:pPr>
              <w:ind w:left="15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60" w:type="dxa"/>
            <w:vAlign w:val="bottom"/>
            <w:tcBorders>
              <w:bottom w:val="single" w:sz="8" w:color="auto"/>
            </w:tcBorders>
            <w:gridSpan w:val="2"/>
          </w:tcPr>
          <w:p>
            <w:pPr>
              <w:jc w:val="center"/>
              <w:ind w:left="88"/>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Borders>
              <w:bottom w:val="single" w:sz="8" w:color="auto"/>
            </w:tcBorders>
            <w:gridSpan w:val="2"/>
          </w:tcPr>
          <w:p>
            <w:pPr>
              <w:jc w:val="center"/>
              <w:ind w:left="68"/>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120" w:type="dxa"/>
            <w:vAlign w:val="bottom"/>
            <w:tcBorders>
              <w:bottom w:val="single" w:sz="8" w:color="auto"/>
            </w:tcBorders>
          </w:tcPr>
          <w:p>
            <w:pPr>
              <w:spacing w:after="0"/>
              <w:rPr>
                <w:sz w:val="12"/>
                <w:szCs w:val="1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costs</w:t>
            </w:r>
          </w:p>
        </w:tc>
        <w:tc>
          <w:tcPr>
            <w:tcW w:w="158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5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​$1,074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auto"/>
              </w:rPr>
              <w:t>​$4,747</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Variable lease costs</w:t>
            </w:r>
          </w:p>
        </w:tc>
        <w:tc>
          <w:tcPr>
            <w:tcW w:w="1580" w:type="dxa"/>
            <w:vAlign w:val="bottom"/>
          </w:tcPr>
          <w:p>
            <w:pPr>
              <w:ind w:left="15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56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121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tcPr>
          <w:p>
            <w:pPr>
              <w:jc w:val="center"/>
              <w:ind w:right="20"/>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545</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6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lease costs</w:t>
            </w:r>
          </w:p>
        </w:tc>
        <w:tc>
          <w:tcPr>
            <w:tcW w:w="158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560" w:type="dxa"/>
            <w:vAlign w:val="bottom"/>
            <w:gridSpan w:val="3"/>
            <w:shd w:val="clear" w:color="auto" w:fill="CCEEFF"/>
          </w:tcPr>
          <w:p>
            <w:pPr>
              <w:jc w:val="center"/>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1,195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jc w:val="center"/>
              <w:ind w:right="20"/>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5,292</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7"/>
        </w:trPr>
        <w:tc>
          <w:tcPr>
            <w:tcW w:w="26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-144780</wp:posOffset>
            </wp:positionV>
            <wp:extent cx="3535680"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53568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-377190</wp:posOffset>
            </wp:positionV>
            <wp:extent cx="3169285"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169285" cy="5715"/>
                    </a:xfrm>
                    <a:prstGeom prst="rect">
                      <a:avLst/>
                    </a:prstGeom>
                    <a:noFill/>
                  </pic:spPr>
                </pic:pic>
              </a:graphicData>
            </a:graphic>
          </wp:anchor>
        </w:drawing>
      </w:r>
    </w:p>
    <w:p>
      <w:pPr>
        <w:spacing w:after="0" w:line="14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Supplemental cash flow information related to the operating leases were as follows (in thousands):</w:t>
      </w:r>
    </w:p>
    <w:p>
      <w:pPr>
        <w:spacing w:after="0" w:line="128"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40" w:type="dxa"/>
            <w:vAlign w:val="bottom"/>
          </w:tcPr>
          <w:p>
            <w:pPr>
              <w:spacing w:after="0"/>
              <w:rPr>
                <w:sz w:val="10"/>
                <w:szCs w:val="10"/>
                <w:color w:val="auto"/>
              </w:rPr>
            </w:pPr>
          </w:p>
        </w:tc>
      </w:tr>
      <w:tr>
        <w:trPr>
          <w:trHeight w:val="110"/>
        </w:trPr>
        <w:tc>
          <w:tcPr>
            <w:tcW w:w="3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40" w:type="dxa"/>
            <w:vAlign w:val="bottom"/>
          </w:tcPr>
          <w:p>
            <w:pPr>
              <w:spacing w:after="0"/>
              <w:rPr>
                <w:sz w:val="9"/>
                <w:szCs w:val="9"/>
                <w:color w:val="auto"/>
              </w:rPr>
            </w:pPr>
          </w:p>
        </w:tc>
      </w:tr>
      <w:tr>
        <w:trPr>
          <w:trHeight w:val="145"/>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0"/>
                <w:szCs w:val="10"/>
                <w:b w:val="1"/>
                <w:bCs w:val="1"/>
                <w:color w:val="auto"/>
              </w:rPr>
              <w:t>​ ​</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2022</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payments included in the measurement of operating lease liabilities</w:t>
            </w:r>
          </w:p>
        </w:tc>
        <w:tc>
          <w:tcPr>
            <w:tcW w:w="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​$1,111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​$2,903</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-115570</wp:posOffset>
            </wp:positionV>
            <wp:extent cx="3175000"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175000" cy="5715"/>
                    </a:xfrm>
                    <a:prstGeom prst="rect">
                      <a:avLst/>
                    </a:prstGeom>
                    <a:noFill/>
                  </pic:spPr>
                </pic:pic>
              </a:graphicData>
            </a:graphic>
          </wp:anchor>
        </w:drawing>
      </w:r>
    </w:p>
    <w:p>
      <w:pPr>
        <w:spacing w:after="0" w:line="77" w:lineRule="exact"/>
        <w:rPr>
          <w:sz w:val="20"/>
          <w:szCs w:val="20"/>
          <w:color w:val="auto"/>
        </w:rPr>
      </w:pPr>
    </w:p>
    <w:p>
      <w:pPr>
        <w:ind w:left="1720" w:right="1739"/>
        <w:spacing w:after="0" w:line="273" w:lineRule="auto"/>
        <w:rPr>
          <w:sz w:val="20"/>
          <w:szCs w:val="20"/>
          <w:color w:val="auto"/>
        </w:rPr>
      </w:pPr>
      <w:r>
        <w:rPr>
          <w:rFonts w:ascii="Times New Roman" w:cs="Times New Roman" w:eastAsia="Times New Roman" w:hAnsi="Times New Roman"/>
          <w:sz w:val="12"/>
          <w:szCs w:val="12"/>
          <w:color w:val="auto"/>
        </w:rPr>
        <w:t>Weighted-average remaining lease term and incremental borrowing rate for the operating leases were as follows:</w:t>
      </w:r>
    </w:p>
    <w:p>
      <w:pPr>
        <w:sectPr>
          <w:pgSz w:w="11900" w:h="16838" w:orient="portrait"/>
          <w:cols w:equalWidth="0" w:num="1">
            <w:col w:w="9019"/>
          </w:cols>
          <w:pgMar w:left="1440" w:top="106" w:right="1440" w:bottom="1440" w:gutter="0" w:footer="0" w:header="0"/>
        </w:sectPr>
      </w:pPr>
    </w:p>
    <w:p>
      <w:pPr>
        <w:spacing w:after="0" w:line="3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6985</wp:posOffset>
            </wp:positionV>
            <wp:extent cx="3535680" cy="1162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Weighted-average remaining lease term (years)</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Weighted-average incremental borrowing rate</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0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w w:val="89"/>
              </w:rPr>
              <w:t>December 31,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December 31,</w:t>
            </w:r>
          </w:p>
        </w:tc>
        <w:tc>
          <w:tcPr>
            <w:tcW w:w="40" w:type="dxa"/>
            <w:vAlign w:val="bottom"/>
          </w:tcPr>
          <w:p>
            <w:pPr>
              <w:spacing w:after="0"/>
              <w:rPr>
                <w:sz w:val="10"/>
                <w:szCs w:val="10"/>
                <w:color w:val="auto"/>
              </w:rPr>
            </w:pPr>
          </w:p>
        </w:tc>
      </w:tr>
      <w:tr>
        <w:trPr>
          <w:trHeight w:val="145"/>
        </w:trPr>
        <w:tc>
          <w:tcPr>
            <w:tcW w:w="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5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Borders>
              <w:bottom w:val="single" w:sz="8" w:color="auto"/>
            </w:tcBorders>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5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8"/>
        </w:trPr>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9.5</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7"/>
        </w:trPr>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6.7%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11.4%</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bl>
    <w:p>
      <w:pPr>
        <w:spacing w:after="0" w:line="200" w:lineRule="exact"/>
        <w:rPr>
          <w:sz w:val="20"/>
          <w:szCs w:val="20"/>
          <w:color w:val="auto"/>
        </w:rPr>
      </w:pPr>
    </w:p>
    <w:p>
      <w:pPr>
        <w:sectPr>
          <w:pgSz w:w="11900" w:h="16838" w:orient="portrait"/>
          <w:cols w:equalWidth="0" w:num="2">
            <w:col w:w="5160" w:space="720"/>
            <w:col w:w="3139"/>
          </w:cols>
          <w:pgMar w:left="1440" w:top="106" w:right="1440"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227" w:name="page228"/>
    <w:bookmarkEnd w:id="22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8. Commitments and Contingent Liabilities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Operating Leases (Continued)</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Future minimum lease payments under non-cancelable leases as of December 31, 2023 were as detailed</w:t>
      </w:r>
    </w:p>
    <w:p>
      <w:pPr>
        <w:sectPr>
          <w:pgSz w:w="11900" w:h="16838" w:orient="portrait"/>
          <w:cols w:equalWidth="0" w:num="1">
            <w:col w:w="9019"/>
          </w:cols>
          <w:pgMar w:left="1440" w:top="105" w:right="1440" w:bottom="1440" w:gutter="0" w:footer="0" w:header="0"/>
        </w:sectPr>
      </w:pP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below (in thousands):</w:t>
      </w:r>
    </w:p>
    <w:p>
      <w:pPr>
        <w:spacing w:after="0" w:line="9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-73025</wp:posOffset>
            </wp:positionV>
            <wp:extent cx="3535680" cy="8128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535680" cy="81280"/>
                    </a:xfrm>
                    <a:prstGeom prst="rect">
                      <a:avLst/>
                    </a:prstGeom>
                    <a:noFill/>
                  </pic:spPr>
                </pic:pic>
              </a:graphicData>
            </a:graphic>
          </wp:anchor>
        </w:drawing>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535680" cy="1104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535680" cy="11049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2026​</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535680" cy="1104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535680" cy="11049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2028​</w:t>
      </w:r>
    </w:p>
    <w:p>
      <w:pPr>
        <w:ind w:left="1720"/>
        <w:spacing w:after="0" w:line="190" w:lineRule="auto"/>
        <w:rPr>
          <w:sz w:val="20"/>
          <w:szCs w:val="20"/>
          <w:color w:val="auto"/>
        </w:rPr>
      </w:pPr>
      <w:r>
        <w:rPr>
          <w:rFonts w:ascii="Times New Roman" w:cs="Times New Roman" w:eastAsia="Times New Roman" w:hAnsi="Times New Roman"/>
          <w:sz w:val="12"/>
          <w:szCs w:val="12"/>
          <w:color w:val="auto"/>
        </w:rPr>
        <w:t>2029</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color w:val="auto"/>
        </w:rPr>
        <w:t xml:space="preserve">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-10160</wp:posOffset>
            </wp:positionV>
            <wp:extent cx="3535680" cy="1162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2"/>
          <w:szCs w:val="12"/>
          <w:color w:val="auto"/>
        </w:rPr>
        <w:t>Total​ undiscounted lease payments</w:t>
      </w:r>
    </w:p>
    <w:p>
      <w:pPr>
        <w:ind w:left="1720"/>
        <w:spacing w:after="0" w:line="193" w:lineRule="auto"/>
        <w:rPr>
          <w:sz w:val="20"/>
          <w:szCs w:val="20"/>
          <w:color w:val="auto"/>
        </w:rPr>
      </w:pPr>
      <w:r>
        <w:rPr>
          <w:rFonts w:ascii="Times New Roman" w:cs="Times New Roman" w:eastAsia="Times New Roman" w:hAnsi="Times New Roman"/>
          <w:sz w:val="12"/>
          <w:szCs w:val="12"/>
          <w:color w:val="auto"/>
        </w:rPr>
        <w:t>Less:</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color w:val="auto"/>
        </w:rPr>
        <w:t xml:space="preserve">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-10160</wp:posOffset>
            </wp:positionV>
            <wp:extent cx="3535680" cy="133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535680" cy="133985"/>
                    </a:xfrm>
                    <a:prstGeom prst="rect">
                      <a:avLst/>
                    </a:prstGeom>
                    <a:noFill/>
                  </pic:spPr>
                </pic:pic>
              </a:graphicData>
            </a:graphic>
          </wp:anchor>
        </w:drawing>
      </w:r>
    </w:p>
    <w:p>
      <w:pPr>
        <w:ind w:left="1720"/>
        <w:spacing w:after="0" w:line="183" w:lineRule="auto"/>
        <w:rPr>
          <w:sz w:val="20"/>
          <w:szCs w:val="20"/>
          <w:color w:val="auto"/>
        </w:rPr>
      </w:pPr>
      <w:r>
        <w:rPr>
          <w:rFonts w:ascii="Times New Roman" w:cs="Times New Roman" w:eastAsia="Times New Roman" w:hAnsi="Times New Roman"/>
          <w:sz w:val="12"/>
          <w:szCs w:val="12"/>
          <w:color w:val="auto"/>
        </w:rPr>
        <w:t>Total</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color w:val="auto"/>
        </w:rPr>
        <w:t xml:space="preserve"> operating lease liabilities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2"/>
          <w:szCs w:val="12"/>
          <w:color w:val="auto"/>
        </w:rPr>
        <w:t>​ ​​$</w:t>
        <w:tab/>
        <w:t>5,269​</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 ​  4,962​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 ​  5,128​</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 ​  5,299​</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 ​  5,477​</w:t>
      </w:r>
    </w:p>
    <w:p>
      <w:pPr>
        <w:spacing w:after="0" w:line="190" w:lineRule="auto"/>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24"/>
          <w:szCs w:val="24"/>
          <w:u w:val="single" w:color="auto"/>
          <w:color w:val="auto"/>
          <w:vertAlign w:val="subscript"/>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 27,526</w:t>
      </w:r>
      <w:r>
        <w:rPr>
          <w:rFonts w:ascii="Times New Roman" w:cs="Times New Roman" w:eastAsia="Times New Roman" w:hAnsi="Times New Roman"/>
          <w:sz w:val="24"/>
          <w:szCs w:val="24"/>
          <w:color w:val="auto"/>
          <w:vertAlign w:val="subscript"/>
        </w:rPr>
        <w: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 ​ 53,661​</w:t>
      </w:r>
    </w:p>
    <w:p>
      <w:pPr>
        <w:ind w:left="80" w:hanging="70"/>
        <w:spacing w:after="0" w:line="193" w:lineRule="auto"/>
        <w:tabs>
          <w:tab w:leader="none" w:pos="80" w:val="left"/>
        </w:tabs>
        <w:numPr>
          <w:ilvl w:val="0"/>
          <w:numId w:val="135"/>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24"/>
          <w:szCs w:val="24"/>
          <w:u w:val="single" w:color="auto"/>
          <w:color w:val="auto"/>
          <w:vertAlign w:val="subscript"/>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​(21,081</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color w:val="auto"/>
        </w:rPr>
        <w:t>)</w:t>
      </w:r>
    </w:p>
    <w:p>
      <w:pPr>
        <w:ind w:left="80" w:hanging="70"/>
        <w:spacing w:after="0" w:line="183" w:lineRule="auto"/>
        <w:tabs>
          <w:tab w:leader="none" w:pos="80" w:val="left"/>
        </w:tabs>
        <w:numPr>
          <w:ilvl w:val="0"/>
          <w:numId w:val="135"/>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24"/>
          <w:szCs w:val="24"/>
          <w:u w:val="single" w:color="auto"/>
          <w:color w:val="auto"/>
          <w:vertAlign w:val="subscript"/>
        </w:rPr>
        <w:t>​</w:t>
      </w:r>
      <w:r>
        <w:rPr>
          <w:rFonts w:ascii="Times New Roman" w:cs="Times New Roman" w:eastAsia="Times New Roman" w:hAnsi="Times New Roman"/>
          <w:sz w:val="12"/>
          <w:szCs w:val="12"/>
          <w:u w:val="single" w:color="auto"/>
          <w:color w:val="auto"/>
        </w:rPr>
        <w:t>$ 32,580</w:t>
      </w:r>
      <w:r>
        <w:rPr>
          <w:rFonts w:ascii="Times New Roman" w:cs="Times New Roman" w:eastAsia="Times New Roman" w:hAnsi="Times New Roman"/>
          <w:sz w:val="24"/>
          <w:szCs w:val="24"/>
          <w:color w:val="auto"/>
          <w:vertAlign w:val="subscript"/>
        </w:rPr>
        <w:t>​</w:t>
      </w:r>
    </w:p>
    <w:p>
      <w:pPr>
        <w:spacing w:after="0" w:line="169" w:lineRule="exact"/>
        <w:rPr>
          <w:sz w:val="20"/>
          <w:szCs w:val="20"/>
          <w:color w:val="auto"/>
        </w:rPr>
      </w:pPr>
    </w:p>
    <w:p>
      <w:pPr>
        <w:sectPr>
          <w:pgSz w:w="11900" w:h="16838" w:orient="portrait"/>
          <w:cols w:equalWidth="0" w:num="2">
            <w:col w:w="6000" w:space="720"/>
            <w:col w:w="2299"/>
          </w:cols>
          <w:pgMar w:left="1440" w:top="105" w:right="1440"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FronThera Contingent Consideration</w:t>
      </w:r>
    </w:p>
    <w:p>
      <w:pPr>
        <w:spacing w:after="0" w:line="102"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The Company is obligated to pay milestones contingent on the achievement of specified clinical, regulatory and commercialization milestones under the Fronthera Acquisition (Note 7). No remaining milestones were achieved or probable as of December 31, 2022 and 2023.</w:t>
      </w:r>
    </w:p>
    <w:p>
      <w:pPr>
        <w:spacing w:after="0" w:line="1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Agreements</w:t>
      </w:r>
    </w:p>
    <w:p>
      <w:pPr>
        <w:spacing w:after="0" w:line="111"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The Company enters into various agreements in the ordinary course of business, such as those with suppliers, CROs, CMOs and clinical trial sites. These agreements provide for termination at the request of either party, generally with less than one-year notice and are, therefore, cancellable contracts and, if cancelled, are not anticipated to have a material effect on the Company’s financial condition, results of operations, or cash flows.</w:t>
      </w:r>
    </w:p>
    <w:p>
      <w:pPr>
        <w:spacing w:after="0" w:line="26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Legal Contingencies</w:t>
      </w:r>
    </w:p>
    <w:p>
      <w:pPr>
        <w:spacing w:after="0" w:line="102" w:lineRule="exact"/>
        <w:rPr>
          <w:sz w:val="20"/>
          <w:szCs w:val="20"/>
          <w:color w:val="auto"/>
        </w:rPr>
      </w:pPr>
    </w:p>
    <w:p>
      <w:pPr>
        <w:jc w:val="both"/>
        <w:ind w:left="1720" w:right="1739"/>
        <w:spacing w:after="0" w:line="253" w:lineRule="auto"/>
        <w:rPr>
          <w:sz w:val="20"/>
          <w:szCs w:val="20"/>
          <w:color w:val="auto"/>
        </w:rPr>
      </w:pPr>
      <w:r>
        <w:rPr>
          <w:rFonts w:ascii="Times New Roman" w:cs="Times New Roman" w:eastAsia="Times New Roman" w:hAnsi="Times New Roman"/>
          <w:sz w:val="12"/>
          <w:szCs w:val="12"/>
          <w:color w:val="auto"/>
        </w:rPr>
        <w:t>From time to time, the Company may become involved in legal proceedings arising from the ordinary course of business. The Company records a liability for such matters when it is probable that future losses will be incurred and that such losses can be reasonably estimated. Significant judgment by the Company is required to determine both probability and the estimated amount. Management is currently not aware of any legal matters that could have a material adverse effect on the Company’s financial position, results of operations or cash flows.</w:t>
      </w:r>
    </w:p>
    <w:p>
      <w:pPr>
        <w:spacing w:after="0" w:line="26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Guarantees and Indemnifications</w:t>
      </w:r>
    </w:p>
    <w:p>
      <w:pPr>
        <w:spacing w:after="0" w:line="102"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In the normal course of business, the Company enters into agreements that contain a variety of representations and provide for general indemnification. Its exposure under these agreements is unknown because it involves claims that may be made against the Company in the future. To the extent permitted under Delaware law, the Company has agreed to indemnify its directors and officers for certain events or occurrences while the director or officer is, or was serving, at a request in such capacity. To date, the Company has not paid any claims or been required to defend any action related to its indemnification obligations. As of December 31, 2022 and 2023, the Company did not have any material indemnification claims that were probable or reasonably possible and consequently has not recorded related liabilities.</w:t>
      </w:r>
    </w:p>
    <w:p>
      <w:pPr>
        <w:spacing w:after="0" w:line="1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9. Redeemable Convertible Preferred Stock</w:t>
      </w:r>
    </w:p>
    <w:p>
      <w:pPr>
        <w:spacing w:after="0" w:line="102"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In January 2022, the Company issued and sold an aggregate of 20,000,000 shares of Series B redeemable convertible preferred stock at a price of $5.00 per share for gross cash proceeds of $100.0 million and incurred $0.1 million of issuance costs.</w:t>
      </w: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228" w:name="page229"/>
    <w:bookmarkEnd w:id="22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9. Redeemable Convertible Preferred Stock (Continued)</w:t>
      </w:r>
    </w:p>
    <w:p>
      <w:pPr>
        <w:spacing w:after="0" w:line="157"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In May 2023, the Company issued and sold an aggregate of 10,722,340 shares of Series B-2 redeemable convertible preferred stock for gross cash proceeds of $53.6 million and 1,277,660 shares of Series B-2A redeemable convertible preferred stock for gross proceeds of $6.4 million and incurred $0.2 million of issuance costs. The purchase price for Series B-2 and B-2A redeemable convertible preferred stock was $5.00 per share. The Series B-2 and Series B-2A stock purchase agreement contains an obligation to issue additional shares of Series B-2 or Series B-2A redeemable convertible preferred stock in a second tranche closing by October 2023 (Second Tranche Closing) upon the occurrence of certain events, including the board of directors’ consent. The Company recognized this call option as a derivative liability and estimated its fair value of $2.1 million.</w:t>
      </w:r>
    </w:p>
    <w:p>
      <w:pPr>
        <w:spacing w:after="0" w:line="228"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In July 2023, the holders of the shares of Series B-2A redeemable convertible preferred stock elected to convert its 1,277,660 shares into the same number of Series B-2 redeemable convertible preferred stock.</w:t>
      </w:r>
    </w:p>
    <w:p>
      <w:pPr>
        <w:spacing w:after="0" w:line="59" w:lineRule="exact"/>
        <w:rPr>
          <w:sz w:val="20"/>
          <w:szCs w:val="20"/>
          <w:color w:val="auto"/>
        </w:rPr>
      </w:pPr>
    </w:p>
    <w:p>
      <w:pPr>
        <w:jc w:val="both"/>
        <w:ind w:left="1720" w:right="1739"/>
        <w:spacing w:after="0" w:line="261" w:lineRule="auto"/>
        <w:rPr>
          <w:sz w:val="20"/>
          <w:szCs w:val="20"/>
          <w:color w:val="auto"/>
        </w:rPr>
      </w:pPr>
      <w:r>
        <w:rPr>
          <w:rFonts w:ascii="Times New Roman" w:cs="Times New Roman" w:eastAsia="Times New Roman" w:hAnsi="Times New Roman"/>
          <w:sz w:val="12"/>
          <w:szCs w:val="12"/>
          <w:color w:val="auto"/>
        </w:rPr>
        <w:t>In October 2023, the Company closed the Second Tranche Closing and issued an additional 4,221,170 shares of Series B-2 redeemable convertible preferred stock and 1,778,830 shares of Series B-2A redeemable convertible preferred stock at a price of $5.00 per share and received gross proceeds of $21.1 million and $8.9 million, respectively. Accordingly, the derivative liability was settled, and the Company reclassified the derivative liability, remeasured at fair value of $2.2 million, into redeemable convertible preferred stock. The Company incurred less than $0.1 million of issuance costs in connection with the Second Tranche Closing.</w:t>
      </w:r>
    </w:p>
    <w:p>
      <w:pPr>
        <w:spacing w:after="0" w:line="217"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color w:val="auto"/>
        </w:rPr>
        <w:t>The Series Seed and Series A redeemable convertible preferred stock are collectively referred to as the “Junior Redeemable Convertible Preferred Stock”. The Series B, Series B-1, Series B-2 and Series B-2A redeemable convertible preferred stock are collectively referred to as the “Senior Redeemable Convertible Preferred Stock”.</w:t>
      </w:r>
    </w:p>
    <w:p>
      <w:pPr>
        <w:spacing w:after="0" w:line="2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The Company’s redeemable convertible preferred stock as of each period, consisted of the following:</w:t>
      </w:r>
    </w:p>
    <w:p>
      <w:pPr>
        <w:sectPr>
          <w:pgSz w:w="11900" w:h="16838" w:orient="portrait"/>
          <w:cols w:equalWidth="0" w:num="1">
            <w:col w:w="9019"/>
          </w:cols>
          <w:pgMar w:left="1440" w:top="106" w:right="1440" w:bottom="1440" w:gutter="0" w:footer="0" w:header="0"/>
        </w:sectPr>
      </w:pPr>
    </w:p>
    <w:p>
      <w:pPr>
        <w:spacing w:after="0" w:line="14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7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5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Seed redeemable convertible preferred stock</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A redeemable convertible preferred stock</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B redeemable convertible preferred stock</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B-1 redeemable convertible preferred stock</w:t>
      </w:r>
    </w:p>
    <w:p>
      <w:pPr>
        <w:spacing w:after="0" w:line="6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Total redeemable convertible preferred stock</w:t>
      </w:r>
    </w:p>
    <w:p>
      <w:pPr>
        <w:spacing w:after="0" w:line="24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7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5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Seed redeemable convertible preferred stock</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A redeemable convertible preferred stock</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B redeemable convertible preferred stock</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B-1 redeemable convertible preferred stock</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B-2 redeemable convertible preferred stock</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B-2A redeemable convertible preferred stock</w:t>
      </w:r>
    </w:p>
    <w:p>
      <w:pPr>
        <w:spacing w:after="0" w:line="6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Total redeemable convertible preferred stock</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December 31, 2022</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3"/>
          </w:tcPr>
          <w:p>
            <w:pPr>
              <w:jc w:val="center"/>
              <w:ind w:right="40"/>
              <w:spacing w:after="0" w:line="110" w:lineRule="exact"/>
              <w:rPr>
                <w:sz w:val="20"/>
                <w:szCs w:val="20"/>
                <w:color w:val="auto"/>
              </w:rPr>
            </w:pPr>
            <w:r>
              <w:rPr>
                <w:rFonts w:ascii="Times New Roman" w:cs="Times New Roman" w:eastAsia="Times New Roman" w:hAnsi="Times New Roman"/>
                <w:sz w:val="10"/>
                <w:szCs w:val="10"/>
                <w:b w:val="1"/>
                <w:bCs w:val="1"/>
                <w:color w:val="auto"/>
                <w:w w:val="95"/>
              </w:rPr>
              <w:t>Shares Issued</w:t>
            </w:r>
          </w:p>
        </w:tc>
        <w:tc>
          <w:tcPr>
            <w:tcW w:w="60" w:type="dxa"/>
            <w:vAlign w:val="bottom"/>
          </w:tcPr>
          <w:p>
            <w:pPr>
              <w:spacing w:after="0"/>
              <w:rPr>
                <w:sz w:val="9"/>
                <w:szCs w:val="9"/>
                <w:color w:val="auto"/>
              </w:rPr>
            </w:pPr>
          </w:p>
        </w:tc>
        <w:tc>
          <w:tcPr>
            <w:tcW w:w="500" w:type="dxa"/>
            <w:vAlign w:val="bottom"/>
            <w:gridSpan w:val="3"/>
          </w:tcPr>
          <w:p>
            <w:pPr>
              <w:jc w:val="center"/>
              <w:ind w:right="20"/>
              <w:spacing w:after="0" w:line="110" w:lineRule="exact"/>
              <w:rPr>
                <w:sz w:val="20"/>
                <w:szCs w:val="20"/>
                <w:color w:val="auto"/>
              </w:rPr>
            </w:pPr>
            <w:r>
              <w:rPr>
                <w:rFonts w:ascii="Times New Roman" w:cs="Times New Roman" w:eastAsia="Times New Roman" w:hAnsi="Times New Roman"/>
                <w:sz w:val="10"/>
                <w:szCs w:val="10"/>
                <w:b w:val="1"/>
                <w:bCs w:val="1"/>
                <w:color w:val="auto"/>
                <w:w w:val="91"/>
              </w:rPr>
              <w:t>Aggregate</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ind w:left="120"/>
              <w:spacing w:after="0" w:line="110" w:lineRule="exact"/>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0"/>
                <w:szCs w:val="10"/>
                <w:b w:val="1"/>
                <w:bCs w:val="1"/>
                <w:color w:val="auto"/>
                <w:w w:val="98"/>
              </w:rPr>
              <w:t>and</w:t>
            </w:r>
          </w:p>
        </w:tc>
        <w:tc>
          <w:tcPr>
            <w:tcW w:w="560" w:type="dxa"/>
            <w:vAlign w:val="bottom"/>
            <w:gridSpan w:val="4"/>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Liquidation</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gridSpan w:val="4"/>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1"/>
              </w:rPr>
              <w:t>Net Carrying</w:t>
            </w:r>
          </w:p>
        </w:tc>
        <w:tc>
          <w:tcPr>
            <w:tcW w:w="40" w:type="dxa"/>
            <w:vAlign w:val="bottom"/>
          </w:tcPr>
          <w:p>
            <w:pPr>
              <w:spacing w:after="0"/>
              <w:rPr>
                <w:sz w:val="9"/>
                <w:szCs w:val="9"/>
                <w:color w:val="auto"/>
              </w:rPr>
            </w:pPr>
          </w:p>
        </w:tc>
      </w:tr>
      <w:tr>
        <w:trPr>
          <w:trHeight w:val="145"/>
        </w:trPr>
        <w:tc>
          <w:tcPr>
            <w:tcW w:w="2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00" w:type="dxa"/>
            <w:vAlign w:val="bottom"/>
            <w:gridSpan w:val="3"/>
          </w:tcPr>
          <w:p>
            <w:pPr>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 Authorized</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 Outstanding  </w:t>
            </w:r>
            <w:r>
              <w:rPr>
                <w:rFonts w:ascii="Times New Roman" w:cs="Times New Roman" w:eastAsia="Times New Roman" w:hAnsi="Times New Roman"/>
                <w:sz w:val="16"/>
                <w:szCs w:val="16"/>
                <w:b w:val="1"/>
                <w:bCs w:val="1"/>
                <w:color w:val="auto"/>
                <w:vertAlign w:val="subscript"/>
              </w:rPr>
              <w:t>​</w:t>
            </w:r>
          </w:p>
        </w:tc>
        <w:tc>
          <w:tcPr>
            <w:tcW w:w="560" w:type="dxa"/>
            <w:vAlign w:val="bottom"/>
            <w:gridSpan w:val="4"/>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 Preference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55"/>
        </w:trPr>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10"/>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(in thousands, except share amounts)</w:t>
            </w: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88"/>
        </w:trPr>
        <w:tc>
          <w:tcPr>
            <w:tcW w:w="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9"/>
          </w:tcPr>
          <w:p>
            <w:pPr>
              <w:spacing w:after="0"/>
              <w:rPr>
                <w:sz w:val="20"/>
                <w:szCs w:val="20"/>
                <w:color w:val="auto"/>
              </w:rPr>
            </w:pPr>
            <w:r>
              <w:rPr>
                <w:rFonts w:ascii="Times New Roman" w:cs="Times New Roman" w:eastAsia="Times New Roman" w:hAnsi="Times New Roman"/>
                <w:sz w:val="12"/>
                <w:szCs w:val="12"/>
                <w:color w:val="auto"/>
              </w:rPr>
              <w:t>​​10,500,000​​ ​​10,500,000​​ ​​$</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10,500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10,480</w:t>
            </w:r>
          </w:p>
        </w:tc>
        <w:tc>
          <w:tcPr>
            <w:tcW w:w="4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960" w:type="dxa"/>
            <w:vAlign w:val="bottom"/>
            <w:gridSpan w:val="11"/>
          </w:tcPr>
          <w:p>
            <w:pPr>
              <w:jc w:val="right"/>
              <w:ind w:right="20"/>
              <w:spacing w:after="0"/>
              <w:rPr>
                <w:sz w:val="20"/>
                <w:szCs w:val="20"/>
                <w:color w:val="auto"/>
              </w:rPr>
            </w:pPr>
            <w:r>
              <w:rPr>
                <w:rFonts w:ascii="Times New Roman" w:cs="Times New Roman" w:eastAsia="Times New Roman" w:hAnsi="Times New Roman"/>
                <w:sz w:val="12"/>
                <w:szCs w:val="12"/>
                <w:color w:val="auto"/>
              </w:rPr>
              <w:t>​​ 7,500,000​​ ​​ 7,500,000​​ ​​ ​ 30,000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5"/>
                <w:szCs w:val="15"/>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 xml:space="preserve">​ ​ 29,972 </w:t>
            </w:r>
            <w:r>
              <w:rPr>
                <w:rFonts w:ascii="Times New Roman" w:cs="Times New Roman" w:eastAsia="Times New Roman" w:hAnsi="Times New Roman"/>
                <w:sz w:val="12"/>
                <w:szCs w:val="12"/>
                <w:b w:val="1"/>
                <w:bCs w:val="1"/>
                <w:color w:val="auto"/>
              </w:rPr>
              <w:t>​</w:t>
            </w:r>
          </w:p>
        </w:tc>
      </w:tr>
      <w:tr>
        <w:trPr>
          <w:trHeight w:val="174"/>
        </w:trPr>
        <w:tc>
          <w:tcPr>
            <w:tcW w:w="2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960" w:type="dxa"/>
            <w:vAlign w:val="bottom"/>
            <w:gridSpan w:val="11"/>
          </w:tcPr>
          <w:p>
            <w:pPr>
              <w:jc w:val="right"/>
              <w:ind w:right="20"/>
              <w:spacing w:after="0"/>
              <w:rPr>
                <w:sz w:val="20"/>
                <w:szCs w:val="20"/>
                <w:color w:val="auto"/>
              </w:rPr>
            </w:pPr>
            <w:r>
              <w:rPr>
                <w:rFonts w:ascii="Times New Roman" w:cs="Times New Roman" w:eastAsia="Times New Roman" w:hAnsi="Times New Roman"/>
                <w:sz w:val="12"/>
                <w:szCs w:val="12"/>
                <w:color w:val="auto"/>
              </w:rPr>
              <w:t>​​40,200,000​​ ​​40,200,000​​ ​​ ​201,000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5"/>
                <w:szCs w:val="15"/>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 xml:space="preserve">​ ​200,711 </w:t>
            </w:r>
            <w:r>
              <w:rPr>
                <w:rFonts w:ascii="Times New Roman" w:cs="Times New Roman" w:eastAsia="Times New Roman" w:hAnsi="Times New Roman"/>
                <w:sz w:val="12"/>
                <w:szCs w:val="12"/>
                <w:b w:val="1"/>
                <w:bCs w:val="1"/>
                <w:color w:val="auto"/>
              </w:rPr>
              <w:t>​</w:t>
            </w:r>
          </w:p>
        </w:tc>
      </w:tr>
      <w:tr>
        <w:trPr>
          <w:trHeight w:val="169"/>
        </w:trPr>
        <w:tc>
          <w:tcPr>
            <w:tcW w:w="20" w:type="dxa"/>
            <w:vAlign w:val="bottom"/>
          </w:tcPr>
          <w:p>
            <w:pPr>
              <w:spacing w:after="0"/>
              <w:rPr>
                <w:sz w:val="14"/>
                <w:szCs w:val="14"/>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4"/>
          </w:tcPr>
          <w:p>
            <w:pPr>
              <w:spacing w:after="0" w:line="169"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9,760,088</w:t>
            </w:r>
            <w:r>
              <w:rPr>
                <w:rFonts w:ascii="Times New Roman" w:cs="Times New Roman" w:eastAsia="Times New Roman" w:hAnsi="Times New Roman"/>
                <w:sz w:val="19"/>
                <w:szCs w:val="19"/>
                <w:color w:val="auto"/>
                <w:vertAlign w:val="subscript"/>
              </w:rPr>
              <w:t>​​</w:t>
            </w:r>
          </w:p>
        </w:tc>
        <w:tc>
          <w:tcPr>
            <w:tcW w:w="72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9,760,088</w:t>
            </w:r>
            <w:r>
              <w:rPr>
                <w:rFonts w:ascii="Times New Roman" w:cs="Times New Roman" w:eastAsia="Times New Roman" w:hAnsi="Times New Roman"/>
                <w:sz w:val="19"/>
                <w:szCs w:val="19"/>
                <w:color w:val="auto"/>
                <w:vertAlign w:val="subscript"/>
              </w:rPr>
              <w:t>​​</w:t>
            </w:r>
          </w:p>
        </w:tc>
        <w:tc>
          <w:tcPr>
            <w:tcW w:w="560" w:type="dxa"/>
            <w:vAlign w:val="bottom"/>
            <w:gridSpan w:val="4"/>
          </w:tcPr>
          <w:p>
            <w:pPr>
              <w:jc w:val="right"/>
              <w:ind w:right="20"/>
              <w:spacing w:after="0" w:line="169" w:lineRule="exact"/>
              <w:rPr>
                <w:sz w:val="20"/>
                <w:szCs w:val="20"/>
                <w:color w:val="auto"/>
              </w:rPr>
            </w:pP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10"/>
                <w:szCs w:val="10"/>
                <w:color w:val="auto"/>
              </w:rPr>
              <w:t xml:space="preserve"> ​ 39,040</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540" w:type="dxa"/>
            <w:vAlign w:val="bottom"/>
            <w:gridSpan w:val="4"/>
          </w:tcPr>
          <w:p>
            <w:pPr>
              <w:jc w:val="right"/>
              <w:spacing w:after="0" w:line="169"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 44,310 </w:t>
            </w:r>
            <w:r>
              <w:rPr>
                <w:rFonts w:ascii="Times New Roman" w:cs="Times New Roman" w:eastAsia="Times New Roman" w:hAnsi="Times New Roman"/>
                <w:sz w:val="19"/>
                <w:szCs w:val="19"/>
                <w:b w:val="1"/>
                <w:bCs w:val="1"/>
                <w:color w:val="auto"/>
                <w:vertAlign w:val="subscript"/>
              </w:rPr>
              <w:t>​</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4"/>
          </w:tcPr>
          <w:p>
            <w:pPr>
              <w:spacing w:after="0" w:line="163"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​67,960,088</w:t>
            </w:r>
            <w:r>
              <w:rPr>
                <w:rFonts w:ascii="Times New Roman" w:cs="Times New Roman" w:eastAsia="Times New Roman" w:hAnsi="Times New Roman"/>
                <w:sz w:val="18"/>
                <w:szCs w:val="18"/>
                <w:color w:val="auto"/>
                <w:vertAlign w:val="subscript"/>
              </w:rPr>
              <w:t>​​</w:t>
            </w:r>
          </w:p>
        </w:tc>
        <w:tc>
          <w:tcPr>
            <w:tcW w:w="720" w:type="dxa"/>
            <w:vAlign w:val="bottom"/>
            <w:gridSpan w:val="3"/>
          </w:tcPr>
          <w:p>
            <w:pPr>
              <w:ind w:left="20"/>
              <w:spacing w:after="0" w:line="163"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​67,960,088</w:t>
            </w:r>
            <w:r>
              <w:rPr>
                <w:rFonts w:ascii="Times New Roman" w:cs="Times New Roman" w:eastAsia="Times New Roman" w:hAnsi="Times New Roman"/>
                <w:sz w:val="18"/>
                <w:szCs w:val="18"/>
                <w:color w:val="auto"/>
                <w:vertAlign w:val="subscript"/>
              </w:rPr>
              <w:t>​​</w:t>
            </w:r>
          </w:p>
        </w:tc>
        <w:tc>
          <w:tcPr>
            <w:tcW w:w="560" w:type="dxa"/>
            <w:vAlign w:val="bottom"/>
            <w:gridSpan w:val="4"/>
          </w:tcPr>
          <w:p>
            <w:pPr>
              <w:jc w:val="right"/>
              <w:ind w:right="20"/>
              <w:spacing w:after="0" w:line="163" w:lineRule="exact"/>
              <w:rPr>
                <w:sz w:val="20"/>
                <w:szCs w:val="20"/>
                <w:color w:val="auto"/>
              </w:rPr>
            </w:pP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 xml:space="preserve"> 280,540</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540" w:type="dxa"/>
            <w:vAlign w:val="bottom"/>
            <w:gridSpan w:val="4"/>
          </w:tcPr>
          <w:p>
            <w:pPr>
              <w:jc w:val="right"/>
              <w:spacing w:after="0" w:line="163"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 xml:space="preserve">285,473 </w:t>
            </w:r>
            <w:r>
              <w:rPr>
                <w:rFonts w:ascii="Times New Roman" w:cs="Times New Roman" w:eastAsia="Times New Roman" w:hAnsi="Times New Roman"/>
                <w:sz w:val="18"/>
                <w:szCs w:val="18"/>
                <w:b w:val="1"/>
                <w:bCs w:val="1"/>
                <w:color w:val="auto"/>
                <w:vertAlign w:val="subscript"/>
              </w:rPr>
              <w:t>​</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8"/>
        </w:trPr>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December 31, 2023</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3"/>
          </w:tcPr>
          <w:p>
            <w:pPr>
              <w:jc w:val="center"/>
              <w:ind w:right="40"/>
              <w:spacing w:after="0" w:line="110" w:lineRule="exact"/>
              <w:rPr>
                <w:sz w:val="20"/>
                <w:szCs w:val="20"/>
                <w:color w:val="auto"/>
              </w:rPr>
            </w:pPr>
            <w:r>
              <w:rPr>
                <w:rFonts w:ascii="Times New Roman" w:cs="Times New Roman" w:eastAsia="Times New Roman" w:hAnsi="Times New Roman"/>
                <w:sz w:val="10"/>
                <w:szCs w:val="10"/>
                <w:b w:val="1"/>
                <w:bCs w:val="1"/>
                <w:color w:val="auto"/>
                <w:w w:val="95"/>
              </w:rPr>
              <w:t>Shares Issued</w:t>
            </w:r>
          </w:p>
        </w:tc>
        <w:tc>
          <w:tcPr>
            <w:tcW w:w="60" w:type="dxa"/>
            <w:vAlign w:val="bottom"/>
          </w:tcPr>
          <w:p>
            <w:pPr>
              <w:spacing w:after="0"/>
              <w:rPr>
                <w:sz w:val="9"/>
                <w:szCs w:val="9"/>
                <w:color w:val="auto"/>
              </w:rPr>
            </w:pPr>
          </w:p>
        </w:tc>
        <w:tc>
          <w:tcPr>
            <w:tcW w:w="500" w:type="dxa"/>
            <w:vAlign w:val="bottom"/>
            <w:gridSpan w:val="3"/>
          </w:tcPr>
          <w:p>
            <w:pPr>
              <w:jc w:val="center"/>
              <w:ind w:right="20"/>
              <w:spacing w:after="0" w:line="110" w:lineRule="exact"/>
              <w:rPr>
                <w:sz w:val="20"/>
                <w:szCs w:val="20"/>
                <w:color w:val="auto"/>
              </w:rPr>
            </w:pPr>
            <w:r>
              <w:rPr>
                <w:rFonts w:ascii="Times New Roman" w:cs="Times New Roman" w:eastAsia="Times New Roman" w:hAnsi="Times New Roman"/>
                <w:sz w:val="10"/>
                <w:szCs w:val="10"/>
                <w:b w:val="1"/>
                <w:bCs w:val="1"/>
                <w:color w:val="auto"/>
                <w:w w:val="91"/>
              </w:rPr>
              <w:t>Aggregate</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ind w:left="120"/>
              <w:spacing w:after="0" w:line="110" w:lineRule="exact"/>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0"/>
                <w:szCs w:val="10"/>
                <w:b w:val="1"/>
                <w:bCs w:val="1"/>
                <w:color w:val="auto"/>
                <w:w w:val="98"/>
              </w:rPr>
              <w:t>and</w:t>
            </w:r>
          </w:p>
        </w:tc>
        <w:tc>
          <w:tcPr>
            <w:tcW w:w="560" w:type="dxa"/>
            <w:vAlign w:val="bottom"/>
            <w:gridSpan w:val="4"/>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Liquidation</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gridSpan w:val="4"/>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1"/>
              </w:rPr>
              <w:t>Net Carrying</w:t>
            </w:r>
          </w:p>
        </w:tc>
        <w:tc>
          <w:tcPr>
            <w:tcW w:w="40" w:type="dxa"/>
            <w:vAlign w:val="bottom"/>
          </w:tcPr>
          <w:p>
            <w:pPr>
              <w:spacing w:after="0"/>
              <w:rPr>
                <w:sz w:val="9"/>
                <w:szCs w:val="9"/>
                <w:color w:val="auto"/>
              </w:rPr>
            </w:pPr>
          </w:p>
        </w:tc>
      </w:tr>
      <w:tr>
        <w:trPr>
          <w:trHeight w:val="145"/>
        </w:trPr>
        <w:tc>
          <w:tcPr>
            <w:tcW w:w="2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00" w:type="dxa"/>
            <w:vAlign w:val="bottom"/>
            <w:gridSpan w:val="3"/>
          </w:tcPr>
          <w:p>
            <w:pPr>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 Authorized</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 Outstanding  </w:t>
            </w:r>
            <w:r>
              <w:rPr>
                <w:rFonts w:ascii="Times New Roman" w:cs="Times New Roman" w:eastAsia="Times New Roman" w:hAnsi="Times New Roman"/>
                <w:sz w:val="16"/>
                <w:szCs w:val="16"/>
                <w:b w:val="1"/>
                <w:bCs w:val="1"/>
                <w:color w:val="auto"/>
                <w:vertAlign w:val="subscript"/>
              </w:rPr>
              <w:t>​</w:t>
            </w:r>
          </w:p>
        </w:tc>
        <w:tc>
          <w:tcPr>
            <w:tcW w:w="560" w:type="dxa"/>
            <w:vAlign w:val="bottom"/>
            <w:gridSpan w:val="4"/>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 Preference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55"/>
        </w:trPr>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10"/>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(in thousands, except share amounts)</w:t>
            </w: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88"/>
        </w:trPr>
        <w:tc>
          <w:tcPr>
            <w:tcW w:w="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9"/>
          </w:tcPr>
          <w:p>
            <w:pPr>
              <w:spacing w:after="0"/>
              <w:rPr>
                <w:sz w:val="20"/>
                <w:szCs w:val="20"/>
                <w:color w:val="auto"/>
              </w:rPr>
            </w:pPr>
            <w:r>
              <w:rPr>
                <w:rFonts w:ascii="Times New Roman" w:cs="Times New Roman" w:eastAsia="Times New Roman" w:hAnsi="Times New Roman"/>
                <w:sz w:val="12"/>
                <w:szCs w:val="12"/>
                <w:color w:val="auto"/>
              </w:rPr>
              <w:t>​​10,500,000​​ ​​10,500,000​​ ​​$</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10,500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xml:space="preserve">10,480 </w:t>
            </w:r>
            <w:r>
              <w:rPr>
                <w:rFonts w:ascii="Times New Roman" w:cs="Times New Roman" w:eastAsia="Times New Roman" w:hAnsi="Times New Roman"/>
                <w:sz w:val="12"/>
                <w:szCs w:val="12"/>
                <w:b w:val="1"/>
                <w:bCs w:val="1"/>
                <w:color w:val="auto"/>
              </w:rPr>
              <w:t>​</w:t>
            </w:r>
          </w:p>
        </w:tc>
      </w:tr>
      <w:tr>
        <w:trPr>
          <w:trHeight w:val="174"/>
        </w:trPr>
        <w:tc>
          <w:tcPr>
            <w:tcW w:w="2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960" w:type="dxa"/>
            <w:vAlign w:val="bottom"/>
            <w:gridSpan w:val="11"/>
          </w:tcPr>
          <w:p>
            <w:pPr>
              <w:jc w:val="right"/>
              <w:ind w:right="20"/>
              <w:spacing w:after="0"/>
              <w:rPr>
                <w:sz w:val="20"/>
                <w:szCs w:val="20"/>
                <w:color w:val="auto"/>
              </w:rPr>
            </w:pPr>
            <w:r>
              <w:rPr>
                <w:rFonts w:ascii="Times New Roman" w:cs="Times New Roman" w:eastAsia="Times New Roman" w:hAnsi="Times New Roman"/>
                <w:sz w:val="12"/>
                <w:szCs w:val="12"/>
                <w:color w:val="auto"/>
              </w:rPr>
              <w:t>​​ 7,500,000​​ ​​ 7,500,000​​ ​​ ​ 30,000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5"/>
                <w:szCs w:val="15"/>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 xml:space="preserve">​ ​ 29,972 </w:t>
            </w:r>
            <w:r>
              <w:rPr>
                <w:rFonts w:ascii="Times New Roman" w:cs="Times New Roman" w:eastAsia="Times New Roman" w:hAnsi="Times New Roman"/>
                <w:sz w:val="12"/>
                <w:szCs w:val="12"/>
                <w:b w:val="1"/>
                <w:bCs w:val="1"/>
                <w:color w:val="auto"/>
              </w:rPr>
              <w:t>​</w:t>
            </w:r>
          </w:p>
        </w:tc>
      </w:tr>
      <w:tr>
        <w:trPr>
          <w:trHeight w:val="174"/>
        </w:trPr>
        <w:tc>
          <w:tcPr>
            <w:tcW w:w="2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960" w:type="dxa"/>
            <w:vAlign w:val="bottom"/>
            <w:gridSpan w:val="11"/>
          </w:tcPr>
          <w:p>
            <w:pPr>
              <w:jc w:val="right"/>
              <w:ind w:right="20"/>
              <w:spacing w:after="0"/>
              <w:rPr>
                <w:sz w:val="20"/>
                <w:szCs w:val="20"/>
                <w:color w:val="auto"/>
              </w:rPr>
            </w:pPr>
            <w:r>
              <w:rPr>
                <w:rFonts w:ascii="Times New Roman" w:cs="Times New Roman" w:eastAsia="Times New Roman" w:hAnsi="Times New Roman"/>
                <w:sz w:val="12"/>
                <w:szCs w:val="12"/>
                <w:color w:val="auto"/>
              </w:rPr>
              <w:t>​​40,200,000​​ ​​40,200,000​​ ​​ ​201,000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5"/>
                <w:szCs w:val="15"/>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 xml:space="preserve">​ ​200,711 </w:t>
            </w:r>
            <w:r>
              <w:rPr>
                <w:rFonts w:ascii="Times New Roman" w:cs="Times New Roman" w:eastAsia="Times New Roman" w:hAnsi="Times New Roman"/>
                <w:sz w:val="12"/>
                <w:szCs w:val="12"/>
                <w:b w:val="1"/>
                <w:bCs w:val="1"/>
                <w:color w:val="auto"/>
              </w:rPr>
              <w:t>​</w:t>
            </w:r>
          </w:p>
        </w:tc>
      </w:tr>
      <w:tr>
        <w:trPr>
          <w:trHeight w:val="174"/>
        </w:trPr>
        <w:tc>
          <w:tcPr>
            <w:tcW w:w="2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960" w:type="dxa"/>
            <w:vAlign w:val="bottom"/>
            <w:gridSpan w:val="11"/>
          </w:tcPr>
          <w:p>
            <w:pPr>
              <w:jc w:val="right"/>
              <w:ind w:right="20"/>
              <w:spacing w:after="0"/>
              <w:rPr>
                <w:sz w:val="20"/>
                <w:szCs w:val="20"/>
                <w:color w:val="auto"/>
              </w:rPr>
            </w:pPr>
            <w:r>
              <w:rPr>
                <w:rFonts w:ascii="Times New Roman" w:cs="Times New Roman" w:eastAsia="Times New Roman" w:hAnsi="Times New Roman"/>
                <w:sz w:val="12"/>
                <w:szCs w:val="12"/>
                <w:color w:val="auto"/>
              </w:rPr>
              <w:t>​​ 9,760,088​​ ​​ 9,760,088​​ ​​ ​ 39,040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5"/>
                <w:szCs w:val="15"/>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 xml:space="preserve">​ ​ 44,310 </w:t>
            </w:r>
            <w:r>
              <w:rPr>
                <w:rFonts w:ascii="Times New Roman" w:cs="Times New Roman" w:eastAsia="Times New Roman" w:hAnsi="Times New Roman"/>
                <w:sz w:val="12"/>
                <w:szCs w:val="12"/>
                <w:b w:val="1"/>
                <w:bCs w:val="1"/>
                <w:color w:val="auto"/>
              </w:rPr>
              <w:t>​</w:t>
            </w:r>
          </w:p>
        </w:tc>
      </w:tr>
      <w:tr>
        <w:trPr>
          <w:trHeight w:val="174"/>
        </w:trPr>
        <w:tc>
          <w:tcPr>
            <w:tcW w:w="2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960" w:type="dxa"/>
            <w:vAlign w:val="bottom"/>
            <w:gridSpan w:val="11"/>
          </w:tcPr>
          <w:p>
            <w:pPr>
              <w:jc w:val="right"/>
              <w:ind w:right="20"/>
              <w:spacing w:after="0"/>
              <w:rPr>
                <w:sz w:val="20"/>
                <w:szCs w:val="20"/>
                <w:color w:val="auto"/>
              </w:rPr>
            </w:pPr>
            <w:r>
              <w:rPr>
                <w:rFonts w:ascii="Times New Roman" w:cs="Times New Roman" w:eastAsia="Times New Roman" w:hAnsi="Times New Roman"/>
                <w:sz w:val="12"/>
                <w:szCs w:val="12"/>
                <w:color w:val="auto"/>
              </w:rPr>
              <w:t>​​18,000,000​​ ​​16,221,170​​ ​​ ​ 81,106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5"/>
                <w:szCs w:val="15"/>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 xml:space="preserve">​ ​ 80,969 </w:t>
            </w:r>
            <w:r>
              <w:rPr>
                <w:rFonts w:ascii="Times New Roman" w:cs="Times New Roman" w:eastAsia="Times New Roman" w:hAnsi="Times New Roman"/>
                <w:sz w:val="12"/>
                <w:szCs w:val="12"/>
                <w:b w:val="1"/>
                <w:bCs w:val="1"/>
                <w:color w:val="auto"/>
              </w:rPr>
              <w:t>​</w:t>
            </w:r>
          </w:p>
        </w:tc>
      </w:tr>
      <w:tr>
        <w:trPr>
          <w:trHeight w:val="169"/>
        </w:trPr>
        <w:tc>
          <w:tcPr>
            <w:tcW w:w="20" w:type="dxa"/>
            <w:vAlign w:val="bottom"/>
          </w:tcPr>
          <w:p>
            <w:pPr>
              <w:spacing w:after="0"/>
              <w:rPr>
                <w:sz w:val="14"/>
                <w:szCs w:val="14"/>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gridSpan w:val="7"/>
          </w:tcPr>
          <w:p>
            <w:pPr>
              <w:spacing w:after="0" w:line="169"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3,056,490</w:t>
            </w: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10"/>
                <w:szCs w:val="10"/>
                <w:color w:val="auto"/>
              </w:rPr>
              <w:t>​ 1,778,830</w:t>
            </w:r>
            <w:r>
              <w:rPr>
                <w:rFonts w:ascii="Times New Roman" w:cs="Times New Roman" w:eastAsia="Times New Roman" w:hAnsi="Times New Roman"/>
                <w:sz w:val="19"/>
                <w:szCs w:val="19"/>
                <w:color w:val="auto"/>
                <w:vertAlign w:val="subscript"/>
              </w:rPr>
              <w:t>​​</w:t>
            </w:r>
          </w:p>
        </w:tc>
        <w:tc>
          <w:tcPr>
            <w:tcW w:w="1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9"/>
                <w:szCs w:val="19"/>
                <w:color w:val="auto"/>
                <w:vertAlign w:val="superscript"/>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8,894</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00" w:type="dxa"/>
            <w:vAlign w:val="bottom"/>
          </w:tcPr>
          <w:p>
            <w:pPr>
              <w:spacing w:after="0" w:line="169"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40" w:type="dxa"/>
            <w:vAlign w:val="bottom"/>
            <w:gridSpan w:val="3"/>
          </w:tcPr>
          <w:p>
            <w:pPr>
              <w:jc w:val="right"/>
              <w:spacing w:after="0" w:line="169" w:lineRule="exact"/>
              <w:rPr>
                <w:sz w:val="20"/>
                <w:szCs w:val="20"/>
                <w:color w:val="auto"/>
              </w:rPr>
            </w:pPr>
            <w:r>
              <w:rPr>
                <w:rFonts w:ascii="Times New Roman" w:cs="Times New Roman" w:eastAsia="Times New Roman" w:hAnsi="Times New Roman"/>
                <w:sz w:val="10"/>
                <w:szCs w:val="10"/>
                <w:color w:val="auto"/>
              </w:rPr>
              <w:t xml:space="preserve">8,928 </w:t>
            </w:r>
            <w:r>
              <w:rPr>
                <w:rFonts w:ascii="Times New Roman" w:cs="Times New Roman" w:eastAsia="Times New Roman" w:hAnsi="Times New Roman"/>
                <w:sz w:val="19"/>
                <w:szCs w:val="19"/>
                <w:b w:val="1"/>
                <w:bCs w:val="1"/>
                <w:color w:val="auto"/>
                <w:vertAlign w:val="subscript"/>
              </w:rPr>
              <w:t>​</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gridSpan w:val="7"/>
          </w:tcPr>
          <w:p>
            <w:pPr>
              <w:spacing w:after="0" w:line="163"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​89,016,578</w:t>
            </w: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0"/>
                <w:szCs w:val="10"/>
                <w:color w:val="auto"/>
              </w:rPr>
              <w:t>​85,960,088</w:t>
            </w:r>
            <w:r>
              <w:rPr>
                <w:rFonts w:ascii="Times New Roman" w:cs="Times New Roman" w:eastAsia="Times New Roman" w:hAnsi="Times New Roman"/>
                <w:sz w:val="18"/>
                <w:szCs w:val="18"/>
                <w:color w:val="auto"/>
                <w:vertAlign w:val="subscript"/>
              </w:rPr>
              <w:t>​​</w:t>
            </w:r>
          </w:p>
        </w:tc>
        <w:tc>
          <w:tcPr>
            <w:tcW w:w="560" w:type="dxa"/>
            <w:vAlign w:val="bottom"/>
            <w:gridSpan w:val="4"/>
          </w:tcPr>
          <w:p>
            <w:pPr>
              <w:jc w:val="right"/>
              <w:ind w:right="20"/>
              <w:spacing w:after="0" w:line="163" w:lineRule="exact"/>
              <w:rPr>
                <w:sz w:val="20"/>
                <w:szCs w:val="20"/>
                <w:color w:val="auto"/>
              </w:rPr>
            </w:pP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 xml:space="preserve"> 370,540</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540" w:type="dxa"/>
            <w:vAlign w:val="bottom"/>
            <w:gridSpan w:val="4"/>
          </w:tcPr>
          <w:p>
            <w:pPr>
              <w:jc w:val="right"/>
              <w:spacing w:after="0" w:line="163"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 xml:space="preserve">375,370 </w:t>
            </w:r>
            <w:r>
              <w:rPr>
                <w:rFonts w:ascii="Times New Roman" w:cs="Times New Roman" w:eastAsia="Times New Roman" w:hAnsi="Times New Roman"/>
                <w:sz w:val="18"/>
                <w:szCs w:val="18"/>
                <w:b w:val="1"/>
                <w:bCs w:val="1"/>
                <w:color w:val="auto"/>
                <w:vertAlign w:val="subscript"/>
              </w:rPr>
              <w:t>​</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-1777365</wp:posOffset>
            </wp:positionH>
            <wp:positionV relativeFrom="paragraph">
              <wp:posOffset>-1958975</wp:posOffset>
            </wp:positionV>
            <wp:extent cx="3535680" cy="1104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535680" cy="110490"/>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-1737995</wp:posOffset>
            </wp:positionV>
            <wp:extent cx="3535680" cy="1104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535680" cy="110490"/>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-1511300</wp:posOffset>
            </wp:positionV>
            <wp:extent cx="3535680" cy="133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535680" cy="133985"/>
                    </a:xfrm>
                    <a:prstGeom prst="rect">
                      <a:avLst/>
                    </a:prstGeom>
                    <a:noFill/>
                  </pic:spPr>
                </pic:pic>
              </a:graphicData>
            </a:graphic>
          </wp:anchor>
        </w:drawing>
        <w:drawing>
          <wp:anchor simplePos="0" relativeHeight="251657728" behindDoc="1" locked="0" layoutInCell="0" allowOverlap="1">
            <wp:simplePos x="0" y="0"/>
            <wp:positionH relativeFrom="column">
              <wp:posOffset>1310005</wp:posOffset>
            </wp:positionH>
            <wp:positionV relativeFrom="paragraph">
              <wp:posOffset>-2069465</wp:posOffset>
            </wp:positionV>
            <wp:extent cx="93345"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-2069465</wp:posOffset>
            </wp:positionV>
            <wp:extent cx="93345"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-2069465</wp:posOffset>
            </wp:positionV>
            <wp:extent cx="93345"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-813435</wp:posOffset>
            </wp:positionV>
            <wp:extent cx="3535680" cy="1104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535680" cy="110490"/>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-592455</wp:posOffset>
            </wp:positionV>
            <wp:extent cx="3535680" cy="1104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535680" cy="110490"/>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-371475</wp:posOffset>
            </wp:positionV>
            <wp:extent cx="3535680" cy="1104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535680" cy="110490"/>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-144780</wp:posOffset>
            </wp:positionV>
            <wp:extent cx="3535680" cy="133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535680" cy="133985"/>
                    </a:xfrm>
                    <a:prstGeom prst="rect">
                      <a:avLst/>
                    </a:prstGeom>
                    <a:noFill/>
                  </pic:spPr>
                </pic:pic>
              </a:graphicData>
            </a:graphic>
          </wp:anchor>
        </w:drawing>
        <w:drawing>
          <wp:anchor simplePos="0" relativeHeight="251657728" behindDoc="1" locked="0" layoutInCell="0" allowOverlap="1">
            <wp:simplePos x="0" y="0"/>
            <wp:positionH relativeFrom="column">
              <wp:posOffset>1310005</wp:posOffset>
            </wp:positionH>
            <wp:positionV relativeFrom="paragraph">
              <wp:posOffset>-923925</wp:posOffset>
            </wp:positionV>
            <wp:extent cx="93345"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-923925</wp:posOffset>
            </wp:positionV>
            <wp:extent cx="93345"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-923925</wp:posOffset>
            </wp:positionV>
            <wp:extent cx="93345"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93345" cy="571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4040" w:space="480"/>
            <w:col w:w="4499"/>
          </w:cols>
          <w:pgMar w:left="1440" w:top="106" w:right="1440" w:bottom="1440" w:gutter="0" w:footer="0" w:header="0"/>
          <w:type w:val="continuous"/>
        </w:sectPr>
      </w:pPr>
    </w:p>
    <w:p>
      <w:pPr>
        <w:ind w:left="1720" w:right="1739"/>
        <w:spacing w:after="0" w:line="265" w:lineRule="auto"/>
        <w:rPr>
          <w:sz w:val="20"/>
          <w:szCs w:val="20"/>
          <w:color w:val="auto"/>
        </w:rPr>
      </w:pPr>
      <w:r>
        <w:rPr>
          <w:rFonts w:ascii="Times New Roman" w:cs="Times New Roman" w:eastAsia="Times New Roman" w:hAnsi="Times New Roman"/>
          <w:sz w:val="12"/>
          <w:szCs w:val="12"/>
          <w:color w:val="auto"/>
        </w:rPr>
        <w:t>The significant rights and obligations of the Company’s redeemable convertible preferred stock are as follows: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229" w:name="page230"/>
    <w:bookmarkEnd w:id="22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9. Redeemable Convertible Preferred Stock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Liquidation Preference</w:t>
      </w:r>
    </w:p>
    <w:p>
      <w:pPr>
        <w:spacing w:after="0" w:line="111"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In the event of the liquidation, dissolution or winding up of the Company, or a deemed liquidation event, including a merger or consolidation, or a sale or other disposition of all or substantially all of the Company’s assets, the holders of shares of the Senior Redeemable Convertible Preferred Stock are entitled to receive, before any payments are made to the holders of the Junior Redeemable Convertible Preferred Stock and holders of common stock, an amount per share equal to the greater of (i) the Series B, Series B-1, Series B-2 and Series B-2A original issuance price of $5.00, $4.00, $5.00, and $5.00 respectively, plus any dividends declared but unpaid, or (ii) such amount per share as would have been payable had all shares of the applicable series of Senior Redeemable Convertible Preferred Stock been converted into common stock immediately prior to such liquidation, dissolution, winding up or deemed liquidation. If the proceeds are insufficient to pay the holders of shares of Senior Redeemable Convertible Preferred Stock their full liquidation preference, then the proceeds available for distribution are payable ratably among the holders of the Senior Redeemable Convertible Preferred Stock in proportion to the full preferential amount that each such holder is entitled to receive.</w:t>
      </w:r>
    </w:p>
    <w:p>
      <w:pPr>
        <w:spacing w:after="0" w:line="219"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After the distributions to the holders of the Senior Redeemable Convertible Preferred Stock have been paid in full, the holder of shares of Junior Redeemable Convertible Preferred Stock shall be entitled to receive, prior to and in preference to any distributions of the assets of the Company to the holders of common stock, an amount equal to the greater of (i) the Series Seed and Series A original issuance price of $1.00 and $4.00, respectively, plus any dividends declared but unpaid, or (ii) such amount per share as would have been payable had all shares of such series of Junior Redeemable Convertible Preferred Stock been converted into common stock immediately prior to such liquidation, dissolution, winding up or deemed liquidation. If the proceeds are insufficient to pay the holder of share of Junior Redeemable Convertible Preferred Stock their full liquidation preference, then the proceeds available for distribution are payable ratably among the holders of the Junior Redeemable Convertible Preferred Stock in proportion to the full preferential amount that each such holder is entitled to receive.</w:t>
      </w:r>
    </w:p>
    <w:p>
      <w:pPr>
        <w:spacing w:after="0" w:line="229"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After the distributions described above have been paid in full, the remaining assets of the Company available for distribution to its stockholders will be distributed among the holders of shares of common stock, pro rata based on the number of shares held by each such holder.</w:t>
      </w:r>
    </w:p>
    <w:p>
      <w:pPr>
        <w:spacing w:after="0" w:line="1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Conversion</w:t>
      </w:r>
    </w:p>
    <w:p>
      <w:pPr>
        <w:spacing w:after="0" w:line="102"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Each share of Series B-2 redeemable convertible preferred stock is convertible at the option of a holder into one share of Series B-2A redeemable convertible preferred stock.</w:t>
      </w:r>
    </w:p>
    <w:p>
      <w:pPr>
        <w:spacing w:after="0" w:line="59"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Each share of Series B-2A redeemable convertible preferred stock is convertible at the option of a holder into one share of Series B-2 redeemable convertible preferred stock.</w:t>
      </w:r>
    </w:p>
    <w:p>
      <w:pPr>
        <w:spacing w:after="0" w:line="59"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Each share of redeemable convertible preferred stock is convertible at the option of a holder into shares of Class A common stock or Class B common stock at a conversion rate, which is the redeemable convertible preferred stock original issuance price per share divided by the conversion price in effect at the time of conversion. The conversion price is initially equal to the redeemable convertible preferred stock original issuance price, and is subject to adjustments for recapitalization, dilutive issuances, stock dividends, stock splits, and other distributions. As of December 31, 2022 and 2023, the conversion price as adjusted for the reverse stock split was $4.68 per share for the Series Seed redeemable convertible preferred stock, $18.70 per share for the Series A redeemable convertible preferred stock and Series B-1 redeemable convertible preferred stock, and $23.38 per share for the Series B redeemable convertible preferred stock, Series B-2 redeemable convertible preferred stock and Series B-2A redeemable convertible preferred stock.</w:t>
      </w:r>
    </w:p>
    <w:p>
      <w:pPr>
        <w:spacing w:after="0" w:line="74"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color w:val="auto"/>
        </w:rPr>
        <w:t>All outstanding shares of redeemable convertible preferred stock are automatically converted into shares of Class A common stock, provided that, a holder of shares of redeemable convertible preferred stock may elect, upon written notice to the Company at least seven days prior to a qualified public offering, to have all or a</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30" w:name="page231"/>
    <w:bookmarkEnd w:id="23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9. Redeemable Convertible Preferred Stock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Conversion (Continued)</w:t>
      </w:r>
    </w:p>
    <w:p>
      <w:pPr>
        <w:spacing w:after="0" w:line="157" w:lineRule="exact"/>
        <w:rPr>
          <w:sz w:val="20"/>
          <w:szCs w:val="20"/>
          <w:color w:val="auto"/>
        </w:r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color w:val="auto"/>
        </w:rPr>
        <w:t>portion of its shares of redeemable convertible preferred stock automatically convert into shares of Class B common stock at the then effective conversion rate, upon the earlier of: (i) the closing of the sale of shares of common stock to the public, in a firm-commitment underwritten public offering pursuant to an effective registration statement under the Securities Act of 1933, as amended, resulting in at least $75.0 million of proceeds to the Company, net of underwriting discounts and commissions, or (ii) upon a vote or a written consent of the holders of a majority of outstanding shares of redeemable convertible preferred stock, voting together as a single class and on an as-converted basis.</w:t>
      </w:r>
    </w:p>
    <w:p>
      <w:pPr>
        <w:spacing w:after="0" w:line="1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Dividend Rights</w:t>
      </w:r>
    </w:p>
    <w:p>
      <w:pPr>
        <w:spacing w:after="0" w:line="111"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The Company cannot declare, pay or set aside any dividends on shares of any other class or series of capital stock of the Company (other than dividends on shares of common stock payable in shares of common stock), unless the holders of the redeemable convertible preferred stock then outstanding will first receive, or simultaneously receive, a dividend on each outstanding share of redeemable convertible preferred stock in an amount at least equal to (i) in the case of a dividend on common stock or any class or series that is convertible into common stock, the product of (a) the dividend payable on each share of such series determined as if all shares of such series had been converted into common stock and (b) the number of shares of common stock issuable upon conversion of a share of redeemable convertible preferred stock, calculated on the record date for determination of holders entitled to receive such dividend or (ii) in the case of a dividend on any class or series that is not convertible into common stock, at a rate per share of redeemable convertible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applicable original issue price. No dividends were declared and paid or payable for the years ended December 31, 2022 and 2023.</w:t>
      </w:r>
    </w:p>
    <w:p>
      <w:pPr>
        <w:spacing w:after="0" w:line="28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Voting Rights</w:t>
      </w:r>
    </w:p>
    <w:p>
      <w:pPr>
        <w:spacing w:after="0" w:line="111"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Each holder of outstanding shares of redeemable convertible preferred stock is entitled to cast the number of votes equal to the number of whole shares of common stock into which the shares of redeemable convertible preferred stock held by such holder are convertible. Holders of redeemable convertible preferred stock vote together with the holders of common stock as a single class and on an as-converted to common stock basis. Holders of Series B-2A redeemable convertible preferred stock have no voting rights for election of directors or for the size of the board.</w:t>
      </w:r>
    </w:p>
    <w:p>
      <w:pPr>
        <w:spacing w:after="0" w:line="27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Election of Directors</w:t>
      </w:r>
    </w:p>
    <w:p>
      <w:pPr>
        <w:spacing w:after="0" w:line="102" w:lineRule="exact"/>
        <w:rPr>
          <w:sz w:val="20"/>
          <w:szCs w:val="20"/>
          <w:color w:val="auto"/>
        </w:rPr>
      </w:pPr>
    </w:p>
    <w:p>
      <w:pPr>
        <w:jc w:val="both"/>
        <w:ind w:left="1720" w:right="1739"/>
        <w:spacing w:after="0" w:line="288" w:lineRule="auto"/>
        <w:rPr>
          <w:sz w:val="20"/>
          <w:szCs w:val="20"/>
          <w:color w:val="auto"/>
        </w:rPr>
      </w:pPr>
      <w:r>
        <w:rPr>
          <w:rFonts w:ascii="Times New Roman" w:cs="Times New Roman" w:eastAsia="Times New Roman" w:hAnsi="Times New Roman"/>
          <w:sz w:val="12"/>
          <w:szCs w:val="12"/>
          <w:color w:val="auto"/>
        </w:rPr>
        <w:t>At any time when at least 1,875,000 shares of Series A redeemable convertible preferred stock are outstanding, the holders of the shares of Series A redeemable convertible preferred stock, voting as a separate class on an as-converted to common stock basis, are entitled to elect one director of the Company.</w:t>
      </w:r>
    </w:p>
    <w:p>
      <w:pPr>
        <w:spacing w:after="0" w:line="62" w:lineRule="exact"/>
        <w:rPr>
          <w:sz w:val="20"/>
          <w:szCs w:val="20"/>
          <w:color w:val="auto"/>
        </w:rPr>
      </w:pPr>
    </w:p>
    <w:p>
      <w:pPr>
        <w:jc w:val="both"/>
        <w:ind w:left="1720" w:right="1739"/>
        <w:spacing w:after="0" w:line="282" w:lineRule="auto"/>
        <w:rPr>
          <w:sz w:val="20"/>
          <w:szCs w:val="20"/>
          <w:color w:val="auto"/>
        </w:rPr>
      </w:pPr>
      <w:r>
        <w:rPr>
          <w:rFonts w:ascii="Times New Roman" w:cs="Times New Roman" w:eastAsia="Times New Roman" w:hAnsi="Times New Roman"/>
          <w:sz w:val="12"/>
          <w:szCs w:val="12"/>
          <w:color w:val="auto"/>
        </w:rPr>
        <w:t>At any time when at least 10,050,000 shares of the voting Senior Redeemable Convertible Preferred Stock are outstanding, the holders of the shares of the voting Senior Redeemable Convertible Preferred Stock, voting as a separate class on an as-converted to common stock basis, are entitled to elect two directors of the Company.</w:t>
      </w:r>
    </w:p>
    <w:p>
      <w:pPr>
        <w:spacing w:after="0" w:line="219" w:lineRule="exact"/>
        <w:rPr>
          <w:sz w:val="20"/>
          <w:szCs w:val="20"/>
          <w:color w:val="auto"/>
        </w:rPr>
      </w:pPr>
    </w:p>
    <w:p>
      <w:pPr>
        <w:jc w:val="both"/>
        <w:ind w:left="1720" w:right="1739"/>
        <w:spacing w:after="0" w:line="306" w:lineRule="auto"/>
        <w:rPr>
          <w:sz w:val="20"/>
          <w:szCs w:val="20"/>
          <w:color w:val="auto"/>
        </w:rPr>
      </w:pPr>
      <w:r>
        <w:rPr>
          <w:rFonts w:ascii="Times New Roman" w:cs="Times New Roman" w:eastAsia="Times New Roman" w:hAnsi="Times New Roman"/>
          <w:sz w:val="12"/>
          <w:szCs w:val="12"/>
          <w:color w:val="auto"/>
        </w:rPr>
        <w:t>The holders of the shares of common stock, voting as a separate class, are entitled to elect one director of the Company.</w:t>
      </w:r>
    </w:p>
    <w:p>
      <w:pPr>
        <w:spacing w:after="0" w:line="51" w:lineRule="exact"/>
        <w:rPr>
          <w:sz w:val="20"/>
          <w:szCs w:val="20"/>
          <w:color w:val="auto"/>
        </w:rPr>
      </w:pPr>
    </w:p>
    <w:p>
      <w:pPr>
        <w:jc w:val="both"/>
        <w:ind w:left="1720" w:right="1739"/>
        <w:spacing w:after="0" w:line="306" w:lineRule="auto"/>
        <w:rPr>
          <w:sz w:val="20"/>
          <w:szCs w:val="20"/>
          <w:color w:val="auto"/>
        </w:rPr>
      </w:pPr>
      <w:r>
        <w:rPr>
          <w:rFonts w:ascii="Times New Roman" w:cs="Times New Roman" w:eastAsia="Times New Roman" w:hAnsi="Times New Roman"/>
          <w:sz w:val="12"/>
          <w:szCs w:val="12"/>
          <w:color w:val="auto"/>
        </w:rPr>
        <w:t>The holders of common stock and redeemable convertible preferred stock, voting together as a single class on an as-converted basis, are entitled to elect all remaining members of the board of directors, if any.</w:t>
      </w: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31" w:name="page232"/>
    <w:bookmarkEnd w:id="231"/>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9. Redeemable Convertible Preferred Stock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Redemption</w:t>
      </w:r>
    </w:p>
    <w:p>
      <w:pPr>
        <w:spacing w:after="0" w:line="120"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color w:val="auto"/>
        </w:rPr>
        <w:t>The redeemable convertible preferred stock is recorded in mezzanine equity because while it is not mandatorily redeemable, it will become redeemable at the option of the preferred stockholders upon the occurrence of certain deemed liquidation events that are considered not solely within the Company’s control.</w:t>
      </w:r>
    </w:p>
    <w:p>
      <w:pPr>
        <w:spacing w:after="0" w:line="26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10. Common Stock</w:t>
      </w:r>
    </w:p>
    <w:p>
      <w:pPr>
        <w:spacing w:after="0" w:line="111" w:lineRule="exact"/>
        <w:rPr>
          <w:sz w:val="20"/>
          <w:szCs w:val="20"/>
          <w:color w:val="auto"/>
        </w:rPr>
      </w:pPr>
    </w:p>
    <w:p>
      <w:pPr>
        <w:jc w:val="both"/>
        <w:ind w:left="1720" w:right="1739"/>
        <w:spacing w:after="0" w:line="277" w:lineRule="auto"/>
        <w:rPr>
          <w:sz w:val="20"/>
          <w:szCs w:val="20"/>
          <w:color w:val="auto"/>
        </w:rPr>
      </w:pPr>
      <w:r>
        <w:rPr>
          <w:rFonts w:ascii="Times New Roman" w:cs="Times New Roman" w:eastAsia="Times New Roman" w:hAnsi="Times New Roman"/>
          <w:sz w:val="12"/>
          <w:szCs w:val="12"/>
          <w:color w:val="auto"/>
        </w:rPr>
        <w:t>As of December 31, 2023, the Company was authorized to issue 125,000,000 shares of Class A common stock and 85,960,088 shares of Class B common stock, both with par values of $0.0001 per share (Class A common stock and Class B common stock, collectively referred to as “common stock”). As of December 31, 2022 and 2023, there were no shares of Class B common stock outstanding.</w:t>
      </w:r>
    </w:p>
    <w:p>
      <w:pPr>
        <w:spacing w:after="0" w:line="68" w:lineRule="exact"/>
        <w:rPr>
          <w:sz w:val="20"/>
          <w:szCs w:val="20"/>
          <w:color w:val="auto"/>
        </w:rPr>
      </w:pPr>
    </w:p>
    <w:p>
      <w:pPr>
        <w:jc w:val="both"/>
        <w:ind w:left="1720" w:right="1739"/>
        <w:spacing w:after="0" w:line="267" w:lineRule="auto"/>
        <w:rPr>
          <w:sz w:val="20"/>
          <w:szCs w:val="20"/>
          <w:color w:val="auto"/>
        </w:rPr>
      </w:pPr>
      <w:r>
        <w:rPr>
          <w:rFonts w:ascii="Times New Roman" w:cs="Times New Roman" w:eastAsia="Times New Roman" w:hAnsi="Times New Roman"/>
          <w:sz w:val="12"/>
          <w:szCs w:val="12"/>
          <w:color w:val="auto"/>
        </w:rPr>
        <w:t>The rights, powers and preferences of the holders of the Class A common stock and Class B common stock are subject to and qualified by the rights, powers and preferences of the holders of the redeemable convertible preferred stock. The holders of Class A and Class B common stock have the same rights except that Class B common stock do not have voting rights, except as may be required by law. Each holder of Class B common stock has a right to convert each share of Class B common stock to one share of Class A common stock. The Company cannot issue shares of Class B common stock other than upon conversion of redeemable convertible preferred stock. At any time following the Company’s registration of any class of equity securities under the Securities Exchange Act of 1934, as amended (the “Exchange Act”), the holders of shares of Class B common stock may not convert a number of shares of Class B common stock into shares of Class A common stock in excess of that number of shares of Class B common stock which would cause the holder thereof to beneficially own (for purposes of Section 13(d) of the Exchange Act), in excess of 4.99% of the total number of issued and outstanding shares of Class A common stock (including shares of Class A common stock issuable upon conversion of the redeemable convertible preferred stock). Such maximum percentage may be increased or decreased to such other percentage as any holder of outstanding shares of Class B common stock may designate in writing upon 61 days’ prior written notice.</w:t>
      </w:r>
    </w:p>
    <w:p>
      <w:pPr>
        <w:spacing w:after="0" w:line="8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Common  stock  reserved  for  issuance,  on  an  as-converted  basis,  consisted  of  the  following  as  of</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December 31, 2022 and 2023:</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257"/>
        </w:trPr>
        <w:tc>
          <w:tcPr>
            <w:tcW w:w="37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940" w:type="dxa"/>
            <w:vAlign w:val="bottom"/>
            <w:gridSpan w:val="5"/>
          </w:tcPr>
          <w:p>
            <w:pPr>
              <w:ind w:left="40"/>
              <w:spacing w:after="0"/>
              <w:rPr>
                <w:sz w:val="20"/>
                <w:szCs w:val="20"/>
                <w:color w:val="auto"/>
              </w:rPr>
            </w:pPr>
            <w:r>
              <w:rPr>
                <w:rFonts w:ascii="Times New Roman" w:cs="Times New Roman" w:eastAsia="Times New Roman" w:hAnsi="Times New Roman"/>
                <w:sz w:val="19"/>
                <w:szCs w:val="19"/>
                <w:b w:val="1"/>
                <w:bCs w:val="1"/>
                <w:color w:val="auto"/>
                <w:w w:val="99"/>
                <w:vertAlign w:val="subscript"/>
              </w:rPr>
              <w:t>​ ​</w:t>
            </w:r>
            <w:r>
              <w:rPr>
                <w:rFonts w:ascii="Times New Roman" w:cs="Times New Roman" w:eastAsia="Times New Roman" w:hAnsi="Times New Roman"/>
                <w:sz w:val="10"/>
                <w:szCs w:val="10"/>
                <w:b w:val="1"/>
                <w:bCs w:val="1"/>
                <w:color w:val="auto"/>
                <w:w w:val="99"/>
              </w:rPr>
              <w:t xml:space="preserve"> December 31, 2022</w:t>
            </w:r>
          </w:p>
        </w:tc>
        <w:tc>
          <w:tcPr>
            <w:tcW w:w="960" w:type="dxa"/>
            <w:vAlign w:val="bottom"/>
            <w:gridSpan w:val="6"/>
          </w:tcPr>
          <w:p>
            <w:pPr>
              <w:ind w:left="40"/>
              <w:spacing w:after="0"/>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December 31, 2023 </w:t>
            </w:r>
            <w:r>
              <w:rPr>
                <w:rFonts w:ascii="Times New Roman" w:cs="Times New Roman" w:eastAsia="Times New Roman" w:hAnsi="Times New Roman"/>
                <w:sz w:val="19"/>
                <w:szCs w:val="19"/>
                <w:b w:val="1"/>
                <w:bCs w:val="1"/>
                <w:color w:val="auto"/>
                <w:vertAlign w:val="subscript"/>
              </w:rPr>
              <w:t>​</w:t>
            </w:r>
          </w:p>
        </w:tc>
      </w:tr>
      <w:tr>
        <w:trPr>
          <w:trHeight w:val="20"/>
        </w:trPr>
        <w:tc>
          <w:tcPr>
            <w:tcW w:w="3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tcBorders>
              <w:right w:val="single" w:sz="8" w:color="auto"/>
            </w:tcBorders>
            <w:gridSpan w:val="4"/>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Redeemable convertible preferred stock issued and outstanding</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80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​14,539,911</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​18,387,168</w:t>
            </w:r>
          </w:p>
        </w:tc>
        <w:tc>
          <w:tcPr>
            <w:tcW w:w="120" w:type="dxa"/>
            <w:vAlign w:val="bottom"/>
            <w:shd w:val="clear" w:color="auto" w:fill="CCEEFF"/>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Outstanding and issued common stock options</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99"/>
              </w:rPr>
              <w:t>4,102,615</w:t>
            </w:r>
          </w:p>
        </w:tc>
        <w:tc>
          <w:tcPr>
            <w:tcW w:w="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5,096,086</w:t>
            </w:r>
          </w:p>
        </w:tc>
        <w:tc>
          <w:tcPr>
            <w:tcW w:w="1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Shares available for grant under 2021 Stock Plan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line="184"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40,006</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Borders>
              <w:bottom w:val="single" w:sz="8" w:color="auto"/>
            </w:tcBorders>
            <w:shd w:val="clear" w:color="auto" w:fill="CCEEFF"/>
          </w:tcPr>
          <w:p>
            <w:pPr>
              <w:spacing w:after="0" w:line="184"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296,189</w:t>
            </w:r>
          </w:p>
        </w:tc>
        <w:tc>
          <w:tcPr>
            <w:tcW w:w="12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2"/>
        </w:trPr>
        <w:tc>
          <w:tcPr>
            <w:tcW w:w="3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800" w:type="dxa"/>
            <w:vAlign w:val="bottom"/>
            <w:gridSpan w:val="4"/>
          </w:tcPr>
          <w:p>
            <w:pPr>
              <w:jc w:val="right"/>
              <w:ind w:right="120"/>
              <w:spacing w:after="0" w:line="163"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​18,679,532</w:t>
            </w:r>
          </w:p>
        </w:tc>
        <w:tc>
          <w:tcPr>
            <w:tcW w:w="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​23,779,443</w:t>
            </w:r>
          </w:p>
        </w:tc>
        <w:tc>
          <w:tcPr>
            <w:tcW w:w="1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-487680</wp:posOffset>
            </wp:positionV>
            <wp:extent cx="3035935"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035935" cy="5715"/>
                    </a:xfrm>
                    <a:prstGeom prst="rect">
                      <a:avLst/>
                    </a:prstGeom>
                    <a:noFill/>
                  </pic:spPr>
                </pic:pic>
              </a:graphicData>
            </a:graphic>
          </wp:anchor>
        </w:drawing>
      </w:r>
    </w:p>
    <w:p>
      <w:pPr>
        <w:spacing w:after="0" w:line="19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Common Stock Issued to Executives</w:t>
      </w:r>
    </w:p>
    <w:p>
      <w:pPr>
        <w:spacing w:after="0" w:line="102" w:lineRule="exact"/>
        <w:rPr>
          <w:sz w:val="20"/>
          <w:szCs w:val="20"/>
          <w:color w:val="auto"/>
        </w:r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color w:val="auto"/>
        </w:rPr>
        <w:t>In February 2021, the Company issued 100,532 shares of common stock to two executives at a purchase price of $0.94 per share. The shares vest over a four-year period with a one-year cliff. The holders have voting and dividends rights. The Company has a right to repurchase unvested shares at the price paid by the holder in the event of termination of the holder’s continuous status as a service provider. The Company estimated the fair value of the restricted stock awards based on the fair value of common stock at the grant dates. The expense is recognized ratably over the vesting terms. The Company recognized $0.1 million for each of the years ended December 31, 2022 and 2023.</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32" w:name="page233"/>
    <w:bookmarkEnd w:id="23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10. Common Stock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Common Stock Issued to Executives (Continued)</w:t>
      </w:r>
    </w:p>
    <w:p>
      <w:pPr>
        <w:spacing w:after="0" w:line="15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The following table summarizes the activity for the Company’s restricted common stock for the years ended</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December 31, 2022 and 2023:</w:t>
      </w:r>
    </w:p>
    <w:p>
      <w:pPr>
        <w:spacing w:after="0" w:line="116"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9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2"/>
              </w:rPr>
              <w:t>Weighted-Average</w:t>
            </w:r>
          </w:p>
        </w:tc>
        <w:tc>
          <w:tcPr>
            <w:tcW w:w="40" w:type="dxa"/>
            <w:vAlign w:val="bottom"/>
          </w:tcPr>
          <w:p>
            <w:pPr>
              <w:spacing w:after="0"/>
              <w:rPr>
                <w:sz w:val="10"/>
                <w:szCs w:val="10"/>
                <w:color w:val="auto"/>
              </w:rPr>
            </w:pPr>
          </w:p>
        </w:tc>
      </w:tr>
      <w:tr>
        <w:trPr>
          <w:trHeight w:val="110"/>
        </w:trPr>
        <w:tc>
          <w:tcPr>
            <w:tcW w:w="29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60" w:type="dxa"/>
            <w:vAlign w:val="bottom"/>
            <w:gridSpan w:val="2"/>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760" w:type="dxa"/>
            <w:vAlign w:val="bottom"/>
            <w:gridSpan w:val="3"/>
          </w:tcPr>
          <w:p>
            <w:pPr>
              <w:jc w:val="center"/>
              <w:ind w:right="20"/>
              <w:spacing w:after="0" w:line="110" w:lineRule="exact"/>
              <w:rPr>
                <w:sz w:val="20"/>
                <w:szCs w:val="20"/>
                <w:color w:val="auto"/>
              </w:rPr>
            </w:pPr>
            <w:r>
              <w:rPr>
                <w:rFonts w:ascii="Times New Roman" w:cs="Times New Roman" w:eastAsia="Times New Roman" w:hAnsi="Times New Roman"/>
                <w:sz w:val="10"/>
                <w:szCs w:val="10"/>
                <w:b w:val="1"/>
                <w:bCs w:val="1"/>
                <w:color w:val="auto"/>
                <w:w w:val="94"/>
              </w:rPr>
              <w:t>Grant Date</w:t>
            </w:r>
          </w:p>
        </w:tc>
        <w:tc>
          <w:tcPr>
            <w:tcW w:w="40" w:type="dxa"/>
            <w:vAlign w:val="bottom"/>
          </w:tcPr>
          <w:p>
            <w:pPr>
              <w:spacing w:after="0"/>
              <w:rPr>
                <w:sz w:val="9"/>
                <w:szCs w:val="9"/>
                <w:color w:val="auto"/>
              </w:rPr>
            </w:pPr>
          </w:p>
        </w:tc>
      </w:tr>
      <w:tr>
        <w:trPr>
          <w:trHeight w:val="145"/>
        </w:trPr>
        <w:tc>
          <w:tcPr>
            <w:tcW w:w="29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860" w:type="dxa"/>
            <w:vAlign w:val="bottom"/>
            <w:gridSpan w:val="3"/>
          </w:tcPr>
          <w:p>
            <w:pPr>
              <w:ind w:left="114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Shares   </w:t>
            </w:r>
            <w:r>
              <w:rPr>
                <w:rFonts w:ascii="Times New Roman" w:cs="Times New Roman" w:eastAsia="Times New Roman" w:hAnsi="Times New Roman"/>
                <w:sz w:val="16"/>
                <w:szCs w:val="16"/>
                <w:b w:val="1"/>
                <w:bCs w:val="1"/>
                <w:color w:val="auto"/>
                <w:vertAlign w:val="subscript"/>
              </w:rPr>
              <w:t>​ ​</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Fair Value</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2940" w:type="dxa"/>
            <w:vAlign w:val="bottom"/>
            <w:shd w:val="clear" w:color="auto" w:fill="CCEEFF"/>
          </w:tcPr>
          <w:p>
            <w:pPr>
              <w:spacing w:after="0" w:line="20" w:lineRule="exact"/>
              <w:rPr>
                <w:sz w:val="1"/>
                <w:szCs w:val="1"/>
                <w:color w:val="auto"/>
              </w:rPr>
            </w:pPr>
          </w:p>
        </w:tc>
        <w:tc>
          <w:tcPr>
            <w:tcW w:w="130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Unvested as of December 31, 2022</w:t>
            </w:r>
          </w:p>
        </w:tc>
        <w:tc>
          <w:tcPr>
            <w:tcW w:w="186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2"/>
                <w:szCs w:val="12"/>
                <w:color w:val="auto"/>
              </w:rPr>
              <w:t>​ ​ ​ 54,456 ​​ ​</w:t>
            </w:r>
          </w:p>
        </w:tc>
        <w:tc>
          <w:tcPr>
            <w:tcW w:w="7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​$2.90</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Vested</w:t>
            </w:r>
          </w:p>
        </w:tc>
        <w:tc>
          <w:tcPr>
            <w:tcW w:w="1860" w:type="dxa"/>
            <w:vAlign w:val="bottom"/>
            <w:gridSpan w:val="3"/>
          </w:tcPr>
          <w:p>
            <w:pPr>
              <w:ind w:left="1140"/>
              <w:spacing w:after="0" w:line="184" w:lineRule="exact"/>
              <w:rPr>
                <w:sz w:val="20"/>
                <w:szCs w:val="20"/>
                <w:color w:val="auto"/>
              </w:rPr>
            </w:pPr>
            <w:r>
              <w:rPr>
                <w:rFonts w:ascii="Times New Roman" w:cs="Times New Roman" w:eastAsia="Times New Roman" w:hAnsi="Times New Roman"/>
                <w:sz w:val="21"/>
                <w:szCs w:val="21"/>
                <w:color w:val="auto"/>
                <w:vertAlign w:val="subscript"/>
              </w:rPr>
              <w:t>​ ​ ​</w:t>
            </w:r>
            <w:r>
              <w:rPr>
                <w:rFonts w:ascii="Times New Roman" w:cs="Times New Roman" w:eastAsia="Times New Roman" w:hAnsi="Times New Roman"/>
                <w:sz w:val="11"/>
                <w:szCs w:val="11"/>
                <w:color w:val="auto"/>
              </w:rPr>
              <w:t>​(25,134)</w:t>
            </w:r>
            <w:r>
              <w:rPr>
                <w:rFonts w:ascii="Times New Roman" w:cs="Times New Roman" w:eastAsia="Times New Roman" w:hAnsi="Times New Roman"/>
                <w:sz w:val="21"/>
                <w:szCs w:val="21"/>
                <w:color w:val="auto"/>
                <w:vertAlign w:val="subscript"/>
              </w:rPr>
              <w:t>​​ ​</w:t>
            </w:r>
          </w:p>
        </w:tc>
        <w:tc>
          <w:tcPr>
            <w:tcW w:w="76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2.90</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940" w:type="dxa"/>
            <w:vAlign w:val="bottom"/>
            <w:shd w:val="clear" w:color="auto" w:fill="CCEEFF"/>
          </w:tcPr>
          <w:p>
            <w:pPr>
              <w:spacing w:after="0" w:line="20" w:lineRule="exact"/>
              <w:rPr>
                <w:sz w:val="1"/>
                <w:szCs w:val="1"/>
                <w:color w:val="auto"/>
              </w:rPr>
            </w:pPr>
          </w:p>
        </w:tc>
        <w:tc>
          <w:tcPr>
            <w:tcW w:w="13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Unvested as of December 31, 2023</w:t>
            </w:r>
          </w:p>
        </w:tc>
        <w:tc>
          <w:tcPr>
            <w:tcW w:w="1860" w:type="dxa"/>
            <w:vAlign w:val="bottom"/>
            <w:gridSpan w:val="3"/>
            <w:shd w:val="clear" w:color="auto" w:fill="CCEEFF"/>
          </w:tcPr>
          <w:p>
            <w:pPr>
              <w:ind w:left="1140"/>
              <w:spacing w:after="0" w:line="164" w:lineRule="exact"/>
              <w:rPr>
                <w:sz w:val="20"/>
                <w:szCs w:val="20"/>
                <w:color w:val="auto"/>
              </w:rPr>
            </w:pPr>
            <w:r>
              <w:rPr>
                <w:rFonts w:ascii="Times New Roman" w:cs="Times New Roman" w:eastAsia="Times New Roman" w:hAnsi="Times New Roman"/>
                <w:sz w:val="18"/>
                <w:szCs w:val="18"/>
                <w:color w:val="auto"/>
                <w:vertAlign w:val="subscript"/>
              </w:rPr>
              <w:t>​ ​ ​</w:t>
            </w:r>
            <w:r>
              <w:rPr>
                <w:rFonts w:ascii="Times New Roman" w:cs="Times New Roman" w:eastAsia="Times New Roman" w:hAnsi="Times New Roman"/>
                <w:sz w:val="10"/>
                <w:szCs w:val="10"/>
                <w:color w:val="auto"/>
              </w:rPr>
              <w:t xml:space="preserve">​ 29,322 </w:t>
            </w:r>
            <w:r>
              <w:rPr>
                <w:rFonts w:ascii="Times New Roman" w:cs="Times New Roman" w:eastAsia="Times New Roman" w:hAnsi="Times New Roman"/>
                <w:sz w:val="18"/>
                <w:szCs w:val="18"/>
                <w:color w:val="auto"/>
                <w:vertAlign w:val="subscript"/>
              </w:rPr>
              <w:t>​​ ​</w:t>
            </w:r>
          </w:p>
        </w:tc>
        <w:tc>
          <w:tcPr>
            <w:tcW w:w="760" w:type="dxa"/>
            <w:vAlign w:val="bottom"/>
            <w:gridSpan w:val="3"/>
            <w:shd w:val="clear" w:color="auto" w:fill="CCEEFF"/>
          </w:tcPr>
          <w:p>
            <w:pPr>
              <w:jc w:val="center"/>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2.90</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7"/>
        </w:trPr>
        <w:tc>
          <w:tcPr>
            <w:tcW w:w="2940" w:type="dxa"/>
            <w:vAlign w:val="bottom"/>
            <w:shd w:val="clear" w:color="auto" w:fill="CCEEFF"/>
          </w:tcPr>
          <w:p>
            <w:pPr>
              <w:spacing w:after="0"/>
              <w:rPr>
                <w:sz w:val="3"/>
                <w:szCs w:val="3"/>
                <w:color w:val="auto"/>
              </w:rPr>
            </w:pPr>
          </w:p>
        </w:tc>
        <w:tc>
          <w:tcPr>
            <w:tcW w:w="1300" w:type="dxa"/>
            <w:vAlign w:val="bottom"/>
            <w:tcBorders>
              <w:righ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-144780</wp:posOffset>
            </wp:positionV>
            <wp:extent cx="3535680"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53568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-377190</wp:posOffset>
            </wp:positionV>
            <wp:extent cx="305308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053080" cy="5715"/>
                    </a:xfrm>
                    <a:prstGeom prst="rect">
                      <a:avLst/>
                    </a:prstGeom>
                    <a:noFill/>
                  </pic:spPr>
                </pic:pic>
              </a:graphicData>
            </a:graphic>
          </wp:anchor>
        </w:drawing>
      </w:r>
    </w:p>
    <w:p>
      <w:pPr>
        <w:spacing w:after="0" w:line="123"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As of December 31, 2023, the remaining unamortized stock-based compensation expense of $0.1 million will be recognized over the remaining vesting period 1.1 years.</w:t>
      </w:r>
    </w:p>
    <w:p>
      <w:pPr>
        <w:spacing w:after="0" w:line="10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11. Stock-Based Compensation</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2021 Stock Plan</w:t>
      </w:r>
    </w:p>
    <w:p>
      <w:pPr>
        <w:spacing w:after="0" w:line="111"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In February 2021, the Company adopted the 2021 Stock Plan (the “2021 Plan”), which provides for stock awards to eligible employees, directors and consultants of the Company. Awards issuable under the 2021 Plan include incentive stock options (“ISO”), non-statutory stock options (“NSO”), restricted stock units (“RSU”) and stock grants.</w:t>
      </w:r>
    </w:p>
    <w:p>
      <w:pPr>
        <w:spacing w:after="0" w:line="66"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The exercise price of ISOs shall not be less than the estimated fair value of the underlying common stock on the date of grant. The exercise price of ISOs granted to an employee who owns more than 10% of the voting power of all classes of stock of the Company shall be no less than 110% of the estimated fair market value of the underlying common stock on the grant date. Stock option grants under the 2021 Plan generally vest over four years. The contractual term of an option is no longer than five years for ISOs for which an employee owns greater than 10% of the voting power of all classes of stock and no longer than ten years for all other options. As of December 31, 2023, the Company was authorized to grant 6,513,375 shares, and 296,189 shares were available for issuance under the 2021 Plan.</w:t>
      </w:r>
    </w:p>
    <w:p>
      <w:pPr>
        <w:spacing w:after="0" w:line="77"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color w:val="auto"/>
        </w:rPr>
        <w:t>The terms of the 2021 Plan permit option holders to exercise options before their options are vested. The shares of common stock granted upon early exercise that have not yet vested are subject to repurchase by the Company in the event of termination of the holder’s continuous status as a service provider, at the price paid by the holder.</w:t>
      </w:r>
    </w:p>
    <w:p>
      <w:pPr>
        <w:spacing w:after="0" w:line="26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Stock Option Activity</w:t>
      </w:r>
    </w:p>
    <w:p>
      <w:pPr>
        <w:spacing w:after="0" w:line="111"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The following table summarizes the Company’s option activity for the years ended December 31, 2022 and 2023. The table includes early exercised shares as part of options exercised.</w:t>
      </w:r>
    </w:p>
    <w:p>
      <w:pPr>
        <w:spacing w:after="0" w:line="69" w:lineRule="exact"/>
        <w:rPr>
          <w:sz w:val="20"/>
          <w:szCs w:val="20"/>
          <w:color w:val="auto"/>
        </w:rPr>
      </w:pPr>
    </w:p>
    <w:tbl>
      <w:tblPr>
        <w:tblLayout w:type="fixed"/>
        <w:tblInd w:w="860" w:type="dxa"/>
        <w:tblCellMar>
          <w:top w:w="0" w:type="dxa"/>
          <w:left w:w="0" w:type="dxa"/>
          <w:bottom w:w="0" w:type="dxa"/>
          <w:right w:w="0" w:type="dxa"/>
        </w:tblCellMar>
      </w:tblPr>
      <w:tr>
        <w:trPr>
          <w:trHeight w:val="115"/>
        </w:trPr>
        <w:tc>
          <w:tcPr>
            <w:tcW w:w="8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3"/>
          </w:tcPr>
          <w:p>
            <w:pPr>
              <w:jc w:val="center"/>
              <w:ind w:right="102"/>
              <w:spacing w:after="0" w:line="110" w:lineRule="exact"/>
              <w:rPr>
                <w:sz w:val="20"/>
                <w:szCs w:val="20"/>
                <w:color w:val="auto"/>
              </w:rPr>
            </w:pPr>
            <w:r>
              <w:rPr>
                <w:rFonts w:ascii="Times New Roman" w:cs="Times New Roman" w:eastAsia="Times New Roman" w:hAnsi="Times New Roman"/>
                <w:sz w:val="10"/>
                <w:szCs w:val="10"/>
                <w:b w:val="1"/>
                <w:bCs w:val="1"/>
                <w:color w:val="auto"/>
                <w:w w:val="94"/>
              </w:rPr>
              <w:t>Weighted-</w:t>
            </w:r>
          </w:p>
        </w:tc>
        <w:tc>
          <w:tcPr>
            <w:tcW w:w="52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140" w:type="dxa"/>
            <w:vAlign w:val="bottom"/>
          </w:tcPr>
          <w:p>
            <w:pPr>
              <w:spacing w:after="0"/>
              <w:rPr>
                <w:sz w:val="9"/>
                <w:szCs w:val="9"/>
                <w:color w:val="auto"/>
              </w:rPr>
            </w:pPr>
          </w:p>
        </w:tc>
        <w:tc>
          <w:tcPr>
            <w:tcW w:w="1300" w:type="dxa"/>
            <w:vAlign w:val="bottom"/>
            <w:gridSpan w:val="3"/>
          </w:tcPr>
          <w:p>
            <w:pPr>
              <w:jc w:val="center"/>
              <w:ind w:right="799"/>
              <w:spacing w:after="0" w:line="110" w:lineRule="exact"/>
              <w:rPr>
                <w:sz w:val="20"/>
                <w:szCs w:val="20"/>
                <w:color w:val="auto"/>
              </w:rPr>
            </w:pPr>
            <w:r>
              <w:rPr>
                <w:rFonts w:ascii="Times New Roman" w:cs="Times New Roman" w:eastAsia="Times New Roman" w:hAnsi="Times New Roman"/>
                <w:sz w:val="10"/>
                <w:szCs w:val="10"/>
                <w:b w:val="1"/>
                <w:bCs w:val="1"/>
                <w:color w:val="auto"/>
                <w:w w:val="91"/>
              </w:rPr>
              <w:t>Aggregate</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140" w:type="dxa"/>
            <w:vAlign w:val="bottom"/>
          </w:tcPr>
          <w:p>
            <w:pPr>
              <w:spacing w:after="0"/>
              <w:rPr>
                <w:sz w:val="9"/>
                <w:szCs w:val="9"/>
                <w:color w:val="auto"/>
              </w:rPr>
            </w:pPr>
          </w:p>
        </w:tc>
        <w:tc>
          <w:tcPr>
            <w:tcW w:w="52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Remaining</w:t>
            </w:r>
          </w:p>
        </w:tc>
        <w:tc>
          <w:tcPr>
            <w:tcW w:w="140" w:type="dxa"/>
            <w:vAlign w:val="bottom"/>
          </w:tcPr>
          <w:p>
            <w:pPr>
              <w:spacing w:after="0"/>
              <w:rPr>
                <w:sz w:val="9"/>
                <w:szCs w:val="9"/>
                <w:color w:val="auto"/>
              </w:rPr>
            </w:pPr>
          </w:p>
        </w:tc>
        <w:tc>
          <w:tcPr>
            <w:tcW w:w="1300" w:type="dxa"/>
            <w:vAlign w:val="bottom"/>
            <w:gridSpan w:val="3"/>
          </w:tcPr>
          <w:p>
            <w:pPr>
              <w:jc w:val="center"/>
              <w:ind w:right="819"/>
              <w:spacing w:after="0" w:line="110" w:lineRule="exact"/>
              <w:rPr>
                <w:sz w:val="20"/>
                <w:szCs w:val="20"/>
                <w:color w:val="auto"/>
              </w:rPr>
            </w:pPr>
            <w:r>
              <w:rPr>
                <w:rFonts w:ascii="Times New Roman" w:cs="Times New Roman" w:eastAsia="Times New Roman" w:hAnsi="Times New Roman"/>
                <w:sz w:val="10"/>
                <w:szCs w:val="10"/>
                <w:b w:val="1"/>
                <w:bCs w:val="1"/>
                <w:color w:val="auto"/>
                <w:w w:val="92"/>
              </w:rPr>
              <w:t>Intrinsic</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Exercise</w:t>
            </w:r>
          </w:p>
        </w:tc>
        <w:tc>
          <w:tcPr>
            <w:tcW w:w="140" w:type="dxa"/>
            <w:vAlign w:val="bottom"/>
          </w:tcPr>
          <w:p>
            <w:pPr>
              <w:spacing w:after="0"/>
              <w:rPr>
                <w:sz w:val="9"/>
                <w:szCs w:val="9"/>
                <w:color w:val="auto"/>
              </w:rPr>
            </w:pPr>
          </w:p>
        </w:tc>
        <w:tc>
          <w:tcPr>
            <w:tcW w:w="52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Contractual</w:t>
            </w:r>
          </w:p>
        </w:tc>
        <w:tc>
          <w:tcPr>
            <w:tcW w:w="140" w:type="dxa"/>
            <w:vAlign w:val="bottom"/>
          </w:tcPr>
          <w:p>
            <w:pPr>
              <w:spacing w:after="0"/>
              <w:rPr>
                <w:sz w:val="9"/>
                <w:szCs w:val="9"/>
                <w:color w:val="auto"/>
              </w:rPr>
            </w:pPr>
          </w:p>
        </w:tc>
        <w:tc>
          <w:tcPr>
            <w:tcW w:w="1300" w:type="dxa"/>
            <w:vAlign w:val="bottom"/>
            <w:gridSpan w:val="3"/>
          </w:tcPr>
          <w:p>
            <w:pPr>
              <w:jc w:val="center"/>
              <w:ind w:right="799"/>
              <w:spacing w:after="0" w:line="110" w:lineRule="exact"/>
              <w:rPr>
                <w:sz w:val="20"/>
                <w:szCs w:val="20"/>
                <w:color w:val="auto"/>
              </w:rPr>
            </w:pPr>
            <w:r>
              <w:rPr>
                <w:rFonts w:ascii="Times New Roman" w:cs="Times New Roman" w:eastAsia="Times New Roman" w:hAnsi="Times New Roman"/>
                <w:sz w:val="10"/>
                <w:szCs w:val="10"/>
                <w:b w:val="1"/>
                <w:bCs w:val="1"/>
                <w:color w:val="auto"/>
                <w:w w:val="95"/>
              </w:rPr>
              <w:t>Value</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3"/>
          </w:tcPr>
          <w:p>
            <w:pPr>
              <w:jc w:val="center"/>
              <w:ind w:right="102"/>
              <w:spacing w:after="0" w:line="110" w:lineRule="exact"/>
              <w:rPr>
                <w:sz w:val="20"/>
                <w:szCs w:val="20"/>
                <w:color w:val="auto"/>
              </w:rPr>
            </w:pPr>
            <w:r>
              <w:rPr>
                <w:rFonts w:ascii="Times New Roman" w:cs="Times New Roman" w:eastAsia="Times New Roman" w:hAnsi="Times New Roman"/>
                <w:sz w:val="10"/>
                <w:szCs w:val="10"/>
                <w:b w:val="1"/>
                <w:bCs w:val="1"/>
                <w:color w:val="auto"/>
                <w:w w:val="95"/>
              </w:rPr>
              <w:t>Price Per</w:t>
            </w:r>
          </w:p>
        </w:tc>
        <w:tc>
          <w:tcPr>
            <w:tcW w:w="380" w:type="dxa"/>
            <w:vAlign w:val="bottom"/>
          </w:tcPr>
          <w:p>
            <w:pPr>
              <w:jc w:val="center"/>
              <w:ind w:left="66"/>
              <w:spacing w:after="0" w:line="110" w:lineRule="exact"/>
              <w:rPr>
                <w:sz w:val="20"/>
                <w:szCs w:val="20"/>
                <w:color w:val="auto"/>
              </w:rPr>
            </w:pPr>
            <w:r>
              <w:rPr>
                <w:rFonts w:ascii="Times New Roman" w:cs="Times New Roman" w:eastAsia="Times New Roman" w:hAnsi="Times New Roman"/>
                <w:sz w:val="10"/>
                <w:szCs w:val="10"/>
                <w:b w:val="1"/>
                <w:bCs w:val="1"/>
                <w:color w:val="auto"/>
                <w:w w:val="91"/>
              </w:rPr>
              <w:t>Term</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tcPr>
          <w:p>
            <w:pPr>
              <w:jc w:val="center"/>
              <w:ind w:right="939"/>
              <w:spacing w:after="0" w:line="110" w:lineRule="exact"/>
              <w:rPr>
                <w:sz w:val="20"/>
                <w:szCs w:val="20"/>
                <w:color w:val="auto"/>
              </w:rPr>
            </w:pPr>
            <w:r>
              <w:rPr>
                <w:rFonts w:ascii="Times New Roman" w:cs="Times New Roman" w:eastAsia="Times New Roman" w:hAnsi="Times New Roman"/>
                <w:sz w:val="10"/>
                <w:szCs w:val="10"/>
                <w:b w:val="1"/>
                <w:bCs w:val="1"/>
                <w:color w:val="auto"/>
              </w:rPr>
              <w:t>(in</w:t>
            </w: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940" w:type="dxa"/>
            <w:vAlign w:val="bottom"/>
          </w:tcPr>
          <w:p>
            <w:pPr>
              <w:ind w:left="820"/>
              <w:spacing w:after="0"/>
              <w:rPr>
                <w:sz w:val="20"/>
                <w:szCs w:val="20"/>
                <w:color w:val="auto"/>
              </w:rPr>
            </w:pPr>
            <w:r>
              <w:rPr>
                <w:rFonts w:ascii="Times New Roman" w:cs="Times New Roman" w:eastAsia="Times New Roman" w:hAnsi="Times New Roman"/>
                <w:sz w:val="10"/>
                <w:szCs w:val="10"/>
                <w:b w:val="1"/>
                <w:bCs w:val="1"/>
                <w:color w:val="auto"/>
              </w:rPr>
              <w:t>​ ​</w:t>
            </w:r>
          </w:p>
        </w:tc>
        <w:tc>
          <w:tcPr>
            <w:tcW w:w="60" w:type="dxa"/>
            <w:vAlign w:val="bottom"/>
          </w:tcPr>
          <w:p>
            <w:pPr>
              <w:spacing w:after="0"/>
              <w:rPr>
                <w:sz w:val="12"/>
                <w:szCs w:val="12"/>
                <w:color w:val="auto"/>
              </w:rPr>
            </w:pPr>
          </w:p>
        </w:tc>
        <w:tc>
          <w:tcPr>
            <w:tcW w:w="580" w:type="dxa"/>
            <w:vAlign w:val="bottom"/>
            <w:gridSpan w:val="2"/>
          </w:tcPr>
          <w:p>
            <w:pPr>
              <w:jc w:val="right"/>
              <w:ind w:right="55"/>
              <w:spacing w:after="0" w:line="145" w:lineRule="exact"/>
              <w:rPr>
                <w:sz w:val="20"/>
                <w:szCs w:val="20"/>
                <w:color w:val="auto"/>
              </w:rPr>
            </w:pPr>
            <w:r>
              <w:rPr>
                <w:rFonts w:ascii="Times New Roman" w:cs="Times New Roman" w:eastAsia="Times New Roman" w:hAnsi="Times New Roman"/>
                <w:sz w:val="9"/>
                <w:szCs w:val="9"/>
                <w:b w:val="1"/>
                <w:bCs w:val="1"/>
                <w:color w:val="auto"/>
              </w:rPr>
              <w:t xml:space="preserve">Options   </w:t>
            </w:r>
            <w:r>
              <w:rPr>
                <w:rFonts w:ascii="Times New Roman" w:cs="Times New Roman" w:eastAsia="Times New Roman" w:hAnsi="Times New Roman"/>
                <w:sz w:val="16"/>
                <w:szCs w:val="16"/>
                <w:b w:val="1"/>
                <w:bCs w:val="1"/>
                <w:color w:val="auto"/>
                <w:vertAlign w:val="subscript"/>
              </w:rPr>
              <w:t>​</w:t>
            </w:r>
          </w:p>
        </w:tc>
        <w:tc>
          <w:tcPr>
            <w:tcW w:w="440" w:type="dxa"/>
            <w:vAlign w:val="bottom"/>
            <w:gridSpan w:val="2"/>
          </w:tcPr>
          <w:p>
            <w:pPr>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(in years)</w:t>
            </w:r>
          </w:p>
        </w:tc>
        <w:tc>
          <w:tcPr>
            <w:tcW w:w="1440" w:type="dxa"/>
            <w:vAlign w:val="bottom"/>
            <w:gridSpan w:val="4"/>
          </w:tcPr>
          <w:p>
            <w:pPr>
              <w:jc w:val="right"/>
              <w:ind w:right="759"/>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thousands)</w:t>
            </w:r>
            <w:r>
              <w:rPr>
                <w:rFonts w:ascii="Times New Roman" w:cs="Times New Roman" w:eastAsia="Times New Roman" w:hAnsi="Times New Roman"/>
                <w:sz w:val="16"/>
                <w:szCs w:val="16"/>
                <w:b w:val="1"/>
                <w:bCs w:val="1"/>
                <w:color w:val="auto"/>
                <w:vertAlign w:val="subscript"/>
              </w:rPr>
              <w:t>​</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60" w:type="dxa"/>
            <w:vAlign w:val="bottom"/>
          </w:tcPr>
          <w:p>
            <w:pPr>
              <w:spacing w:after="0"/>
              <w:rPr>
                <w:sz w:val="12"/>
                <w:szCs w:val="12"/>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as of December 31, 2022</w:t>
            </w:r>
          </w:p>
        </w:tc>
        <w:tc>
          <w:tcPr>
            <w:tcW w:w="1580" w:type="dxa"/>
            <w:vAlign w:val="bottom"/>
            <w:tcBorders>
              <w:right w:val="single" w:sz="8" w:color="CCEEFF"/>
            </w:tcBorders>
            <w:gridSpan w:val="4"/>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4,102,615​​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9.20</w:t>
            </w:r>
          </w:p>
        </w:tc>
        <w:tc>
          <w:tcPr>
            <w:tcW w:w="140" w:type="dxa"/>
            <w:vAlign w:val="bottom"/>
            <w:tcBorders>
              <w:right w:val="single" w:sz="8" w:color="CCEEFF"/>
            </w:tcBorders>
            <w:shd w:val="clear" w:color="auto" w:fill="CCEEFF"/>
          </w:tcPr>
          <w:p>
            <w:pPr>
              <w:spacing w:after="0"/>
              <w:rPr>
                <w:sz w:val="12"/>
                <w:szCs w:val="12"/>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4,933</w:t>
            </w:r>
          </w:p>
        </w:tc>
        <w:tc>
          <w:tcPr>
            <w:tcW w:w="860" w:type="dxa"/>
            <w:vAlign w:val="bottom"/>
          </w:tcPr>
          <w:p>
            <w:pPr>
              <w:jc w:val="right"/>
              <w:ind w:right="759"/>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2"/>
                <w:szCs w:val="12"/>
                <w:color w:val="auto"/>
              </w:rPr>
              <w:t>Options granted</w:t>
            </w:r>
          </w:p>
        </w:tc>
        <w:tc>
          <w:tcPr>
            <w:tcW w:w="1580" w:type="dxa"/>
            <w:vAlign w:val="bottom"/>
            <w:gridSpan w:val="4"/>
          </w:tcPr>
          <w:p>
            <w:pPr>
              <w:ind w:left="820"/>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1,136,376​​</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​$13.32 ​​ ​</w:t>
            </w:r>
          </w:p>
        </w:tc>
        <w:tc>
          <w:tcPr>
            <w:tcW w:w="38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 ​ ​</w:t>
            </w:r>
          </w:p>
        </w:tc>
        <w:tc>
          <w:tcPr>
            <w:tcW w:w="1160" w:type="dxa"/>
            <w:vAlign w:val="bottom"/>
            <w:gridSpan w:val="2"/>
          </w:tcPr>
          <w:p>
            <w:pPr>
              <w:jc w:val="right"/>
              <w:ind w:right="75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exercised</w:t>
            </w:r>
          </w:p>
        </w:tc>
        <w:tc>
          <w:tcPr>
            <w:tcW w:w="1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p>
        </w:tc>
        <w:tc>
          <w:tcPr>
            <w:tcW w:w="580" w:type="dxa"/>
            <w:vAlign w:val="bottom"/>
            <w:tcBorders>
              <w:right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2"/>
                <w:szCs w:val="12"/>
                <w:color w:val="auto"/>
              </w:rPr>
              <w:t>(48,442​​)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860" w:type="dxa"/>
            <w:vAlign w:val="bottom"/>
          </w:tcPr>
          <w:p>
            <w:pPr>
              <w:jc w:val="right"/>
              <w:ind w:right="759"/>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7"/>
        </w:trPr>
        <w:tc>
          <w:tcPr>
            <w:tcW w:w="86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2"/>
                <w:szCs w:val="12"/>
                <w:color w:val="auto"/>
              </w:rPr>
              <w:t>Options forfeited or expired</w:t>
            </w:r>
          </w:p>
        </w:tc>
        <w:tc>
          <w:tcPr>
            <w:tcW w:w="9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75"/>
              <w:spacing w:after="0"/>
              <w:rPr>
                <w:sz w:val="20"/>
                <w:szCs w:val="20"/>
                <w:color w:val="auto"/>
              </w:rPr>
            </w:pPr>
            <w:r>
              <w:rPr>
                <w:rFonts w:ascii="Times New Roman" w:cs="Times New Roman" w:eastAsia="Times New Roman" w:hAnsi="Times New Roman"/>
                <w:sz w:val="12"/>
                <w:szCs w:val="12"/>
                <w:color w:val="auto"/>
              </w:rPr>
              <w:t>(94,463)</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 ​ ​ ​</w:t>
            </w:r>
          </w:p>
        </w:tc>
        <w:tc>
          <w:tcPr>
            <w:tcW w:w="1160" w:type="dxa"/>
            <w:vAlign w:val="bottom"/>
            <w:gridSpan w:val="2"/>
            <w:vMerge w:val="restart"/>
          </w:tcPr>
          <w:p>
            <w:pPr>
              <w:jc w:val="right"/>
              <w:ind w:right="75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46"/>
        </w:trPr>
        <w:tc>
          <w:tcPr>
            <w:tcW w:w="86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000" w:type="dxa"/>
            <w:vAlign w:val="bottom"/>
            <w:gridSpan w:val="2"/>
          </w:tcPr>
          <w:p>
            <w:pPr>
              <w:ind w:left="820"/>
              <w:spacing w:after="0" w:line="46" w:lineRule="exact"/>
              <w:rPr>
                <w:sz w:val="20"/>
                <w:szCs w:val="20"/>
                <w:color w:val="auto"/>
              </w:rPr>
            </w:pPr>
            <w:r>
              <w:rPr>
                <w:rFonts w:ascii="Times New Roman" w:cs="Times New Roman" w:eastAsia="Times New Roman" w:hAnsi="Times New Roman"/>
                <w:sz w:val="5"/>
                <w:szCs w:val="5"/>
                <w:color w:val="auto"/>
              </w:rPr>
              <w:t>​ ​​</w:t>
            </w:r>
          </w:p>
        </w:tc>
        <w:tc>
          <w:tcPr>
            <w:tcW w:w="440" w:type="dxa"/>
            <w:vAlign w:val="bottom"/>
          </w:tcPr>
          <w:p>
            <w:pPr>
              <w:spacing w:after="0"/>
              <w:rPr>
                <w:sz w:val="3"/>
                <w:szCs w:val="3"/>
                <w:color w:val="auto"/>
              </w:rPr>
            </w:pPr>
          </w:p>
        </w:tc>
        <w:tc>
          <w:tcPr>
            <w:tcW w:w="140" w:type="dxa"/>
            <w:vAlign w:val="bottom"/>
          </w:tcPr>
          <w:p>
            <w:pPr>
              <w:jc w:val="right"/>
              <w:ind w:right="55"/>
              <w:spacing w:after="0" w:line="46" w:lineRule="exact"/>
              <w:rPr>
                <w:sz w:val="20"/>
                <w:szCs w:val="20"/>
                <w:color w:val="auto"/>
              </w:rPr>
            </w:pPr>
            <w:r>
              <w:rPr>
                <w:rFonts w:ascii="Times New Roman" w:cs="Times New Roman" w:eastAsia="Times New Roman" w:hAnsi="Times New Roman"/>
                <w:sz w:val="5"/>
                <w:szCs w:val="5"/>
                <w:color w:val="auto"/>
              </w:rPr>
              <w:t>​​</w:t>
            </w:r>
          </w:p>
        </w:tc>
        <w:tc>
          <w:tcPr>
            <w:tcW w:w="140" w:type="dxa"/>
            <w:vAlign w:val="bottom"/>
          </w:tcPr>
          <w:p>
            <w:pPr>
              <w:spacing w:after="0" w:line="46" w:lineRule="exact"/>
              <w:rPr>
                <w:sz w:val="20"/>
                <w:szCs w:val="20"/>
                <w:color w:val="auto"/>
              </w:rPr>
            </w:pPr>
            <w:r>
              <w:rPr>
                <w:rFonts w:ascii="Times New Roman" w:cs="Times New Roman" w:eastAsia="Times New Roman" w:hAnsi="Times New Roman"/>
                <w:sz w:val="5"/>
                <w:szCs w:val="5"/>
                <w:color w:val="auto"/>
              </w:rPr>
              <w:t>​ ​</w:t>
            </w:r>
          </w:p>
        </w:tc>
        <w:tc>
          <w:tcPr>
            <w:tcW w:w="30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28"/>
        </w:trPr>
        <w:tc>
          <w:tcPr>
            <w:tcW w:w="8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F-26</w:t>
            </w: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60" w:type="dxa"/>
            <w:vAlign w:val="bottom"/>
            <w:tcBorders>
              <w:bottom w:val="single" w:sz="8" w:color="9A9A9A"/>
            </w:tcBorders>
          </w:tcPr>
          <w:p>
            <w:pPr>
              <w:spacing w:after="0"/>
              <w:rPr>
                <w:sz w:val="23"/>
                <w:szCs w:val="23"/>
                <w:color w:val="auto"/>
              </w:rPr>
            </w:pPr>
          </w:p>
        </w:tc>
        <w:tc>
          <w:tcPr>
            <w:tcW w:w="230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4255770</wp:posOffset>
            </wp:positionH>
            <wp:positionV relativeFrom="paragraph">
              <wp:posOffset>-894715</wp:posOffset>
            </wp:positionV>
            <wp:extent cx="93345"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-894715</wp:posOffset>
            </wp:positionV>
            <wp:extent cx="2837815"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837815" cy="571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-23495</wp:posOffset>
            </wp:positionV>
            <wp:extent cx="31115" cy="3683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538480</wp:posOffset>
            </wp:positionH>
            <wp:positionV relativeFrom="paragraph">
              <wp:posOffset>-23495</wp:posOffset>
            </wp:positionV>
            <wp:extent cx="31115" cy="3683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33" w:name="page234"/>
    <w:bookmarkEnd w:id="233"/>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11. Stock-Based Compensation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Stock Option Activity (Continued)</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0"/>
        </w:trPr>
        <w:tc>
          <w:tcPr>
            <w:tcW w:w="3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0"/>
                <w:szCs w:val="10"/>
                <w:b w:val="1"/>
                <w:bCs w:val="1"/>
                <w:color w:val="auto"/>
                <w:w w:val="94"/>
              </w:rPr>
              <w:t>Weighted-</w:t>
            </w:r>
          </w:p>
        </w:tc>
        <w:tc>
          <w:tcPr>
            <w:tcW w:w="50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1"/>
              </w:rPr>
              <w:t>Aggregate</w:t>
            </w:r>
          </w:p>
        </w:tc>
      </w:tr>
      <w:tr>
        <w:trPr>
          <w:trHeight w:val="110"/>
        </w:trPr>
        <w:tc>
          <w:tcPr>
            <w:tcW w:w="3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50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Remaining</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Intrinsic</w:t>
            </w:r>
          </w:p>
        </w:tc>
      </w:tr>
      <w:tr>
        <w:trPr>
          <w:trHeight w:val="110"/>
        </w:trPr>
        <w:tc>
          <w:tcPr>
            <w:tcW w:w="3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0"/>
                <w:szCs w:val="10"/>
                <w:b w:val="1"/>
                <w:bCs w:val="1"/>
                <w:color w:val="auto"/>
                <w:w w:val="94"/>
              </w:rPr>
              <w:t>Exercise</w:t>
            </w:r>
          </w:p>
        </w:tc>
        <w:tc>
          <w:tcPr>
            <w:tcW w:w="50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Contractual</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Value</w:t>
            </w:r>
          </w:p>
        </w:tc>
      </w:tr>
      <w:tr>
        <w:trPr>
          <w:trHeight w:val="110"/>
        </w:trPr>
        <w:tc>
          <w:tcPr>
            <w:tcW w:w="3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0"/>
                <w:szCs w:val="10"/>
                <w:b w:val="1"/>
                <w:bCs w:val="1"/>
                <w:color w:val="auto"/>
                <w:w w:val="95"/>
              </w:rPr>
              <w:t>Price Per</w:t>
            </w:r>
          </w:p>
        </w:tc>
        <w:tc>
          <w:tcPr>
            <w:tcW w:w="50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1"/>
              </w:rPr>
              <w:t>Term</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rPr>
              <w:t>(in</w:t>
            </w:r>
          </w:p>
        </w:tc>
      </w:tr>
      <w:tr>
        <w:trPr>
          <w:trHeight w:val="145"/>
        </w:trPr>
        <w:tc>
          <w:tcPr>
            <w:tcW w:w="3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360" w:type="dxa"/>
            <w:vAlign w:val="bottom"/>
            <w:gridSpan w:val="6"/>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Options   </w:t>
            </w: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Share   </w:t>
            </w:r>
            <w:r>
              <w:rPr>
                <w:rFonts w:ascii="Times New Roman" w:cs="Times New Roman" w:eastAsia="Times New Roman" w:hAnsi="Times New Roman"/>
                <w:sz w:val="16"/>
                <w:szCs w:val="16"/>
                <w:b w:val="1"/>
                <w:bCs w:val="1"/>
                <w:color w:val="auto"/>
                <w:vertAlign w:val="subscript"/>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(in years)</w:t>
            </w:r>
          </w:p>
        </w:tc>
        <w:tc>
          <w:tcPr>
            <w:tcW w:w="20" w:type="dxa"/>
            <w:vAlign w:val="bottom"/>
          </w:tcPr>
          <w:p>
            <w:pPr>
              <w:spacing w:after="0"/>
              <w:rPr>
                <w:sz w:val="12"/>
                <w:szCs w:val="12"/>
                <w:color w:val="auto"/>
              </w:rPr>
            </w:pPr>
          </w:p>
        </w:tc>
        <w:tc>
          <w:tcPr>
            <w:tcW w:w="62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thousands)</w:t>
            </w:r>
            <w:r>
              <w:rPr>
                <w:rFonts w:ascii="Times New Roman" w:cs="Times New Roman" w:eastAsia="Times New Roman" w:hAnsi="Times New Roman"/>
                <w:sz w:val="16"/>
                <w:szCs w:val="16"/>
                <w:b w:val="1"/>
                <w:bCs w:val="1"/>
                <w:color w:val="auto"/>
                <w:vertAlign w:val="subscript"/>
              </w:rPr>
              <w:t>​</w:t>
            </w:r>
          </w:p>
        </w:tc>
      </w:tr>
      <w:tr>
        <w:trPr>
          <w:trHeight w:val="141"/>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and expected to vest as of December 31,</w:t>
            </w: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77"/>
        </w:trPr>
        <w:tc>
          <w:tcPr>
            <w:tcW w:w="3100" w:type="dxa"/>
            <w:vAlign w:val="bottom"/>
            <w:shd w:val="clear" w:color="auto" w:fill="CCEEFF"/>
          </w:tcPr>
          <w:p>
            <w:pPr>
              <w:jc w:val="right"/>
              <w:ind w:right="2662"/>
              <w:spacing w:after="0"/>
              <w:rPr>
                <w:sz w:val="20"/>
                <w:szCs w:val="20"/>
                <w:color w:val="auto"/>
              </w:rPr>
            </w:pPr>
            <w:r>
              <w:rPr>
                <w:rFonts w:ascii="Times New Roman" w:cs="Times New Roman" w:eastAsia="Times New Roman" w:hAnsi="Times New Roman"/>
                <w:sz w:val="12"/>
                <w:szCs w:val="12"/>
                <w:color w:val="auto"/>
              </w:rPr>
              <w:t>2023</w:t>
            </w:r>
          </w:p>
        </w:tc>
        <w:tc>
          <w:tcPr>
            <w:tcW w:w="13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​​5,096,086​​ ​ ​$ 9.68 ​ ​ ​</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8.50</w:t>
            </w:r>
          </w:p>
        </w:tc>
        <w:tc>
          <w:tcPr>
            <w:tcW w:w="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​$15,033</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3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Exercisable as of December 31, 2023</w:t>
            </w:r>
          </w:p>
        </w:tc>
        <w:tc>
          <w:tcPr>
            <w:tcW w:w="1360" w:type="dxa"/>
            <w:vAlign w:val="bottom"/>
            <w:gridSpan w:val="6"/>
          </w:tcPr>
          <w:p>
            <w:pPr>
              <w:ind w:left="20"/>
              <w:spacing w:after="0"/>
              <w:rPr>
                <w:sz w:val="20"/>
                <w:szCs w:val="20"/>
                <w:color w:val="auto"/>
              </w:rPr>
            </w:pPr>
            <w:r>
              <w:rPr>
                <w:rFonts w:ascii="Times New Roman" w:cs="Times New Roman" w:eastAsia="Times New Roman" w:hAnsi="Times New Roman"/>
                <w:sz w:val="12"/>
                <w:szCs w:val="12"/>
                <w:color w:val="auto"/>
              </w:rPr>
              <w:t>​ ​​​5,096,086​​ ​ ​$ 9.68 ​ ​ ​</w:t>
            </w:r>
          </w:p>
        </w:tc>
        <w:tc>
          <w:tcPr>
            <w:tcW w:w="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8.50</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 xml:space="preserve">​​ ​ ​$15,033 </w:t>
            </w:r>
            <w:r>
              <w:rPr>
                <w:rFonts w:ascii="Times New Roman" w:cs="Times New Roman" w:eastAsia="Times New Roman" w:hAnsi="Times New Roman"/>
                <w:sz w:val="12"/>
                <w:szCs w:val="12"/>
                <w:b w:val="1"/>
                <w:bCs w:val="1"/>
                <w:color w:val="auto"/>
              </w:rPr>
              <w:t>​</w:t>
            </w:r>
          </w:p>
        </w:tc>
      </w:tr>
      <w:tr>
        <w:trPr>
          <w:trHeight w:val="20"/>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4255770</wp:posOffset>
            </wp:positionH>
            <wp:positionV relativeFrom="paragraph">
              <wp:posOffset>-354330</wp:posOffset>
            </wp:positionV>
            <wp:extent cx="93345"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-354330</wp:posOffset>
            </wp:positionV>
            <wp:extent cx="2837815"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837815" cy="5715"/>
                    </a:xfrm>
                    <a:prstGeom prst="rect">
                      <a:avLst/>
                    </a:prstGeom>
                    <a:noFill/>
                  </pic:spPr>
                </pic:pic>
              </a:graphicData>
            </a:graphic>
          </wp:anchor>
        </w:drawing>
      </w:r>
    </w:p>
    <w:p>
      <w:pPr>
        <w:spacing w:after="0" w:line="159"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The intrinsic value of options exercised during the year ended December 31, 2022 was $0.1 million. The weighted-average grant date fair value was $ 6.86 and $10.93 per option for the years ended December 2022 and 2023, respectively. The total fair value of shares vested for the years ended December 31, 2022 and 2023 was $2.3 million and $8.1 million, respectively.</w:t>
      </w:r>
    </w:p>
    <w:p>
      <w:pPr>
        <w:spacing w:after="0" w:line="8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Stock Option Valuation</w:t>
      </w:r>
    </w:p>
    <w:p>
      <w:pPr>
        <w:spacing w:after="0" w:line="102"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The fair value of stock options granted for the years ended December 31, 2022 and 2023 was estimated using the Black-Scholes option pricing model with the following assumptions:</w:t>
      </w:r>
    </w:p>
    <w:p>
      <w:pPr>
        <w:spacing w:after="0" w:line="60"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Year Ended</w:t>
            </w:r>
          </w:p>
        </w:tc>
        <w:tc>
          <w:tcPr>
            <w:tcW w:w="14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Year Ended</w:t>
            </w:r>
          </w:p>
        </w:tc>
        <w:tc>
          <w:tcPr>
            <w:tcW w:w="40" w:type="dxa"/>
            <w:vAlign w:val="bottom"/>
          </w:tcPr>
          <w:p>
            <w:pPr>
              <w:spacing w:after="0"/>
              <w:rPr>
                <w:sz w:val="10"/>
                <w:szCs w:val="10"/>
                <w:color w:val="auto"/>
              </w:rPr>
            </w:pPr>
          </w:p>
        </w:tc>
      </w:tr>
      <w:tr>
        <w:trPr>
          <w:trHeight w:val="145"/>
        </w:trPr>
        <w:tc>
          <w:tcPr>
            <w:tcW w:w="2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20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0"/>
                <w:szCs w:val="10"/>
                <w:b w:val="1"/>
                <w:bCs w:val="1"/>
                <w:color w:val="auto"/>
              </w:rPr>
              <w:t>​ ​</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December 31, 2022</w:t>
            </w:r>
          </w:p>
        </w:tc>
        <w:tc>
          <w:tcPr>
            <w:tcW w:w="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December 31, 2023</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term (in years)</w:t>
            </w:r>
          </w:p>
        </w:tc>
        <w:tc>
          <w:tcPr>
            <w:tcW w:w="12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2"/>
                <w:szCs w:val="12"/>
                <w:color w:val="auto"/>
              </w:rPr>
              <w:t>​ ​</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5.57 – 6.68</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5.77 – 6.63</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2340" w:type="dxa"/>
            <w:vAlign w:val="bottom"/>
          </w:tcPr>
          <w:p>
            <w:pPr>
              <w:spacing w:after="0"/>
              <w:rPr>
                <w:sz w:val="20"/>
                <w:szCs w:val="20"/>
                <w:color w:val="auto"/>
              </w:rPr>
            </w:pPr>
            <w:r>
              <w:rPr>
                <w:rFonts w:ascii="Times New Roman" w:cs="Times New Roman" w:eastAsia="Times New Roman" w:hAnsi="Times New Roman"/>
                <w:sz w:val="12"/>
                <w:szCs w:val="12"/>
                <w:color w:val="auto"/>
              </w:rPr>
              <w:t>Volatility</w:t>
            </w:r>
          </w:p>
        </w:tc>
        <w:tc>
          <w:tcPr>
            <w:tcW w:w="2120" w:type="dxa"/>
            <w:vAlign w:val="bottom"/>
            <w:gridSpan w:val="2"/>
          </w:tcPr>
          <w:p>
            <w:pPr>
              <w:ind w:left="1100"/>
              <w:spacing w:after="0"/>
              <w:rPr>
                <w:sz w:val="20"/>
                <w:szCs w:val="20"/>
                <w:color w:val="auto"/>
              </w:rPr>
            </w:pPr>
            <w:r>
              <w:rPr>
                <w:rFonts w:ascii="Times New Roman" w:cs="Times New Roman" w:eastAsia="Times New Roman" w:hAnsi="Times New Roman"/>
                <w:sz w:val="12"/>
                <w:szCs w:val="12"/>
                <w:color w:val="auto"/>
              </w:rPr>
              <w:t>​ ​82.45% – 86.66%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​97.65% – 102.54%​</w:t>
            </w:r>
          </w:p>
        </w:tc>
      </w:tr>
      <w:tr>
        <w:trPr>
          <w:trHeight w:val="174"/>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12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2"/>
                <w:szCs w:val="12"/>
                <w:color w:val="auto"/>
              </w:rPr>
              <w:t>​ ​</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1.71% – 4.10%</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3.66% – 4.77%</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2"/>
        </w:trPr>
        <w:tc>
          <w:tcPr>
            <w:tcW w:w="2340" w:type="dxa"/>
            <w:vAlign w:val="bottom"/>
          </w:tcPr>
          <w:p>
            <w:pPr>
              <w:spacing w:after="0"/>
              <w:rPr>
                <w:sz w:val="20"/>
                <w:szCs w:val="20"/>
                <w:color w:val="auto"/>
              </w:rPr>
            </w:pPr>
            <w:r>
              <w:rPr>
                <w:rFonts w:ascii="Times New Roman" w:cs="Times New Roman" w:eastAsia="Times New Roman" w:hAnsi="Times New Roman"/>
                <w:sz w:val="12"/>
                <w:szCs w:val="12"/>
                <w:color w:val="auto"/>
              </w:rPr>
              <w:t>Dividend yield</w:t>
            </w:r>
          </w:p>
        </w:tc>
        <w:tc>
          <w:tcPr>
            <w:tcW w:w="120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-458470</wp:posOffset>
            </wp:positionV>
            <wp:extent cx="2919730"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919730" cy="5715"/>
                    </a:xfrm>
                    <a:prstGeom prst="rect">
                      <a:avLst/>
                    </a:prstGeom>
                    <a:noFill/>
                  </pic:spPr>
                </pic:pic>
              </a:graphicData>
            </a:graphic>
          </wp:anchor>
        </w:drawing>
      </w:r>
    </w:p>
    <w:p>
      <w:pPr>
        <w:spacing w:after="0" w:line="11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Expected Term</w:t>
      </w:r>
    </w:p>
    <w:p>
      <w:pPr>
        <w:spacing w:after="0" w:line="175"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The expected term represents the weighted-average period the stock options are expected to remain outstanding and is based on the options’ vesting terms and contractual terms, as the Company did not have sufficient historical information to develop reasonable expectations about future exercise patterns and post-vesting employment termination behavior.</w:t>
      </w:r>
    </w:p>
    <w:p>
      <w:pPr>
        <w:spacing w:after="0" w:line="16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Expected Volatility</w:t>
      </w:r>
    </w:p>
    <w:p>
      <w:pPr>
        <w:spacing w:after="0" w:line="175"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The expected stock price volatility assumption was determined by examining the historical volatilities for industry peers, as the 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16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Risk-Free Interest Rate</w:t>
      </w:r>
    </w:p>
    <w:p>
      <w:pPr>
        <w:spacing w:after="0" w:line="175"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The risk-free interest rate assumption is based on the U.S. Treasury instruments whose term was consistent with the expected term of the Company’s stock options.</w:t>
      </w:r>
    </w:p>
    <w:p>
      <w:pPr>
        <w:spacing w:after="0" w:line="13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Dividends</w:t>
      </w:r>
    </w:p>
    <w:p>
      <w:pPr>
        <w:spacing w:after="0" w:line="185"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The Company has not paid any cash dividends on common stock and does not anticipate paying any dividends in the foreseeable future. Consequently, an expected dividend yield of zero was used.</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34" w:name="page235"/>
    <w:bookmarkEnd w:id="23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11. Stock-Based Compensation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Stock Option Valuation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Common Stock Fair Value</w:t>
      </w:r>
    </w:p>
    <w:p>
      <w:pPr>
        <w:spacing w:after="0" w:line="185"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The fair market value of the Company’s common stock is determined by the board of directors with assistance from management and external valuation experts. The approach to estimating the fair market value of common stock is consistent with the methods outlined in the Practice Aid.</w:t>
      </w:r>
    </w:p>
    <w:p>
      <w:pPr>
        <w:spacing w:after="0" w:line="67"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Prior to May 2023, the Company utilized an Option Pricing Method (“OPM”) based analysis, primarily the OPM backsolve methodology, to determine the estimated fair value of the common stock. Within the OPM framework, the backsolve method, for inferring the total equity value implied by a recent financing transaction or by an estimated equity value of the Company’s pipeline product candidates, involves the construction of an allocation model that takes into account the Company’s capital structure and the rights, preferences and privileges of each class of stock, then assumes reasonable inputs for the other OPM variables (expected time to liquidity, volatility, and risk-free rate). The total equity value is then iterated in the model until the model output value for the equity class sold in a recent financing round equals the price paid in that round. The OPM is generally utilized when specific future liquidity events are difficult to forecast (i.e., the enterprise has many choices and options available), and the enterprise’s value depends on how well it follows an uncharted path through the various possible opportunities and challenges. In determining the estimated fair value of the common stock, the board of directors also considered the fact that the stockholders could not freely trade the common stock in the public markets. Accordingly, the Company applied discounts to reflect the lack of marketability of its common stock based on the weighted-average expected time to liquidity. The estimated fair value of the common stock at each grant date reflected a non-marketability discount partially based on the anticipated likelihood and timing of a future liquidity event.</w:t>
      </w:r>
    </w:p>
    <w:p>
      <w:pPr>
        <w:spacing w:after="0" w:line="219"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For valuations performed on and after May 2023, the Company utilized a hybrid method that combines the Probability-Weighted Expected Return Method (“PWERM”), an accepted valuation method described in the Practice Aid, and the OPM. The Company determined this was the most appropriate method for determining the fair value of its common stock based on the stage of development and other relevant factors. The PWERM is a scenario-based analysis that estimates the value per share of common stock based on the probability-weighted present value of expected future equity values for the common stock, under various possible future liquidity event scenarios, considering the rights and preferences of each class of shares, discounted for a lack of marketability. Under the hybrid method, an option pricing model was utilized to determine the fair value of the Company’s common stock in certain of the PWERM scenarios (capturing situations where its development path and future liquidity events were difficult to forecast), potential exit events were explicitly modeled in the other PWERM scenarios. A discount for lack of marketability was applied to the value derived under each scenario to account for a lack of access to an active public market to estimate the common stock fair value. The assumptions underlying these valuations represented management’s best estimates, which involved inherent uncertainties and the application of management’s judgment. As a result, if the Company had used significantly different assumptions or estimates, the fair value of the common stock and the stock-based compensation expense could have been materially different.</w:t>
      </w:r>
    </w:p>
    <w:p>
      <w:pPr>
        <w:spacing w:after="0" w:line="82"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The Company also considers the amount of time between the independent third-party valuation dates and the grant dates and performs an interpolation of the fair value between the two valuation dates to estimate common stock fair value at each grant date. This determination includes an evaluation of whether the subsequent valuation indicated that any significant change in valuation had occurred between the previous valuation and the grant date.</w:t>
      </w:r>
    </w:p>
    <w:p>
      <w:pPr>
        <w:spacing w:after="0" w:line="26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Early Exercise of Employee Options</w:t>
      </w:r>
    </w:p>
    <w:p>
      <w:pPr>
        <w:spacing w:after="0" w:line="102"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color w:val="auto"/>
        </w:rPr>
        <w:t>Proceeds from the early exercise of stock options are recorded as share repurchase liability, and as shares vest are recognized to additional paid-in capital in the consolidated balance sheets. As of December 31, 2022 and 2023, there was $3.5 million and $1.8 million share repurchase liability related to the unvested shares,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35" w:name="page236"/>
    <w:bookmarkEnd w:id="235"/>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11. Stock-Based Compensation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Early Exercise of Employee Options (Continued)</w:t>
      </w:r>
    </w:p>
    <w:p>
      <w:pPr>
        <w:spacing w:after="0" w:line="157" w:lineRule="exact"/>
        <w:rPr>
          <w:sz w:val="20"/>
          <w:szCs w:val="20"/>
          <w:color w:val="auto"/>
        </w:rPr>
      </w:pPr>
    </w:p>
    <w:p>
      <w:pPr>
        <w:ind w:left="1720" w:right="1739"/>
        <w:spacing w:after="0" w:line="306" w:lineRule="auto"/>
        <w:rPr>
          <w:sz w:val="20"/>
          <w:szCs w:val="20"/>
          <w:color w:val="auto"/>
        </w:rPr>
      </w:pPr>
      <w:r>
        <w:rPr>
          <w:rFonts w:ascii="Times New Roman" w:cs="Times New Roman" w:eastAsia="Times New Roman" w:hAnsi="Times New Roman"/>
          <w:sz w:val="12"/>
          <w:szCs w:val="12"/>
          <w:color w:val="auto"/>
        </w:rPr>
        <w:t>respectively. The following table summarizes the activity for the Company’s early exercisable shares for the years ended December 31, 2022 and 2023:</w:t>
      </w:r>
    </w:p>
    <w:p>
      <w:pPr>
        <w:spacing w:after="0" w:line="70"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1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89"/>
              </w:rPr>
              <w:t>Weighted-</w:t>
            </w:r>
          </w:p>
        </w:tc>
      </w:tr>
      <w:tr>
        <w:trPr>
          <w:trHeight w:val="110"/>
        </w:trPr>
        <w:tc>
          <w:tcPr>
            <w:tcW w:w="21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tcPr>
          <w:p>
            <w:pPr>
              <w:jc w:val="center"/>
              <w:ind w:right="60"/>
              <w:spacing w:after="0" w:line="110" w:lineRule="exact"/>
              <w:rPr>
                <w:sz w:val="20"/>
                <w:szCs w:val="20"/>
                <w:color w:val="auto"/>
              </w:rPr>
            </w:pPr>
            <w:r>
              <w:rPr>
                <w:rFonts w:ascii="Times New Roman" w:cs="Times New Roman" w:eastAsia="Times New Roman" w:hAnsi="Times New Roman"/>
                <w:sz w:val="10"/>
                <w:szCs w:val="10"/>
                <w:b w:val="1"/>
                <w:bCs w:val="1"/>
                <w:color w:val="auto"/>
                <w:w w:val="89"/>
              </w:rPr>
              <w:t>Average</w:t>
            </w:r>
          </w:p>
        </w:tc>
      </w:tr>
      <w:tr>
        <w:trPr>
          <w:trHeight w:val="110"/>
        </w:trPr>
        <w:tc>
          <w:tcPr>
            <w:tcW w:w="21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60" w:type="dxa"/>
            <w:vAlign w:val="bottom"/>
          </w:tcPr>
          <w:p>
            <w:pPr>
              <w:spacing w:after="0" w:line="110"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160" w:type="dxa"/>
            <w:vAlign w:val="bottom"/>
          </w:tcPr>
          <w:p>
            <w:pPr>
              <w:spacing w:after="0"/>
              <w:rPr>
                <w:sz w:val="9"/>
                <w:szCs w:val="9"/>
                <w:color w:val="auto"/>
              </w:rPr>
            </w:pPr>
          </w:p>
        </w:tc>
        <w:tc>
          <w:tcPr>
            <w:tcW w:w="620" w:type="dxa"/>
            <w:vAlign w:val="bottom"/>
            <w:gridSpan w:val="2"/>
          </w:tcPr>
          <w:p>
            <w:pPr>
              <w:jc w:val="center"/>
              <w:ind w:right="60"/>
              <w:spacing w:after="0" w:line="110" w:lineRule="exact"/>
              <w:rPr>
                <w:sz w:val="20"/>
                <w:szCs w:val="20"/>
                <w:color w:val="auto"/>
              </w:rPr>
            </w:pPr>
            <w:r>
              <w:rPr>
                <w:rFonts w:ascii="Times New Roman" w:cs="Times New Roman" w:eastAsia="Times New Roman" w:hAnsi="Times New Roman"/>
                <w:sz w:val="10"/>
                <w:szCs w:val="10"/>
                <w:b w:val="1"/>
                <w:bCs w:val="1"/>
                <w:color w:val="auto"/>
                <w:w w:val="92"/>
              </w:rPr>
              <w:t>Exercise Price</w:t>
            </w:r>
          </w:p>
        </w:tc>
      </w:tr>
      <w:tr>
        <w:trPr>
          <w:trHeight w:val="136"/>
        </w:trPr>
        <w:tc>
          <w:tcPr>
            <w:tcW w:w="21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680" w:type="dxa"/>
            <w:vAlign w:val="bottom"/>
            <w:gridSpan w:val="2"/>
          </w:tcPr>
          <w:p>
            <w:pPr>
              <w:ind w:left="2100"/>
              <w:spacing w:after="0"/>
              <w:rPr>
                <w:sz w:val="20"/>
                <w:szCs w:val="20"/>
                <w:color w:val="auto"/>
              </w:rPr>
            </w:pPr>
            <w:r>
              <w:rPr>
                <w:rFonts w:ascii="Times New Roman" w:cs="Times New Roman" w:eastAsia="Times New Roman" w:hAnsi="Times New Roman"/>
                <w:sz w:val="10"/>
                <w:szCs w:val="10"/>
                <w:b w:val="1"/>
                <w:bCs w:val="1"/>
                <w:color w:val="auto"/>
              </w:rPr>
              <w:t>​ ​  Shares</w:t>
            </w: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 ​  Per Share  ​</w:t>
            </w:r>
          </w:p>
        </w:tc>
      </w:tr>
      <w:tr>
        <w:trPr>
          <w:trHeight w:val="20"/>
        </w:trPr>
        <w:tc>
          <w:tcPr>
            <w:tcW w:w="2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-5080</wp:posOffset>
            </wp:positionV>
            <wp:extent cx="3535680" cy="990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535680" cy="9906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p>
      <w:pPr>
        <w:spacing w:after="0" w:line="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Unvested as of December 31, 2022</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Early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-5080</wp:posOffset>
            </wp:positionV>
            <wp:extent cx="3535680" cy="933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535680" cy="9334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2"/>
          <w:szCs w:val="12"/>
          <w:color w:val="auto"/>
        </w:rPr>
        <w:t>Vested</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Repurchased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5715</wp:posOffset>
            </wp:positionV>
            <wp:extent cx="3535680" cy="1219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535680" cy="121920"/>
                    </a:xfrm>
                    <a:prstGeom prst="rect">
                      <a:avLst/>
                    </a:prstGeom>
                    <a:noFill/>
                  </pic:spPr>
                </pic:pic>
              </a:graphicData>
            </a:graphic>
          </wp:anchor>
        </w:drawing>
      </w:r>
    </w:p>
    <w:p>
      <w:pPr>
        <w:spacing w:after="0" w:line="1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Unvested as of December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80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663,930​​ ​</w:t>
            </w:r>
          </w:p>
        </w:tc>
        <w:tc>
          <w:tcPr>
            <w:tcW w:w="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​$5.36</w:t>
            </w:r>
          </w:p>
        </w:tc>
        <w:tc>
          <w:tcPr>
            <w:tcW w:w="1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47"/>
        </w:trPr>
        <w:tc>
          <w:tcPr>
            <w:tcW w:w="1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18,469​​ ​</w:t>
            </w:r>
          </w:p>
        </w:tc>
        <w:tc>
          <w:tcPr>
            <w:tcW w:w="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​$9.48</w:t>
            </w:r>
          </w:p>
        </w:tc>
        <w:tc>
          <w:tcPr>
            <w:tcW w:w="1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47"/>
        </w:trPr>
        <w:tc>
          <w:tcPr>
            <w:tcW w:w="80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(340,502​​) ​</w:t>
            </w:r>
          </w:p>
        </w:tc>
        <w:tc>
          <w:tcPr>
            <w:tcW w:w="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​$5.65</w:t>
            </w:r>
          </w:p>
        </w:tc>
        <w:tc>
          <w:tcPr>
            <w:tcW w:w="1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9"/>
        </w:trPr>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2"/>
                <w:szCs w:val="12"/>
                <w:color w:val="auto"/>
              </w:rPr>
              <w:t>​​ (14,797​​) ​</w:t>
            </w:r>
          </w:p>
        </w:tc>
        <w:tc>
          <w:tcPr>
            <w:tcW w:w="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​$4.36</w:t>
            </w:r>
          </w:p>
        </w:tc>
        <w:tc>
          <w:tcPr>
            <w:tcW w:w="1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60" w:type="dxa"/>
            <w:vAlign w:val="bottom"/>
          </w:tcPr>
          <w:p>
            <w:pPr>
              <w:spacing w:after="0" w:line="20" w:lineRule="exact"/>
              <w:rPr>
                <w:sz w:val="1"/>
                <w:szCs w:val="1"/>
                <w:color w:val="auto"/>
              </w:rPr>
            </w:pPr>
          </w:p>
        </w:tc>
        <w:tc>
          <w:tcPr>
            <w:tcW w:w="120" w:type="dxa"/>
            <w:vAlign w:val="bottom"/>
            <w:tcBorders>
              <w:right w:val="single" w:sz="8" w:color="auto"/>
            </w:tcBorders>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4"/>
        </w:trPr>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16"/>
                <w:szCs w:val="16"/>
                <w:color w:val="auto"/>
                <w:vertAlign w:val="superscript"/>
              </w:rPr>
              <w:t>​</w:t>
            </w:r>
          </w:p>
        </w:tc>
        <w:tc>
          <w:tcPr>
            <w:tcW w:w="62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9"/>
                <w:szCs w:val="9"/>
                <w:color w:val="auto"/>
              </w:rPr>
              <w:t>327,100</w:t>
            </w:r>
            <w:r>
              <w:rPr>
                <w:rFonts w:ascii="Times New Roman" w:cs="Times New Roman" w:eastAsia="Times New Roman" w:hAnsi="Times New Roman"/>
                <w:sz w:val="16"/>
                <w:szCs w:val="16"/>
                <w:color w:val="auto"/>
                <w:vertAlign w:val="subscript"/>
              </w:rPr>
              <w:t>​​ ​</w:t>
            </w:r>
          </w:p>
        </w:tc>
        <w:tc>
          <w:tcPr>
            <w:tcW w:w="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​$5.33</w:t>
            </w:r>
          </w:p>
        </w:tc>
        <w:tc>
          <w:tcPr>
            <w:tcW w:w="1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40" w:space="720"/>
            <w:col w:w="3059"/>
          </w:cols>
          <w:pgMar w:left="1440" w:top="106" w:right="1440" w:bottom="1440" w:gutter="0" w:footer="0" w:header="0"/>
          <w:type w:val="continuous"/>
        </w:sectPr>
      </w:pPr>
    </w:p>
    <w:p>
      <w:pPr>
        <w:spacing w:after="0" w:line="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 Expense</w:t>
      </w:r>
    </w:p>
    <w:p>
      <w:pPr>
        <w:spacing w:after="0" w:line="111" w:lineRule="exact"/>
        <w:rPr>
          <w:sz w:val="20"/>
          <w:szCs w:val="20"/>
          <w:color w:val="auto"/>
        </w:rPr>
      </w:pPr>
    </w:p>
    <w:p>
      <w:pPr>
        <w:jc w:val="both"/>
        <w:ind w:left="1720" w:right="1739"/>
        <w:spacing w:after="0" w:line="306" w:lineRule="auto"/>
        <w:rPr>
          <w:sz w:val="20"/>
          <w:szCs w:val="20"/>
          <w:color w:val="auto"/>
        </w:rPr>
      </w:pPr>
      <w:r>
        <w:rPr>
          <w:rFonts w:ascii="Times New Roman" w:cs="Times New Roman" w:eastAsia="Times New Roman" w:hAnsi="Times New Roman"/>
          <w:sz w:val="12"/>
          <w:szCs w:val="12"/>
          <w:color w:val="auto"/>
        </w:rPr>
        <w:t>The following table summarizes the stock-based compensation expense granted to employees and non-employees for the years ended December 31, 2022 and 2023 (in thousands):</w:t>
      </w:r>
    </w:p>
    <w:p>
      <w:pPr>
        <w:spacing w:after="0" w:line="70"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40" w:type="dxa"/>
            <w:vAlign w:val="bottom"/>
          </w:tcPr>
          <w:p>
            <w:pPr>
              <w:spacing w:after="0"/>
              <w:rPr>
                <w:sz w:val="10"/>
                <w:szCs w:val="10"/>
                <w:color w:val="auto"/>
              </w:rPr>
            </w:pPr>
          </w:p>
        </w:tc>
      </w:tr>
      <w:tr>
        <w:trPr>
          <w:trHeight w:val="110"/>
        </w:trPr>
        <w:tc>
          <w:tcPr>
            <w:tcW w:w="3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60" w:type="dxa"/>
            <w:vAlign w:val="bottom"/>
            <w:gridSpan w:val="3"/>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3"/>
          </w:tcPr>
          <w:p>
            <w:pPr>
              <w:jc w:val="center"/>
              <w:ind w:right="20"/>
              <w:spacing w:after="0" w:line="110"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40" w:type="dxa"/>
            <w:vAlign w:val="bottom"/>
          </w:tcPr>
          <w:p>
            <w:pPr>
              <w:spacing w:after="0"/>
              <w:rPr>
                <w:sz w:val="9"/>
                <w:szCs w:val="9"/>
                <w:color w:val="auto"/>
              </w:rPr>
            </w:pPr>
          </w:p>
        </w:tc>
      </w:tr>
      <w:tr>
        <w:trPr>
          <w:trHeight w:val="145"/>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10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0"/>
                <w:szCs w:val="10"/>
                <w:b w:val="1"/>
                <w:bCs w:val="1"/>
                <w:color w:val="auto"/>
              </w:rPr>
              <w:t>​ ​</w:t>
            </w:r>
          </w:p>
        </w:tc>
        <w:tc>
          <w:tcPr>
            <w:tcW w:w="460" w:type="dxa"/>
            <w:vAlign w:val="bottom"/>
            <w:tcBorders>
              <w:bottom w:val="single" w:sz="8" w:color="auto"/>
            </w:tcBorders>
            <w:gridSpan w:val="2"/>
          </w:tcPr>
          <w:p>
            <w:pPr>
              <w:jc w:val="center"/>
              <w:ind w:left="68"/>
              <w:spacing w:after="0"/>
              <w:rPr>
                <w:sz w:val="20"/>
                <w:szCs w:val="20"/>
                <w:color w:val="auto"/>
              </w:rPr>
            </w:pPr>
            <w:r>
              <w:rPr>
                <w:rFonts w:ascii="Times New Roman" w:cs="Times New Roman" w:eastAsia="Times New Roman" w:hAnsi="Times New Roman"/>
                <w:sz w:val="10"/>
                <w:szCs w:val="10"/>
                <w:b w:val="1"/>
                <w:bCs w:val="1"/>
                <w:color w:val="auto"/>
                <w:w w:val="89"/>
              </w:rPr>
              <w:t>2022</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440" w:type="dxa"/>
            <w:vAlign w:val="bottom"/>
            <w:tcBorders>
              <w:bottom w:val="single" w:sz="8" w:color="auto"/>
            </w:tcBorders>
            <w:gridSpan w:val="2"/>
          </w:tcPr>
          <w:p>
            <w:pPr>
              <w:jc w:val="center"/>
              <w:ind w:left="88"/>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120" w:type="dxa"/>
            <w:vAlign w:val="bottom"/>
            <w:tcBorders>
              <w:bottom w:val="single" w:sz="8" w:color="auto"/>
            </w:tcBorders>
          </w:tcPr>
          <w:p>
            <w:pPr>
              <w:spacing w:after="0"/>
              <w:rPr>
                <w:sz w:val="12"/>
                <w:szCs w:val="1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11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​$3,119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​$4,745</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1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​2,841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​3,880</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31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stock-based compensation expense</w:t>
            </w:r>
          </w:p>
        </w:tc>
        <w:tc>
          <w:tcPr>
            <w:tcW w:w="11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3"/>
            <w:shd w:val="clear" w:color="auto" w:fill="CCEEFF"/>
          </w:tcPr>
          <w:p>
            <w:pPr>
              <w:jc w:val="center"/>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5,960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3"/>
            <w:shd w:val="clear" w:color="auto" w:fill="CCEEFF"/>
          </w:tcPr>
          <w:p>
            <w:pPr>
              <w:jc w:val="center"/>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8,625</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7"/>
        </w:trPr>
        <w:tc>
          <w:tcPr>
            <w:tcW w:w="31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-144780</wp:posOffset>
            </wp:positionV>
            <wp:extent cx="3535680"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53568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-377190</wp:posOffset>
            </wp:positionV>
            <wp:extent cx="3175000"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175000" cy="5715"/>
                    </a:xfrm>
                    <a:prstGeom prst="rect">
                      <a:avLst/>
                    </a:prstGeom>
                    <a:noFill/>
                  </pic:spPr>
                </pic:pic>
              </a:graphicData>
            </a:graphic>
          </wp:anchor>
        </w:drawing>
      </w:r>
    </w:p>
    <w:p>
      <w:pPr>
        <w:spacing w:after="0" w:line="132" w:lineRule="exact"/>
        <w:rPr>
          <w:sz w:val="20"/>
          <w:szCs w:val="20"/>
          <w:color w:val="auto"/>
        </w:rPr>
      </w:pPr>
    </w:p>
    <w:p>
      <w:pPr>
        <w:jc w:val="both"/>
        <w:ind w:left="1720" w:right="1739"/>
        <w:spacing w:after="0" w:line="306" w:lineRule="auto"/>
        <w:rPr>
          <w:sz w:val="20"/>
          <w:szCs w:val="20"/>
          <w:color w:val="auto"/>
        </w:rPr>
      </w:pPr>
      <w:r>
        <w:rPr>
          <w:rFonts w:ascii="Times New Roman" w:cs="Times New Roman" w:eastAsia="Times New Roman" w:hAnsi="Times New Roman"/>
          <w:sz w:val="12"/>
          <w:szCs w:val="12"/>
          <w:color w:val="auto"/>
        </w:rPr>
        <w:t>The following table summarizes the stock-based compensation expense related to the following equity-based awards (in thousands):</w:t>
      </w:r>
    </w:p>
    <w:p>
      <w:pPr>
        <w:spacing w:after="0" w:line="70"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40" w:type="dxa"/>
            <w:vAlign w:val="bottom"/>
          </w:tcPr>
          <w:p>
            <w:pPr>
              <w:spacing w:after="0"/>
              <w:rPr>
                <w:sz w:val="10"/>
                <w:szCs w:val="10"/>
                <w:color w:val="auto"/>
              </w:rPr>
            </w:pPr>
          </w:p>
        </w:tc>
      </w:tr>
      <w:tr>
        <w:trPr>
          <w:trHeight w:val="110"/>
        </w:trPr>
        <w:tc>
          <w:tcPr>
            <w:tcW w:w="3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60" w:type="dxa"/>
            <w:vAlign w:val="bottom"/>
            <w:gridSpan w:val="3"/>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3"/>
          </w:tcPr>
          <w:p>
            <w:pPr>
              <w:jc w:val="center"/>
              <w:ind w:right="20"/>
              <w:spacing w:after="0" w:line="110"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40" w:type="dxa"/>
            <w:vAlign w:val="bottom"/>
          </w:tcPr>
          <w:p>
            <w:pPr>
              <w:spacing w:after="0"/>
              <w:rPr>
                <w:sz w:val="9"/>
                <w:szCs w:val="9"/>
                <w:color w:val="auto"/>
              </w:rPr>
            </w:pPr>
          </w:p>
        </w:tc>
      </w:tr>
      <w:tr>
        <w:trPr>
          <w:trHeight w:val="145"/>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10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0"/>
                <w:szCs w:val="10"/>
                <w:b w:val="1"/>
                <w:bCs w:val="1"/>
                <w:color w:val="auto"/>
              </w:rPr>
              <w:t>​ ​</w:t>
            </w:r>
          </w:p>
        </w:tc>
        <w:tc>
          <w:tcPr>
            <w:tcW w:w="460" w:type="dxa"/>
            <w:vAlign w:val="bottom"/>
            <w:tcBorders>
              <w:bottom w:val="single" w:sz="8" w:color="auto"/>
            </w:tcBorders>
            <w:gridSpan w:val="2"/>
          </w:tcPr>
          <w:p>
            <w:pPr>
              <w:jc w:val="center"/>
              <w:ind w:left="68"/>
              <w:spacing w:after="0"/>
              <w:rPr>
                <w:sz w:val="20"/>
                <w:szCs w:val="20"/>
                <w:color w:val="auto"/>
              </w:rPr>
            </w:pPr>
            <w:r>
              <w:rPr>
                <w:rFonts w:ascii="Times New Roman" w:cs="Times New Roman" w:eastAsia="Times New Roman" w:hAnsi="Times New Roman"/>
                <w:sz w:val="10"/>
                <w:szCs w:val="10"/>
                <w:b w:val="1"/>
                <w:bCs w:val="1"/>
                <w:color w:val="auto"/>
                <w:w w:val="89"/>
              </w:rPr>
              <w:t>2022</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440" w:type="dxa"/>
            <w:vAlign w:val="bottom"/>
            <w:tcBorders>
              <w:bottom w:val="single" w:sz="8" w:color="auto"/>
            </w:tcBorders>
            <w:gridSpan w:val="2"/>
          </w:tcPr>
          <w:p>
            <w:pPr>
              <w:jc w:val="center"/>
              <w:ind w:left="88"/>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120" w:type="dxa"/>
            <w:vAlign w:val="bottom"/>
            <w:tcBorders>
              <w:bottom w:val="single" w:sz="8" w:color="auto"/>
            </w:tcBorders>
          </w:tcPr>
          <w:p>
            <w:pPr>
              <w:spacing w:after="0"/>
              <w:rPr>
                <w:sz w:val="12"/>
                <w:szCs w:val="1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 options</w:t>
            </w:r>
          </w:p>
        </w:tc>
        <w:tc>
          <w:tcPr>
            <w:tcW w:w="11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​$5,888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​$8,553</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Restricted stock awards</w:t>
            </w:r>
          </w:p>
        </w:tc>
        <w:tc>
          <w:tcPr>
            <w:tcW w:w="110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72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72</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31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stock-based compensation expense</w:t>
            </w:r>
          </w:p>
        </w:tc>
        <w:tc>
          <w:tcPr>
            <w:tcW w:w="11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3"/>
            <w:shd w:val="clear" w:color="auto" w:fill="CCEEFF"/>
          </w:tcPr>
          <w:p>
            <w:pPr>
              <w:jc w:val="center"/>
              <w:spacing w:after="0" w:line="163"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5,960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3"/>
            <w:shd w:val="clear" w:color="auto" w:fill="CCEEFF"/>
          </w:tcPr>
          <w:p>
            <w:pPr>
              <w:jc w:val="center"/>
              <w:spacing w:after="0" w:line="163"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8,625</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7"/>
        </w:trPr>
        <w:tc>
          <w:tcPr>
            <w:tcW w:w="31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-144780</wp:posOffset>
            </wp:positionV>
            <wp:extent cx="353568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53568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-377190</wp:posOffset>
            </wp:positionV>
            <wp:extent cx="3175000"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175000" cy="5715"/>
                    </a:xfrm>
                    <a:prstGeom prst="rect">
                      <a:avLst/>
                    </a:prstGeom>
                    <a:noFill/>
                  </pic:spPr>
                </pic:pic>
              </a:graphicData>
            </a:graphic>
          </wp:anchor>
        </w:drawing>
      </w:r>
    </w:p>
    <w:p>
      <w:pPr>
        <w:spacing w:after="0" w:line="150" w:lineRule="exact"/>
        <w:rPr>
          <w:sz w:val="20"/>
          <w:szCs w:val="20"/>
          <w:color w:val="auto"/>
        </w:rPr>
      </w:pPr>
    </w:p>
    <w:p>
      <w:pPr>
        <w:jc w:val="both"/>
        <w:ind w:left="1720" w:right="1739"/>
        <w:spacing w:after="0" w:line="294" w:lineRule="auto"/>
        <w:rPr>
          <w:sz w:val="20"/>
          <w:szCs w:val="20"/>
          <w:color w:val="auto"/>
        </w:rPr>
      </w:pPr>
      <w:r>
        <w:rPr>
          <w:rFonts w:ascii="Times New Roman" w:cs="Times New Roman" w:eastAsia="Times New Roman" w:hAnsi="Times New Roman"/>
          <w:sz w:val="12"/>
          <w:szCs w:val="12"/>
          <w:color w:val="auto"/>
        </w:rPr>
        <w:t>Stock-based compensation expense related to non-employee awards was immaterial for all periods presented. As of December 31, 2023, there was unrecognized stock-based compensation expense of $29.6 million related to unvested stock options which the Company expects to recognize over a weighted-average period of 3.14 years.</w:t>
      </w:r>
    </w:p>
    <w:p>
      <w:pPr>
        <w:spacing w:after="0" w:line="26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12. Net Loss Per Share Attributable to Class A Common Stockholders</w:t>
      </w:r>
    </w:p>
    <w:p>
      <w:pPr>
        <w:spacing w:after="0" w:line="111" w:lineRule="exact"/>
        <w:rPr>
          <w:sz w:val="20"/>
          <w:szCs w:val="20"/>
          <w:color w:val="auto"/>
        </w:rPr>
      </w:pPr>
    </w:p>
    <w:p>
      <w:pPr>
        <w:jc w:val="both"/>
        <w:ind w:left="1720" w:right="1739"/>
        <w:spacing w:after="0" w:line="280" w:lineRule="auto"/>
        <w:rPr>
          <w:sz w:val="20"/>
          <w:szCs w:val="20"/>
          <w:color w:val="auto"/>
        </w:rPr>
      </w:pPr>
      <w:r>
        <w:rPr>
          <w:rFonts w:ascii="Times New Roman" w:cs="Times New Roman" w:eastAsia="Times New Roman" w:hAnsi="Times New Roman"/>
          <w:sz w:val="12"/>
          <w:szCs w:val="12"/>
          <w:color w:val="auto"/>
        </w:rPr>
        <w:t>The following table sets forth the computation of the basic and diluted net loss per share attributable to Class A common stockholders for the years ended December 31, 2022 and 2023 (in thousands, except share and per share amounts):</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236" w:name="page237"/>
    <w:bookmarkEnd w:id="23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12. Net Loss Per Share Attributable to Class A Common Stockholders (Continued)</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1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1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Year Ended</w:t>
            </w:r>
          </w:p>
        </w:tc>
        <w:tc>
          <w:tcPr>
            <w:tcW w:w="40" w:type="dxa"/>
            <w:vAlign w:val="bottom"/>
          </w:tcPr>
          <w:p>
            <w:pPr>
              <w:spacing w:after="0"/>
              <w:rPr>
                <w:sz w:val="10"/>
                <w:szCs w:val="10"/>
                <w:color w:val="auto"/>
              </w:rPr>
            </w:pPr>
          </w:p>
        </w:tc>
      </w:tr>
      <w:tr>
        <w:trPr>
          <w:trHeight w:val="110"/>
        </w:trPr>
        <w:tc>
          <w:tcPr>
            <w:tcW w:w="21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58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160" w:type="dxa"/>
            <w:vAlign w:val="bottom"/>
          </w:tcPr>
          <w:p>
            <w:pPr>
              <w:spacing w:after="0"/>
              <w:rPr>
                <w:sz w:val="9"/>
                <w:szCs w:val="9"/>
                <w:color w:val="auto"/>
              </w:rPr>
            </w:pPr>
          </w:p>
        </w:tc>
        <w:tc>
          <w:tcPr>
            <w:tcW w:w="5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40" w:type="dxa"/>
            <w:vAlign w:val="bottom"/>
          </w:tcPr>
          <w:p>
            <w:pPr>
              <w:spacing w:after="0"/>
              <w:rPr>
                <w:sz w:val="9"/>
                <w:szCs w:val="9"/>
                <w:color w:val="auto"/>
              </w:rPr>
            </w:pPr>
          </w:p>
        </w:tc>
      </w:tr>
      <w:tr>
        <w:trPr>
          <w:trHeight w:val="145"/>
        </w:trPr>
        <w:tc>
          <w:tcPr>
            <w:tcW w:w="2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160" w:type="dxa"/>
            <w:vAlign w:val="bottom"/>
          </w:tcPr>
          <w:p>
            <w:pPr>
              <w:ind w:left="2060"/>
              <w:spacing w:after="0"/>
              <w:rPr>
                <w:sz w:val="20"/>
                <w:szCs w:val="20"/>
                <w:color w:val="auto"/>
              </w:rPr>
            </w:pPr>
            <w:r>
              <w:rPr>
                <w:rFonts w:ascii="Times New Roman" w:cs="Times New Roman" w:eastAsia="Times New Roman" w:hAnsi="Times New Roman"/>
                <w:sz w:val="10"/>
                <w:szCs w:val="10"/>
                <w:b w:val="1"/>
                <w:bCs w:val="1"/>
                <w:color w:val="auto"/>
              </w:rPr>
              <w:t>​ ​</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-5080</wp:posOffset>
            </wp:positionV>
            <wp:extent cx="3535680" cy="1162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Numerator:</w:t>
      </w:r>
    </w:p>
    <w:p>
      <w:pPr>
        <w:spacing w:after="0" w:line="3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19685</wp:posOffset>
            </wp:positionV>
            <wp:extent cx="3535680" cy="1162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3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Denominator:</w:t>
      </w:r>
    </w:p>
    <w:p>
      <w:pPr>
        <w:spacing w:after="0" w:line="3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color w:val="auto"/>
        </w:rPr>
        <w:t>Weighted average Class A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1219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535680" cy="121920"/>
                    </a:xfrm>
                    <a:prstGeom prst="rect">
                      <a:avLst/>
                    </a:prstGeom>
                    <a:noFill/>
                  </pic:spPr>
                </pic:pic>
              </a:graphicData>
            </a:graphic>
          </wp:anchor>
        </w:drawing>
      </w:r>
    </w:p>
    <w:p>
      <w:pPr>
        <w:spacing w:after="0" w:line="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color w:val="auto"/>
        </w:rPr>
        <w:t>Less: Weighted-average Class A common shares subject to repurchase</w:t>
      </w:r>
    </w:p>
    <w:p>
      <w:pPr>
        <w:spacing w:after="0" w:line="45" w:lineRule="exact"/>
        <w:rPr>
          <w:sz w:val="20"/>
          <w:szCs w:val="20"/>
          <w:color w:val="auto"/>
        </w:rPr>
      </w:pPr>
    </w:p>
    <w:p>
      <w:pPr>
        <w:ind w:left="2080" w:right="320" w:hanging="121"/>
        <w:spacing w:after="0" w:line="291" w:lineRule="auto"/>
        <w:rPr>
          <w:sz w:val="20"/>
          <w:szCs w:val="20"/>
          <w:color w:val="auto"/>
        </w:rPr>
      </w:pPr>
      <w:r>
        <w:rPr>
          <w:rFonts w:ascii="Times New Roman" w:cs="Times New Roman" w:eastAsia="Times New Roman" w:hAnsi="Times New Roman"/>
          <w:sz w:val="12"/>
          <w:szCs w:val="12"/>
          <w:color w:val="auto"/>
        </w:rPr>
        <w:t>Weighted-average Class A common shares outstanding,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-5715</wp:posOffset>
            </wp:positionV>
            <wp:extent cx="3535680" cy="22098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535680" cy="220980"/>
                    </a:xfrm>
                    <a:prstGeom prst="rect">
                      <a:avLst/>
                    </a:prstGeom>
                    <a:noFill/>
                  </pic:spPr>
                </pic:pic>
              </a:graphicData>
            </a:graphic>
          </wp:anchor>
        </w:drawing>
      </w:r>
    </w:p>
    <w:p>
      <w:pPr>
        <w:ind w:left="1960" w:hanging="121"/>
        <w:spacing w:after="0" w:line="291" w:lineRule="auto"/>
        <w:rPr>
          <w:sz w:val="20"/>
          <w:szCs w:val="20"/>
          <w:color w:val="auto"/>
        </w:rPr>
      </w:pPr>
      <w:r>
        <w:rPr>
          <w:rFonts w:ascii="Times New Roman" w:cs="Times New Roman" w:eastAsia="Times New Roman" w:hAnsi="Times New Roman"/>
          <w:sz w:val="12"/>
          <w:szCs w:val="12"/>
          <w:color w:val="auto"/>
        </w:rPr>
        <w:t>Net loss per share attributable to Class A common stockholders, basic and diluted</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23"/>
        </w:trPr>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ind w:left="80"/>
              <w:spacing w:after="0" w:line="123" w:lineRule="exact"/>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spacing w:after="0"/>
              <w:rPr>
                <w:sz w:val="10"/>
                <w:szCs w:val="10"/>
                <w:color w:val="auto"/>
              </w:rPr>
            </w:pPr>
          </w:p>
        </w:tc>
        <w:tc>
          <w:tcPr>
            <w:tcW w:w="560" w:type="dxa"/>
            <w:vAlign w:val="bottom"/>
            <w:gridSpan w:val="2"/>
          </w:tcPr>
          <w:p>
            <w:pPr>
              <w:jc w:val="right"/>
              <w:ind w:right="19"/>
              <w:spacing w:after="0" w:line="123" w:lineRule="exact"/>
              <w:rPr>
                <w:sz w:val="20"/>
                <w:szCs w:val="20"/>
                <w:color w:val="auto"/>
              </w:rPr>
            </w:pPr>
            <w:r>
              <w:rPr>
                <w:rFonts w:ascii="Times New Roman" w:cs="Times New Roman" w:eastAsia="Times New Roman" w:hAnsi="Times New Roman"/>
                <w:sz w:val="12"/>
                <w:szCs w:val="12"/>
                <w:color w:val="auto"/>
              </w:rPr>
              <w:t>(111,930)</w:t>
            </w:r>
          </w:p>
        </w:tc>
        <w:tc>
          <w:tcPr>
            <w:tcW w:w="660" w:type="dxa"/>
            <w:vAlign w:val="bottom"/>
            <w:gridSpan w:val="5"/>
          </w:tcPr>
          <w:p>
            <w:pPr>
              <w:jc w:val="right"/>
              <w:spacing w:after="0" w:line="123" w:lineRule="exact"/>
              <w:rPr>
                <w:sz w:val="20"/>
                <w:szCs w:val="20"/>
                <w:color w:val="auto"/>
              </w:rPr>
            </w:pPr>
            <w:r>
              <w:rPr>
                <w:rFonts w:ascii="Times New Roman" w:cs="Times New Roman" w:eastAsia="Times New Roman" w:hAnsi="Times New Roman"/>
                <w:sz w:val="12"/>
                <w:szCs w:val="12"/>
                <w:color w:val="auto"/>
              </w:rPr>
              <w:t>$ (154,993)</w:t>
            </w:r>
          </w:p>
        </w:tc>
        <w:tc>
          <w:tcPr>
            <w:tcW w:w="0" w:type="dxa"/>
            <w:vAlign w:val="bottom"/>
          </w:tcPr>
          <w:p>
            <w:pPr>
              <w:spacing w:after="0"/>
              <w:rPr>
                <w:sz w:val="1"/>
                <w:szCs w:val="1"/>
                <w:color w:val="auto"/>
              </w:rPr>
            </w:pPr>
          </w:p>
        </w:tc>
      </w:tr>
      <w:tr>
        <w:trPr>
          <w:trHeight w:val="46"/>
        </w:trPr>
        <w:tc>
          <w:tcPr>
            <w:tcW w:w="80" w:type="dxa"/>
            <w:vAlign w:val="bottom"/>
            <w:vMerge w:val="continue"/>
          </w:tcPr>
          <w:p>
            <w:pPr>
              <w:spacing w:after="0"/>
              <w:rPr>
                <w:sz w:val="3"/>
                <w:szCs w:val="3"/>
                <w:color w:val="auto"/>
              </w:rPr>
            </w:pPr>
          </w:p>
        </w:tc>
        <w:tc>
          <w:tcPr>
            <w:tcW w:w="140" w:type="dxa"/>
            <w:vAlign w:val="bottom"/>
            <w:gridSpan w:val="2"/>
          </w:tcPr>
          <w:p>
            <w:pPr>
              <w:ind w:left="40"/>
              <w:spacing w:after="0" w:line="46" w:lineRule="exact"/>
              <w:rPr>
                <w:sz w:val="20"/>
                <w:szCs w:val="20"/>
                <w:color w:val="auto"/>
              </w:rPr>
            </w:pPr>
            <w:r>
              <w:rPr>
                <w:rFonts w:ascii="Times New Roman" w:cs="Times New Roman" w:eastAsia="Times New Roman" w:hAnsi="Times New Roman"/>
                <w:sz w:val="5"/>
                <w:szCs w:val="5"/>
                <w:color w:val="auto"/>
              </w:rPr>
              <w:t>​​</w:t>
            </w: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jc w:val="right"/>
              <w:spacing w:after="0" w:line="46" w:lineRule="exact"/>
              <w:rPr>
                <w:sz w:val="20"/>
                <w:szCs w:val="20"/>
                <w:color w:val="auto"/>
              </w:rPr>
            </w:pPr>
            <w:r>
              <w:rPr>
                <w:rFonts w:ascii="Times New Roman" w:cs="Times New Roman" w:eastAsia="Times New Roman" w:hAnsi="Times New Roman"/>
                <w:sz w:val="5"/>
                <w:szCs w:val="5"/>
                <w:color w:val="auto"/>
              </w:rPr>
              <w:t>​​</w:t>
            </w:r>
          </w:p>
        </w:tc>
        <w:tc>
          <w:tcPr>
            <w:tcW w:w="120" w:type="dxa"/>
            <w:vAlign w:val="bottom"/>
          </w:tcPr>
          <w:p>
            <w:pPr>
              <w:ind w:left="20"/>
              <w:spacing w:after="0" w:line="46"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74"/>
        </w:trPr>
        <w:tc>
          <w:tcPr>
            <w:tcW w:w="820" w:type="dxa"/>
            <w:vAlign w:val="bottom"/>
            <w:gridSpan w:val="6"/>
          </w:tcPr>
          <w:p>
            <w:pPr>
              <w:jc w:val="right"/>
              <w:spacing w:after="0"/>
              <w:rPr>
                <w:sz w:val="20"/>
                <w:szCs w:val="20"/>
                <w:color w:val="auto"/>
              </w:rPr>
            </w:pPr>
            <w:r>
              <w:rPr>
                <w:rFonts w:ascii="Times New Roman" w:cs="Times New Roman" w:eastAsia="Times New Roman" w:hAnsi="Times New Roman"/>
                <w:sz w:val="12"/>
                <w:szCs w:val="12"/>
                <w:color w:val="auto"/>
              </w:rPr>
              <w:t>​ ​​ ​2,467,824​​</w:t>
            </w: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 ​2,649,038</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23"/>
        </w:trPr>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tcPr>
          <w:p>
            <w:pPr>
              <w:jc w:val="right"/>
              <w:ind w:right="19"/>
              <w:spacing w:after="0" w:line="123" w:lineRule="exact"/>
              <w:rPr>
                <w:sz w:val="20"/>
                <w:szCs w:val="20"/>
                <w:color w:val="auto"/>
              </w:rPr>
            </w:pPr>
            <w:r>
              <w:rPr>
                <w:rFonts w:ascii="Times New Roman" w:cs="Times New Roman" w:eastAsia="Times New Roman" w:hAnsi="Times New Roman"/>
                <w:sz w:val="12"/>
                <w:szCs w:val="12"/>
                <w:color w:val="auto"/>
              </w:rPr>
              <w:t>​ (864,058)</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4"/>
          </w:tcPr>
          <w:p>
            <w:pPr>
              <w:jc w:val="right"/>
              <w:spacing w:after="0" w:line="123" w:lineRule="exact"/>
              <w:rPr>
                <w:sz w:val="20"/>
                <w:szCs w:val="20"/>
                <w:color w:val="auto"/>
              </w:rPr>
            </w:pPr>
            <w:r>
              <w:rPr>
                <w:rFonts w:ascii="Times New Roman" w:cs="Times New Roman" w:eastAsia="Times New Roman" w:hAnsi="Times New Roman"/>
                <w:sz w:val="12"/>
                <w:szCs w:val="12"/>
                <w:color w:val="auto"/>
              </w:rPr>
              <w:t>​ (498,852)</w:t>
            </w:r>
          </w:p>
        </w:tc>
        <w:tc>
          <w:tcPr>
            <w:tcW w:w="0" w:type="dxa"/>
            <w:vAlign w:val="bottom"/>
          </w:tcPr>
          <w:p>
            <w:pPr>
              <w:spacing w:after="0"/>
              <w:rPr>
                <w:sz w:val="1"/>
                <w:szCs w:val="1"/>
                <w:color w:val="auto"/>
              </w:rPr>
            </w:pPr>
          </w:p>
        </w:tc>
      </w:tr>
      <w:tr>
        <w:trPr>
          <w:trHeight w:val="46"/>
        </w:trPr>
        <w:tc>
          <w:tcPr>
            <w:tcW w:w="80" w:type="dxa"/>
            <w:vAlign w:val="bottom"/>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jc w:val="right"/>
              <w:spacing w:after="0" w:line="46" w:lineRule="exact"/>
              <w:rPr>
                <w:sz w:val="20"/>
                <w:szCs w:val="20"/>
                <w:color w:val="auto"/>
              </w:rPr>
            </w:pPr>
            <w:r>
              <w:rPr>
                <w:rFonts w:ascii="Times New Roman" w:cs="Times New Roman" w:eastAsia="Times New Roman" w:hAnsi="Times New Roman"/>
                <w:sz w:val="5"/>
                <w:szCs w:val="5"/>
                <w:color w:val="auto"/>
              </w:rPr>
              <w:t>​​</w:t>
            </w:r>
          </w:p>
        </w:tc>
        <w:tc>
          <w:tcPr>
            <w:tcW w:w="1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 ​1,603,766​​</w:t>
            </w: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 ​2,150,186</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spacing w:after="0"/>
              <w:rPr>
                <w:sz w:val="22"/>
                <w:szCs w:val="22"/>
                <w:color w:val="auto"/>
              </w:rPr>
            </w:pPr>
          </w:p>
        </w:tc>
        <w:tc>
          <w:tcPr>
            <w:tcW w:w="560" w:type="dxa"/>
            <w:vAlign w:val="bottom"/>
            <w:gridSpan w:val="2"/>
          </w:tcPr>
          <w:p>
            <w:pPr>
              <w:jc w:val="right"/>
              <w:ind w:right="19"/>
              <w:spacing w:after="0"/>
              <w:rPr>
                <w:sz w:val="20"/>
                <w:szCs w:val="20"/>
                <w:color w:val="auto"/>
              </w:rPr>
            </w:pPr>
            <w:r>
              <w:rPr>
                <w:rFonts w:ascii="Times New Roman" w:cs="Times New Roman" w:eastAsia="Times New Roman" w:hAnsi="Times New Roman"/>
                <w:sz w:val="12"/>
                <w:szCs w:val="12"/>
                <w:color w:val="auto"/>
              </w:rPr>
              <w:t>(69.79)</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8"/>
              </w:rPr>
              <w:t>$</w:t>
            </w:r>
          </w:p>
        </w:tc>
        <w:tc>
          <w:tcPr>
            <w:tcW w:w="100" w:type="dxa"/>
            <w:vAlign w:val="bottom"/>
          </w:tcPr>
          <w:p>
            <w:pPr>
              <w:spacing w:after="0"/>
              <w:rPr>
                <w:sz w:val="22"/>
                <w:szCs w:val="22"/>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(72.08)</w:t>
            </w:r>
          </w:p>
        </w:tc>
        <w:tc>
          <w:tcPr>
            <w:tcW w:w="0" w:type="dxa"/>
            <w:vAlign w:val="bottom"/>
          </w:tcPr>
          <w:p>
            <w:pPr>
              <w:spacing w:after="0"/>
              <w:rPr>
                <w:sz w:val="1"/>
                <w:szCs w:val="1"/>
                <w:color w:val="auto"/>
              </w:rPr>
            </w:pPr>
          </w:p>
        </w:tc>
      </w:tr>
      <w:tr>
        <w:trPr>
          <w:trHeight w:val="55"/>
        </w:trPr>
        <w:tc>
          <w:tcPr>
            <w:tcW w:w="80" w:type="dxa"/>
            <w:vAlign w:val="bottom"/>
            <w:vMerge w:val="continue"/>
          </w:tcPr>
          <w:p>
            <w:pPr>
              <w:spacing w:after="0"/>
              <w:rPr>
                <w:sz w:val="4"/>
                <w:szCs w:val="4"/>
                <w:color w:val="auto"/>
              </w:rPr>
            </w:pPr>
          </w:p>
        </w:tc>
        <w:tc>
          <w:tcPr>
            <w:tcW w:w="140" w:type="dxa"/>
            <w:vAlign w:val="bottom"/>
            <w:gridSpan w:val="2"/>
          </w:tcPr>
          <w:p>
            <w:pPr>
              <w:ind w:left="40"/>
              <w:spacing w:after="0" w:line="55" w:lineRule="exact"/>
              <w:rPr>
                <w:sz w:val="20"/>
                <w:szCs w:val="20"/>
                <w:color w:val="auto"/>
              </w:rPr>
            </w:pPr>
            <w:r>
              <w:rPr>
                <w:rFonts w:ascii="Times New Roman" w:cs="Times New Roman" w:eastAsia="Times New Roman" w:hAnsi="Times New Roman"/>
                <w:sz w:val="6"/>
                <w:szCs w:val="6"/>
                <w:color w:val="auto"/>
              </w:rPr>
              <w:t>​​</w:t>
            </w: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tcPr>
          <w:p>
            <w:pPr>
              <w:ind w:left="20"/>
              <w:spacing w:after="0" w:line="55"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2">
            <w:col w:w="5640" w:space="200"/>
            <w:col w:w="3179"/>
          </w:cols>
          <w:pgMar w:left="1440" w:top="106" w:right="1440" w:bottom="1440" w:gutter="0" w:footer="0" w:header="0"/>
          <w:type w:val="continuous"/>
        </w:sect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The following outstanding potentially dilutive securities were excluded from the computation of diluted net loss per share attributable to Class A common stockholders for the periods presented, because including them would have been anti-dilutive (on an as-converted basis):</w:t>
      </w:r>
    </w:p>
    <w:p>
      <w:pPr>
        <w:spacing w:after="0" w:line="1" w:lineRule="exact"/>
        <w:rPr>
          <w:sz w:val="20"/>
          <w:szCs w:val="20"/>
          <w:color w:val="auto"/>
        </w:rPr>
      </w:pPr>
    </w:p>
    <w:p>
      <w:pPr>
        <w:ind w:left="1720"/>
        <w:spacing w:after="0"/>
        <w:tabs>
          <w:tab w:leader="none" w:pos="5440" w:val="left"/>
        </w:tabs>
        <w:rPr>
          <w:sz w:val="20"/>
          <w:szCs w:val="20"/>
          <w:color w:val="auto"/>
        </w:rPr>
      </w:pPr>
      <w:r>
        <w:rPr>
          <w:rFonts w:ascii="Times New Roman" w:cs="Times New Roman" w:eastAsia="Times New Roman" w:hAnsi="Times New Roman"/>
          <w:sz w:val="20"/>
          <w:szCs w:val="20"/>
          <w:b w:val="1"/>
          <w:bCs w:val="1"/>
          <w:color w:val="auto"/>
          <w:vertAlign w:val="subscript"/>
        </w:rPr>
        <w:t>​</w:t>
      </w:r>
      <w:r>
        <w:rPr>
          <w:sz w:val="20"/>
          <w:szCs w:val="20"/>
          <w:color w:val="auto"/>
        </w:rPr>
        <w:tab/>
      </w: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December 31, 2022 </w:t>
      </w: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December 31, 2023 </w:t>
      </w:r>
      <w:r>
        <w:rPr>
          <w:rFonts w:ascii="Times New Roman" w:cs="Times New Roman" w:eastAsia="Times New Roman" w:hAnsi="Times New Roman"/>
          <w:sz w:val="19"/>
          <w:szCs w:val="1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17145</wp:posOffset>
            </wp:positionV>
            <wp:extent cx="3535680" cy="11620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p>
      <w:pPr>
        <w:spacing w:after="0" w:line="51" w:lineRule="exact"/>
        <w:rPr>
          <w:sz w:val="20"/>
          <w:szCs w:val="20"/>
          <w:color w:val="auto"/>
        </w:rPr>
      </w:pPr>
    </w:p>
    <w:p>
      <w:pPr>
        <w:ind w:left="1840"/>
        <w:spacing w:after="0" w:line="294" w:lineRule="auto"/>
        <w:rPr>
          <w:sz w:val="20"/>
          <w:szCs w:val="20"/>
          <w:color w:val="auto"/>
        </w:rPr>
      </w:pPr>
      <w:r>
        <w:rPr>
          <w:rFonts w:ascii="Times New Roman" w:cs="Times New Roman" w:eastAsia="Times New Roman" w:hAnsi="Times New Roman"/>
          <w:sz w:val="12"/>
          <w:szCs w:val="12"/>
          <w:color w:val="auto"/>
        </w:rPr>
        <w:t>Redeemable convertible preferred stock issued and outstanding Common stock options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-2540</wp:posOffset>
            </wp:positionV>
            <wp:extent cx="3535680" cy="21526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535680" cy="215265"/>
                    </a:xfrm>
                    <a:prstGeom prst="rect">
                      <a:avLst/>
                    </a:prstGeom>
                    <a:noFill/>
                  </pic:spPr>
                </pic:pic>
              </a:graphicData>
            </a:graphic>
          </wp:anchor>
        </w:drawing>
      </w:r>
    </w:p>
    <w:p>
      <w:pPr>
        <w:ind w:left="1960" w:right="140" w:hanging="121"/>
        <w:spacing w:after="0" w:line="291" w:lineRule="auto"/>
        <w:rPr>
          <w:sz w:val="20"/>
          <w:szCs w:val="20"/>
          <w:color w:val="auto"/>
        </w:rPr>
      </w:pPr>
      <w:r>
        <w:rPr>
          <w:rFonts w:ascii="Times New Roman" w:cs="Times New Roman" w:eastAsia="Times New Roman" w:hAnsi="Times New Roman"/>
          <w:sz w:val="12"/>
          <w:szCs w:val="12"/>
          <w:color w:val="auto"/>
        </w:rPr>
        <w:t>Unvested restricted common stock and early exercised stock options</w:t>
      </w:r>
    </w:p>
    <w:p>
      <w:pPr>
        <w:spacing w:after="0" w:line="2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Total</w:t>
      </w:r>
    </w:p>
    <w:p>
      <w:pPr>
        <w:spacing w:after="0" w:line="26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13. Income Taxes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​14,536,911</w:t>
            </w: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6"/>
              </w:rPr>
              <w:t>​18,387,168</w:t>
            </w:r>
          </w:p>
        </w:tc>
        <w:tc>
          <w:tcPr>
            <w:tcW w:w="12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7"/>
        </w:trPr>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9"/>
              </w:rPr>
              <w:t>4,102,615</w:t>
            </w: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5,096,086</w:t>
            </w:r>
          </w:p>
        </w:tc>
        <w:tc>
          <w:tcPr>
            <w:tcW w:w="12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12"/>
        </w:trPr>
        <w:tc>
          <w:tcPr>
            <w:tcW w:w="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718,386</w:t>
            </w: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356,422</w:t>
            </w:r>
          </w:p>
        </w:tc>
        <w:tc>
          <w:tcPr>
            <w:tcW w:w="120" w:type="dxa"/>
            <w:vAlign w:val="bottom"/>
            <w:tcBorders>
              <w:bottom w:val="single" w:sz="8" w:color="CCEEFF"/>
            </w:tcBorders>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3"/>
        </w:trPr>
        <w:tc>
          <w:tcPr>
            <w:tcW w:w="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4"/>
          </w:tcPr>
          <w:p>
            <w:pPr>
              <w:jc w:val="right"/>
              <w:ind w:right="60"/>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​19,357,912</w:t>
            </w:r>
          </w:p>
        </w:tc>
        <w:tc>
          <w:tcPr>
            <w:tcW w:w="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​23,839,676</w:t>
            </w:r>
          </w:p>
        </w:tc>
        <w:tc>
          <w:tcPr>
            <w:tcW w:w="12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444" w:lineRule="exact"/>
        <w:rPr>
          <w:sz w:val="20"/>
          <w:szCs w:val="20"/>
          <w:color w:val="auto"/>
        </w:rPr>
      </w:pPr>
    </w:p>
    <w:p>
      <w:pPr>
        <w:sectPr>
          <w:pgSz w:w="11900" w:h="16838" w:orient="portrait"/>
          <w:cols w:equalWidth="0" w:num="2">
            <w:col w:w="5080" w:space="340"/>
            <w:col w:w="3599"/>
          </w:cols>
          <w:pgMar w:left="1440" w:top="106" w:right="1440" w:bottom="1440" w:gutter="0" w:footer="0" w:header="0"/>
          <w:type w:val="continuous"/>
        </w:sectPr>
      </w:pPr>
    </w:p>
    <w:p>
      <w:pPr>
        <w:jc w:val="both"/>
        <w:ind w:left="1720" w:right="1739"/>
        <w:spacing w:after="0" w:line="288" w:lineRule="auto"/>
        <w:rPr>
          <w:sz w:val="20"/>
          <w:szCs w:val="20"/>
          <w:color w:val="auto"/>
        </w:rPr>
      </w:pPr>
      <w:r>
        <w:rPr>
          <w:rFonts w:ascii="Times New Roman" w:cs="Times New Roman" w:eastAsia="Times New Roman" w:hAnsi="Times New Roman"/>
          <w:sz w:val="12"/>
          <w:szCs w:val="12"/>
          <w:color w:val="auto"/>
        </w:rPr>
        <w:t>No provision for income taxes was recorded for the years ended December 31, 2022 and 2023, as the Company operated with taxable losses. The Company has incurred net operating losses only in the United States since inception.</w:t>
      </w:r>
    </w:p>
    <w:p>
      <w:pPr>
        <w:spacing w:after="0" w:line="62" w:lineRule="exact"/>
        <w:rPr>
          <w:sz w:val="20"/>
          <w:szCs w:val="20"/>
          <w:color w:val="auto"/>
        </w:rPr>
      </w:pPr>
    </w:p>
    <w:p>
      <w:pPr>
        <w:jc w:val="both"/>
        <w:ind w:left="1720" w:right="1739"/>
        <w:spacing w:after="0" w:line="306" w:lineRule="auto"/>
        <w:rPr>
          <w:sz w:val="20"/>
          <w:szCs w:val="20"/>
          <w:color w:val="auto"/>
        </w:rPr>
      </w:pPr>
      <w:r>
        <w:rPr>
          <w:rFonts w:ascii="Times New Roman" w:cs="Times New Roman" w:eastAsia="Times New Roman" w:hAnsi="Times New Roman"/>
          <w:sz w:val="12"/>
          <w:szCs w:val="12"/>
          <w:color w:val="auto"/>
        </w:rPr>
        <w:t>The differences between the effective income tax rate and the U.S. federal statutory income tax rate for the years ended December 31, 2022 and 2023 were as follows (in thousands):</w:t>
      </w:r>
    </w:p>
    <w:p>
      <w:pPr>
        <w:sectPr>
          <w:pgSz w:w="11900" w:h="16838" w:orient="portrait"/>
          <w:cols w:equalWidth="0" w:num="1">
            <w:col w:w="9019"/>
          </w:cols>
          <w:pgMar w:left="1440" w:top="106" w:right="1440" w:bottom="1440" w:gutter="0" w:footer="0" w:header="0"/>
          <w:type w:val="continuous"/>
        </w:sectPr>
      </w:pPr>
    </w:p>
    <w:p>
      <w:pPr>
        <w:spacing w:after="0" w:line="31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6985</wp:posOffset>
            </wp:positionV>
            <wp:extent cx="3535680" cy="1162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Amount at statutory tax rates</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Permanent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1104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535680" cy="11049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Valuation allowance</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1104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535680" cy="11049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Federal research and development credit</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19685</wp:posOffset>
            </wp:positionV>
            <wp:extent cx="3535680" cy="133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535680" cy="133985"/>
                    </a:xfrm>
                    <a:prstGeom prst="rect">
                      <a:avLst/>
                    </a:prstGeom>
                    <a:noFill/>
                  </pic:spPr>
                </pic:pic>
              </a:graphicData>
            </a:graphic>
          </wp:anchor>
        </w:drawing>
      </w:r>
    </w:p>
    <w:p>
      <w:pPr>
        <w:spacing w:after="0" w:line="4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Total</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4"/>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Year Ended</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0"/>
        </w:trPr>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4"/>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5"/>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40" w:type="dxa"/>
            <w:vAlign w:val="bottom"/>
          </w:tcPr>
          <w:p>
            <w:pPr>
              <w:spacing w:after="0"/>
              <w:rPr>
                <w:sz w:val="9"/>
                <w:szCs w:val="9"/>
                <w:color w:val="auto"/>
              </w:rPr>
            </w:pPr>
          </w:p>
        </w:tc>
      </w:tr>
      <w:tr>
        <w:trPr>
          <w:trHeight w:val="145"/>
        </w:trPr>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60" w:type="dxa"/>
            <w:vAlign w:val="bottom"/>
            <w:tcBorders>
              <w:bottom w:val="single" w:sz="8" w:color="auto"/>
            </w:tcBorders>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8"/>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​$(23,505)</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54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 xml:space="preserve">​$(32,548) </w:t>
            </w:r>
            <w:r>
              <w:rPr>
                <w:rFonts w:ascii="Times New Roman" w:cs="Times New Roman" w:eastAsia="Times New Roman" w:hAnsi="Times New Roman"/>
                <w:sz w:val="12"/>
                <w:szCs w:val="12"/>
                <w:b w:val="1"/>
                <w:bCs w:val="1"/>
                <w:color w:val="auto"/>
              </w:rPr>
              <w:t>​</w:t>
            </w:r>
          </w:p>
        </w:tc>
      </w:tr>
      <w:tr>
        <w:trPr>
          <w:trHeight w:val="174"/>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7,770</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 ​ 16,113</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 ​ 34,961</w:t>
            </w:r>
          </w:p>
        </w:tc>
        <w:tc>
          <w:tcPr>
            <w:tcW w:w="2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829</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 ​ (1,207)</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54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 xml:space="preserve">​ ​ (3,322) </w:t>
            </w:r>
            <w:r>
              <w:rPr>
                <w:rFonts w:ascii="Times New Roman" w:cs="Times New Roman" w:eastAsia="Times New Roman" w:hAnsi="Times New Roman"/>
                <w:sz w:val="12"/>
                <w:szCs w:val="12"/>
                <w:b w:val="1"/>
                <w:bCs w:val="1"/>
                <w:color w:val="auto"/>
              </w:rPr>
              <w:t>​</w:t>
            </w:r>
          </w:p>
        </w:tc>
      </w:tr>
      <w:tr>
        <w:trPr>
          <w:trHeight w:val="169"/>
        </w:trPr>
        <w:tc>
          <w:tcPr>
            <w:tcW w:w="280" w:type="dxa"/>
            <w:vAlign w:val="bottom"/>
            <w:gridSpan w:val="4"/>
          </w:tcPr>
          <w:p>
            <w:pPr>
              <w:spacing w:after="0" w:line="169" w:lineRule="exact"/>
              <w:rPr>
                <w:sz w:val="20"/>
                <w:szCs w:val="20"/>
                <w:color w:val="auto"/>
              </w:rPr>
            </w:pPr>
            <w:r>
              <w:rPr>
                <w:rFonts w:ascii="Times New Roman" w:cs="Times New Roman" w:eastAsia="Times New Roman" w:hAnsi="Times New Roman"/>
                <w:sz w:val="10"/>
                <w:szCs w:val="10"/>
                <w:color w:val="auto"/>
              </w:rPr>
              <w:t xml:space="preserve">​ ​ ​ </w:t>
            </w:r>
            <w:r>
              <w:rPr>
                <w:rFonts w:ascii="Times New Roman" w:cs="Times New Roman" w:eastAsia="Times New Roman" w:hAnsi="Times New Roman"/>
                <w:sz w:val="19"/>
                <w:szCs w:val="19"/>
                <w:color w:val="auto"/>
                <w:vertAlign w:val="superscript"/>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4"/>
                <w:szCs w:val="14"/>
                <w:color w:val="auto"/>
              </w:rPr>
            </w:pPr>
          </w:p>
        </w:tc>
        <w:tc>
          <w:tcPr>
            <w:tcW w:w="10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40" w:type="dxa"/>
            <w:vAlign w:val="bottom"/>
          </w:tcPr>
          <w:p>
            <w:pPr>
              <w:spacing w:after="0"/>
              <w:rPr>
                <w:sz w:val="14"/>
                <w:szCs w:val="14"/>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1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280" w:type="dxa"/>
            <w:vAlign w:val="bottom"/>
            <w:gridSpan w:val="4"/>
          </w:tcPr>
          <w:p>
            <w:pPr>
              <w:spacing w:after="0" w:line="163" w:lineRule="exact"/>
              <w:rPr>
                <w:sz w:val="20"/>
                <w:szCs w:val="20"/>
                <w:color w:val="auto"/>
              </w:rPr>
            </w:pPr>
            <w:r>
              <w:rPr>
                <w:rFonts w:ascii="Times New Roman" w:cs="Times New Roman" w:eastAsia="Times New Roman" w:hAnsi="Times New Roman"/>
                <w:sz w:val="10"/>
                <w:szCs w:val="10"/>
                <w:color w:val="auto"/>
              </w:rPr>
              <w:t>​ ​ ​</w:t>
            </w:r>
            <w:r>
              <w:rPr>
                <w:rFonts w:ascii="Times New Roman" w:cs="Times New Roman" w:eastAsia="Times New Roman" w:hAnsi="Times New Roman"/>
                <w:sz w:val="18"/>
                <w:szCs w:val="18"/>
                <w:color w:val="auto"/>
                <w:vertAlign w:val="superscript"/>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4"/>
                <w:szCs w:val="14"/>
                <w:color w:val="auto"/>
              </w:rPr>
            </w:pPr>
          </w:p>
        </w:tc>
        <w:tc>
          <w:tcPr>
            <w:tcW w:w="100" w:type="dxa"/>
            <w:vAlign w:val="bottom"/>
          </w:tcPr>
          <w:p>
            <w:pPr>
              <w:spacing w:after="0" w:line="163"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vertAlign w:val="superscript"/>
              </w:rPr>
              <w:t>$</w:t>
            </w:r>
          </w:p>
        </w:tc>
        <w:tc>
          <w:tcPr>
            <w:tcW w:w="440" w:type="dxa"/>
            <w:vAlign w:val="bottom"/>
            <w:gridSpan w:val="4"/>
          </w:tcPr>
          <w:p>
            <w:pPr>
              <w:jc w:val="right"/>
              <w:spacing w:after="0" w:line="163"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8"/>
                <w:szCs w:val="18"/>
                <w:b w:val="1"/>
                <w:bCs w:val="1"/>
                <w:color w:val="auto"/>
                <w:vertAlign w:val="subscript"/>
              </w:rPr>
              <w:t>​</w:t>
            </w: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160" w:space="720"/>
            <w:col w:w="3139"/>
          </w:cols>
          <w:pgMar w:left="1440" w:top="106" w:right="1440" w:bottom="1440" w:gutter="0" w:footer="0" w:header="0"/>
          <w:type w:val="continuous"/>
        </w:sectPr>
      </w:pP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237" w:name="page238"/>
    <w:bookmarkEnd w:id="23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13. Income Taxes (Continued)</w:t>
      </w:r>
    </w:p>
    <w:p>
      <w:pPr>
        <w:spacing w:after="0" w:line="157" w:lineRule="exact"/>
        <w:rPr>
          <w:sz w:val="20"/>
          <w:szCs w:val="20"/>
          <w:color w:val="auto"/>
        </w:rPr>
      </w:pPr>
    </w:p>
    <w:p>
      <w:pPr>
        <w:ind w:left="1720" w:right="1739"/>
        <w:spacing w:after="0" w:line="306" w:lineRule="auto"/>
        <w:rPr>
          <w:sz w:val="20"/>
          <w:szCs w:val="20"/>
          <w:color w:val="auto"/>
        </w:rPr>
      </w:pPr>
      <w:r>
        <w:rPr>
          <w:rFonts w:ascii="Times New Roman" w:cs="Times New Roman" w:eastAsia="Times New Roman" w:hAnsi="Times New Roman"/>
          <w:sz w:val="12"/>
          <w:szCs w:val="12"/>
          <w:color w:val="auto"/>
        </w:rPr>
        <w:t>Significant components of the deferred tax asset balances as of December 31, 2022 and 2023 were as follows (in thousands):</w:t>
      </w:r>
    </w:p>
    <w:p>
      <w:pPr>
        <w:sectPr>
          <w:pgSz w:w="11900" w:h="16838" w:orient="portrait"/>
          <w:cols w:equalWidth="0" w:num="1">
            <w:col w:w="9019"/>
          </w:cols>
          <w:pgMar w:left="1440" w:top="106" w:right="1440" w:bottom="1440" w:gutter="0" w:footer="0" w:header="0"/>
        </w:sectPr>
      </w:pPr>
    </w:p>
    <w:p>
      <w:pPr>
        <w:spacing w:after="0" w:line="20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6985</wp:posOffset>
            </wp:positionV>
            <wp:extent cx="3535680" cy="11620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Deferred tax assets:</w:t>
      </w:r>
    </w:p>
    <w:p>
      <w:pPr>
        <w:spacing w:after="0" w:line="3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Net operating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1104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535680" cy="110490"/>
                    </a:xfrm>
                    <a:prstGeom prst="rect">
                      <a:avLst/>
                    </a:prstGeom>
                    <a:noFill/>
                  </pic:spPr>
                </pic:pic>
              </a:graphicData>
            </a:graphic>
          </wp:anchor>
        </w:drawing>
      </w:r>
    </w:p>
    <w:p>
      <w:pPr>
        <w:spacing w:after="0" w:line="1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Tax credits</w:t>
      </w:r>
    </w:p>
    <w:p>
      <w:pPr>
        <w:spacing w:after="0" w:line="3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Research and development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1104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535680" cy="110490"/>
                    </a:xfrm>
                    <a:prstGeom prst="rect">
                      <a:avLst/>
                    </a:prstGeom>
                    <a:noFill/>
                  </pic:spPr>
                </pic:pic>
              </a:graphicData>
            </a:graphic>
          </wp:anchor>
        </w:drawing>
      </w:r>
    </w:p>
    <w:p>
      <w:pPr>
        <w:spacing w:after="0" w:line="1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Accruals and reserves</w:t>
      </w:r>
    </w:p>
    <w:p>
      <w:pPr>
        <w:spacing w:after="0" w:line="3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1104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535680" cy="110490"/>
                    </a:xfrm>
                    <a:prstGeom prst="rect">
                      <a:avLst/>
                    </a:prstGeom>
                    <a:noFill/>
                  </pic:spPr>
                </pic:pic>
              </a:graphicData>
            </a:graphic>
          </wp:anchor>
        </w:drawing>
      </w:r>
    </w:p>
    <w:p>
      <w:pPr>
        <w:spacing w:after="0" w:line="1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Operating lease liabilities</w:t>
      </w:r>
    </w:p>
    <w:p>
      <w:pPr>
        <w:spacing w:after="0" w:line="3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Other capitalized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19685</wp:posOffset>
            </wp:positionV>
            <wp:extent cx="3535680" cy="11620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3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color w:val="auto"/>
        </w:rPr>
        <w:t>Gross deferred tax assets</w:t>
      </w:r>
    </w:p>
    <w:p>
      <w:pPr>
        <w:spacing w:after="0" w:line="3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19685</wp:posOffset>
            </wp:positionV>
            <wp:extent cx="3535680" cy="11620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3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Deferred tax assets, net of valuation allowance</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1104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535680" cy="110490"/>
                    </a:xfrm>
                    <a:prstGeom prst="rect">
                      <a:avLst/>
                    </a:prstGeom>
                    <a:noFill/>
                  </pic:spPr>
                </pic:pic>
              </a:graphicData>
            </a:graphic>
          </wp:anchor>
        </w:drawing>
      </w:r>
    </w:p>
    <w:p>
      <w:pPr>
        <w:spacing w:after="0" w:line="1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Fixed assets</w:t>
      </w:r>
    </w:p>
    <w:p>
      <w:pPr>
        <w:spacing w:after="0" w:line="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19685</wp:posOffset>
            </wp:positionV>
            <wp:extent cx="3535680" cy="1219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535680" cy="121920"/>
                    </a:xfrm>
                    <a:prstGeom prst="rect">
                      <a:avLst/>
                    </a:prstGeom>
                    <a:noFill/>
                  </pic:spPr>
                </pic:pic>
              </a:graphicData>
            </a:graphic>
          </wp:anchor>
        </w:drawing>
      </w:r>
    </w:p>
    <w:p>
      <w:pPr>
        <w:spacing w:after="0" w:line="4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color w:val="auto"/>
        </w:rPr>
        <w:t>Deferred tax liabilities</w:t>
      </w:r>
    </w:p>
    <w:p>
      <w:pPr>
        <w:spacing w:after="0" w:line="5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Total net deferred tax assets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December 31,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5"/>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89"/>
              </w:rPr>
              <w:t>December 31,</w:t>
            </w:r>
          </w:p>
        </w:tc>
      </w:tr>
      <w:tr>
        <w:trPr>
          <w:trHeight w:val="145"/>
        </w:trPr>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60" w:type="dxa"/>
            <w:vAlign w:val="bottom"/>
            <w:tcBorders>
              <w:bottom w:val="single" w:sz="8" w:color="auto"/>
            </w:tcBorders>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60" w:type="dxa"/>
            <w:vAlign w:val="bottom"/>
            <w:tcBorders>
              <w:bottom w:val="single" w:sz="8" w:color="auto"/>
            </w:tcBorders>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8"/>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r>
      <w:tr>
        <w:trPr>
          <w:trHeight w:val="174"/>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6,404</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​$ 10,519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2,509</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6,243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 ​ 16,617</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 39,059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331</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423</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373</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6,842</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69"/>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303</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00" w:type="dxa"/>
            <w:vAlign w:val="bottom"/>
          </w:tcPr>
          <w:p>
            <w:pPr>
              <w:spacing w:after="0" w:line="169"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 ​ 26,960</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 68,606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69"/>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4"/>
          </w:tcPr>
          <w:p>
            <w:pPr>
              <w:ind w:left="60"/>
              <w:spacing w:after="0" w:line="169"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​(26,023)</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540" w:type="dxa"/>
            <w:vAlign w:val="bottom"/>
            <w:gridSpan w:val="4"/>
          </w:tcPr>
          <w:p>
            <w:pPr>
              <w:jc w:val="right"/>
              <w:spacing w:after="0" w:line="169"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​(61,404) </w:t>
            </w:r>
            <w:r>
              <w:rPr>
                <w:rFonts w:ascii="Times New Roman" w:cs="Times New Roman" w:eastAsia="Times New Roman" w:hAnsi="Times New Roman"/>
                <w:sz w:val="19"/>
                <w:szCs w:val="19"/>
                <w:b w:val="1"/>
                <w:bCs w:val="1"/>
                <w:color w:val="auto"/>
                <w:vertAlign w:val="subscript"/>
              </w:rPr>
              <w:t>​</w:t>
            </w: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1"/>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937</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7,202</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1"/>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r>
      <w:tr>
        <w:trPr>
          <w:trHeight w:val="177"/>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(581)</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 xml:space="preserve">​ ​ (1,025) </w:t>
            </w:r>
            <w:r>
              <w:rPr>
                <w:rFonts w:ascii="Times New Roman" w:cs="Times New Roman" w:eastAsia="Times New Roman" w:hAnsi="Times New Roman"/>
                <w:sz w:val="12"/>
                <w:szCs w:val="12"/>
                <w:b w:val="1"/>
                <w:bCs w:val="1"/>
                <w:color w:val="auto"/>
              </w:rPr>
              <w:t>​</w:t>
            </w:r>
          </w:p>
        </w:tc>
      </w:tr>
      <w:tr>
        <w:trPr>
          <w:trHeight w:val="175"/>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ind w:left="60"/>
              <w:spacing w:after="0" w:line="175"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0"/>
                <w:szCs w:val="20"/>
                <w:color w:val="auto"/>
                <w:vertAlign w:val="superscript"/>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(356)</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540" w:type="dxa"/>
            <w:vAlign w:val="bottom"/>
            <w:gridSpan w:val="4"/>
          </w:tcPr>
          <w:p>
            <w:pPr>
              <w:jc w:val="right"/>
              <w:spacing w:after="0" w:line="175"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xml:space="preserve"> ​ (6,177) </w:t>
            </w:r>
            <w:r>
              <w:rPr>
                <w:rFonts w:ascii="Times New Roman" w:cs="Times New Roman" w:eastAsia="Times New Roman" w:hAnsi="Times New Roman"/>
                <w:sz w:val="20"/>
                <w:szCs w:val="20"/>
                <w:b w:val="1"/>
                <w:bCs w:val="1"/>
                <w:color w:val="auto"/>
                <w:vertAlign w:val="subscript"/>
              </w:rPr>
              <w:t>​</w:t>
            </w: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(937)</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 xml:space="preserve">​ ​ (7,202) </w:t>
            </w:r>
            <w:r>
              <w:rPr>
                <w:rFonts w:ascii="Times New Roman" w:cs="Times New Roman" w:eastAsia="Times New Roman" w:hAnsi="Times New Roman"/>
                <w:sz w:val="12"/>
                <w:szCs w:val="12"/>
                <w:b w:val="1"/>
                <w:bCs w:val="1"/>
                <w:color w:val="auto"/>
              </w:rPr>
              <w:t>​</w:t>
            </w:r>
          </w:p>
        </w:tc>
      </w:tr>
      <w:tr>
        <w:trPr>
          <w:trHeight w:val="175"/>
        </w:trPr>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gridSpan w:val="2"/>
          </w:tcPr>
          <w:p>
            <w:pPr>
              <w:ind w:left="60"/>
              <w:spacing w:after="0" w:line="154"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10"/>
                <w:szCs w:val="10"/>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5"/>
                <w:szCs w:val="15"/>
                <w:color w:val="auto"/>
              </w:rPr>
            </w:pPr>
          </w:p>
        </w:tc>
        <w:tc>
          <w:tcPr>
            <w:tcW w:w="10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10"/>
                <w:szCs w:val="10"/>
                <w:color w:val="auto"/>
              </w:rPr>
              <w:t>$</w:t>
            </w:r>
          </w:p>
        </w:tc>
        <w:tc>
          <w:tcPr>
            <w:tcW w:w="440" w:type="dxa"/>
            <w:vAlign w:val="bottom"/>
            <w:gridSpan w:val="3"/>
          </w:tcPr>
          <w:p>
            <w:pPr>
              <w:jc w:val="right"/>
              <w:spacing w:after="0" w:line="154"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7"/>
                <w:szCs w:val="17"/>
                <w:b w:val="1"/>
                <w:bCs w:val="1"/>
                <w:color w:val="auto"/>
                <w:vertAlign w:val="subscript"/>
              </w:rPr>
              <w:t>​</w:t>
            </w: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2" w:lineRule="exact"/>
        <w:rPr>
          <w:sz w:val="20"/>
          <w:szCs w:val="20"/>
          <w:color w:val="auto"/>
        </w:rPr>
      </w:pPr>
    </w:p>
    <w:p>
      <w:pPr>
        <w:sectPr>
          <w:pgSz w:w="11900" w:h="16838" w:orient="portrait"/>
          <w:cols w:equalWidth="0" w:num="2">
            <w:col w:w="5160" w:space="720"/>
            <w:col w:w="3139"/>
          </w:cols>
          <w:pgMar w:left="1440" w:top="106" w:right="1440" w:bottom="1440" w:gutter="0" w:footer="0" w:header="0"/>
          <w:type w:val="continuous"/>
        </w:sect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color w:val="auto"/>
        </w:rPr>
        <w:t>A valuation allowance is required to be established when it is more likely than not that all or a portion of a deferred tax asset will not be realized. Realization of deferred tax assets is dependent upon future earnings, the timing and amount of which are uncertain. The Company believes that, based on a number of factors such as the history of operating losses, it is more likely than not that the deferred tax assets will not be fully realized, such that a full valuation allowance has been recorded. The valuation allowance increased by $15.7 million and by $35.4 million for the years ended December 31, 2022 and 2023, respectively, primarily due to the net operating losses carryforwards and research and development credits.</w:t>
      </w:r>
    </w:p>
    <w:p>
      <w:pPr>
        <w:spacing w:after="0" w:line="72" w:lineRule="exact"/>
        <w:rPr>
          <w:sz w:val="20"/>
          <w:szCs w:val="20"/>
          <w:color w:val="auto"/>
        </w:rPr>
      </w:pPr>
    </w:p>
    <w:p>
      <w:pPr>
        <w:jc w:val="both"/>
        <w:ind w:left="1720" w:right="1739"/>
        <w:spacing w:after="0" w:line="273" w:lineRule="auto"/>
        <w:rPr>
          <w:sz w:val="20"/>
          <w:szCs w:val="20"/>
          <w:color w:val="auto"/>
        </w:rPr>
      </w:pPr>
      <w:r>
        <w:rPr>
          <w:rFonts w:ascii="Times New Roman" w:cs="Times New Roman" w:eastAsia="Times New Roman" w:hAnsi="Times New Roman"/>
          <w:sz w:val="12"/>
          <w:szCs w:val="12"/>
          <w:color w:val="auto"/>
        </w:rPr>
        <w:t>The following table sets forth the Company’s federal and state net operating loss carryforwards and tax credits as of December 31, 2023 (dollars in thousands):</w:t>
      </w:r>
    </w:p>
    <w:p>
      <w:pPr>
        <w:sectPr>
          <w:pgSz w:w="11900" w:h="16838" w:orient="portrait"/>
          <w:cols w:equalWidth="0" w:num="1">
            <w:col w:w="9019"/>
          </w:cols>
          <w:pgMar w:left="1440" w:top="106" w:right="1440" w:bottom="1440" w:gutter="0" w:footer="0" w:header="0"/>
          <w:type w:val="continuous"/>
        </w:sectPr>
      </w:pPr>
    </w:p>
    <w:p>
      <w:pPr>
        <w:spacing w:after="0" w:line="13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6985</wp:posOffset>
            </wp:positionV>
            <wp:extent cx="3535680" cy="1162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Net operating losses, Federal</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Net operating losses,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1104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535680" cy="11049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Net operating losses, States</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Tax credits,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1162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Tax credits, States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Amount  </w:t>
      </w: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Begin to Expire </w:t>
      </w:r>
      <w:r>
        <w:rPr>
          <w:rFonts w:ascii="Times New Roman" w:cs="Times New Roman" w:eastAsia="Times New Roman" w:hAnsi="Times New Roman"/>
          <w:sz w:val="19"/>
          <w:szCs w:val="19"/>
          <w:b w:val="1"/>
          <w:bCs w:val="1"/>
          <w:color w:val="auto"/>
          <w:vertAlign w:val="subscript"/>
        </w:rPr>
        <w: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​​$32,120​​ ​Do not expire​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2"/>
                <w:szCs w:val="12"/>
                <w:color w:val="auto"/>
              </w:rPr>
              <w:t>​ ​​$16,520​​ ​</w:t>
            </w:r>
          </w:p>
        </w:tc>
        <w:tc>
          <w:tcPr>
            <w:tcW w:w="5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2037​</w:t>
            </w:r>
          </w:p>
        </w:tc>
      </w:tr>
      <w:tr>
        <w:trPr>
          <w:trHeight w:val="174"/>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2"/>
                <w:szCs w:val="12"/>
                <w:color w:val="auto"/>
              </w:rPr>
              <w:t>4,378​​ ​</w:t>
            </w:r>
          </w:p>
        </w:tc>
        <w:tc>
          <w:tcPr>
            <w:tcW w:w="5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2041​</w:t>
            </w:r>
          </w:p>
        </w:tc>
      </w:tr>
      <w:tr>
        <w:trPr>
          <w:trHeight w:val="177"/>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2"/>
                <w:szCs w:val="12"/>
                <w:color w:val="auto"/>
              </w:rPr>
              <w:t>7,902​​ ​</w:t>
            </w:r>
          </w:p>
        </w:tc>
        <w:tc>
          <w:tcPr>
            <w:tcW w:w="5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2039​</w:t>
            </w:r>
          </w:p>
        </w:tc>
      </w:tr>
      <w:tr>
        <w:trPr>
          <w:trHeight w:val="183"/>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2"/>
                <w:szCs w:val="12"/>
                <w:color w:val="auto"/>
              </w:rPr>
              <w:t>3,110​​ ​</w:t>
            </w:r>
          </w:p>
        </w:tc>
        <w:tc>
          <w:tcPr>
            <w:tcW w:w="5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2037​</w:t>
            </w:r>
          </w:p>
        </w:tc>
      </w:tr>
    </w:tbl>
    <w:p>
      <w:pPr>
        <w:spacing w:after="0" w:line="70" w:lineRule="exact"/>
        <w:rPr>
          <w:sz w:val="20"/>
          <w:szCs w:val="20"/>
          <w:color w:val="auto"/>
        </w:rPr>
      </w:pPr>
    </w:p>
    <w:p>
      <w:pPr>
        <w:sectPr>
          <w:pgSz w:w="11900" w:h="16838" w:orient="portrait"/>
          <w:cols w:equalWidth="0" w:num="2">
            <w:col w:w="5180" w:space="720"/>
            <w:col w:w="3119"/>
          </w:cols>
          <w:pgMar w:left="1440" w:top="106" w:right="1440" w:bottom="1440" w:gutter="0" w:footer="0" w:header="0"/>
          <w:type w:val="continuous"/>
        </w:sect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Utilization of some of the federal and state net operating loss and credit carryforwards may be subject to annual limitations due to the change in ownership provisions of the Internal Revenue Code of 1986, as amended (“Internal Revenue Code”), and similar state provisions. The annual limitation may result in the expiration of net operating losses and credits before utilization. As of December 31, 2023, the Company has not completed an I.R.C. section 382 study to determine if a limitation exists. As the Company has recorded a full valuation allowance, any potential limitation is not expected to have a material impact to the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238" w:name="page239"/>
    <w:bookmarkEnd w:id="23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13. Income Taxes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Uncertain Tax Positions</w:t>
      </w:r>
    </w:p>
    <w:p>
      <w:pPr>
        <w:spacing w:after="0" w:line="1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A reconciliation of the beginning and ending balances of the unrecognized tax benefits for the years ended</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December 31, 2022 and 2023, is as follows (in thousands):</w:t>
      </w:r>
    </w:p>
    <w:p>
      <w:pPr>
        <w:spacing w:after="0" w:line="107"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4"/>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89"/>
              </w:rPr>
              <w:t>Year Ended</w:t>
            </w:r>
          </w:p>
        </w:tc>
        <w:tc>
          <w:tcPr>
            <w:tcW w:w="40" w:type="dxa"/>
            <w:vAlign w:val="bottom"/>
          </w:tcPr>
          <w:p>
            <w:pPr>
              <w:spacing w:after="0"/>
              <w:rPr>
                <w:sz w:val="10"/>
                <w:szCs w:val="10"/>
                <w:color w:val="auto"/>
              </w:rPr>
            </w:pPr>
          </w:p>
        </w:tc>
      </w:tr>
      <w:tr>
        <w:trPr>
          <w:trHeight w:val="110"/>
        </w:trPr>
        <w:tc>
          <w:tcPr>
            <w:tcW w:w="4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4"/>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4"/>
          </w:tcPr>
          <w:p>
            <w:pPr>
              <w:jc w:val="center"/>
              <w:ind w:right="20"/>
              <w:spacing w:after="0" w:line="110"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40" w:type="dxa"/>
            <w:vAlign w:val="bottom"/>
          </w:tcPr>
          <w:p>
            <w:pPr>
              <w:spacing w:after="0"/>
              <w:rPr>
                <w:sz w:val="9"/>
                <w:szCs w:val="9"/>
                <w:color w:val="auto"/>
              </w:rPr>
            </w:pPr>
          </w:p>
        </w:tc>
      </w:tr>
      <w:tr>
        <w:trPr>
          <w:trHeight w:val="145"/>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460" w:type="dxa"/>
            <w:vAlign w:val="bottom"/>
            <w:tcBorders>
              <w:bottom w:val="single" w:sz="8" w:color="auto"/>
            </w:tcBorders>
            <w:gridSpan w:val="3"/>
          </w:tcPr>
          <w:p>
            <w:pPr>
              <w:jc w:val="center"/>
              <w:ind w:left="86"/>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460" w:type="dxa"/>
            <w:vAlign w:val="bottom"/>
            <w:tcBorders>
              <w:bottom w:val="single" w:sz="8" w:color="auto"/>
            </w:tcBorders>
            <w:gridSpan w:val="2"/>
          </w:tcPr>
          <w:p>
            <w:pPr>
              <w:jc w:val="center"/>
              <w:ind w:left="51"/>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Beginning balance</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​$ 2,451</w:t>
            </w:r>
          </w:p>
        </w:tc>
        <w:tc>
          <w:tcPr>
            <w:tcW w:w="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Increases in tax positions in the current period</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 ​2,347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5"/>
                <w:szCs w:val="15"/>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​3,572</w:t>
            </w:r>
          </w:p>
        </w:tc>
        <w:tc>
          <w:tcPr>
            <w:tcW w:w="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Decreases related to prior year’s tax position</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gridSpan w:val="2"/>
            <w:shd w:val="clear" w:color="auto" w:fill="CCEEFF"/>
          </w:tcPr>
          <w:p>
            <w:pPr>
              <w:ind w:left="120"/>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5"/>
                <w:szCs w:val="15"/>
                <w:color w:val="auto"/>
              </w:rPr>
            </w:pPr>
          </w:p>
        </w:tc>
        <w:tc>
          <w:tcPr>
            <w:tcW w:w="48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​(1,907)</w:t>
            </w:r>
          </w:p>
        </w:tc>
        <w:tc>
          <w:tcPr>
            <w:tcW w:w="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4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Ending balance</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4"/>
          </w:tcPr>
          <w:p>
            <w:pPr>
              <w:jc w:val="right"/>
              <w:ind w:right="100"/>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2,451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4"/>
                <w:szCs w:val="14"/>
                <w:color w:val="auto"/>
              </w:rPr>
            </w:pPr>
          </w:p>
        </w:tc>
        <w:tc>
          <w:tcPr>
            <w:tcW w:w="480" w:type="dxa"/>
            <w:vAlign w:val="bottom"/>
            <w:gridSpan w:val="3"/>
          </w:tcPr>
          <w:p>
            <w:pPr>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$ 4,116</w:t>
            </w:r>
          </w:p>
        </w:tc>
        <w:tc>
          <w:tcPr>
            <w:tcW w:w="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-487680</wp:posOffset>
            </wp:positionV>
            <wp:extent cx="3169285" cy="57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169285" cy="5715"/>
                    </a:xfrm>
                    <a:prstGeom prst="rect">
                      <a:avLst/>
                    </a:prstGeom>
                    <a:noFill/>
                  </pic:spPr>
                </pic:pic>
              </a:graphicData>
            </a:graphic>
          </wp:anchor>
        </w:drawing>
      </w:r>
    </w:p>
    <w:p>
      <w:pPr>
        <w:spacing w:after="0" w:line="141"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The entire amount of the unrecognized tax benefits would not impact the Company’s effective tax rate if recognized. The Company has elected to include interest and penalties as a component of other income (expense), net. For the years ended December 31, 2022 and 2023,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77"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As of December 31, 2023, the Company is not under audit by the Internal Revenue Service or any state authority for income taxes for any open years. Due to the Company’s net operating loss carryforwards, the Company’s domestic income tax returns are open to examination by the Internal Revenue Service beginning with tax year 2017 and by state taxing authorities beginning with tax year 2021.</w:t>
      </w:r>
    </w:p>
    <w:p>
      <w:pPr>
        <w:spacing w:after="0" w:line="1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14. Employee Benefit Plans</w:t>
      </w:r>
    </w:p>
    <w:p>
      <w:pPr>
        <w:spacing w:after="0" w:line="102"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color w:val="auto"/>
        </w:rPr>
        <w:t>The Company sponsors a qualified 401(k) defined contribution plan covering eligible employees. Participants may contribute a portion of their annual compensation limited to a maximum annual amount set by the Internal Revenue Service. There were no employer contributions under this plan for the years ended December 31, 2022 and 2023.</w:t>
      </w:r>
    </w:p>
    <w:p>
      <w:pPr>
        <w:spacing w:after="0" w:line="26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15. Reverse Stock Split</w:t>
      </w:r>
    </w:p>
    <w:p>
      <w:pPr>
        <w:spacing w:after="0" w:line="111"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On June 19, 2024, the board of directors approved, and on June 20, 2024, the Company effected, a reverse stock split of the shares of the Company’s outstanding common stock at a ratio of 1-for-4.675 (the “Reverse Stock Split”). The number of authorized shares and par value per share were not adjusted as a result of the Reverse Stock Split. All references to shares, options to purchase common stock, share amounts, per share amount, and related information contained in the consolidated financial statements have been retrospectively adjusted to reflect the effect of the Reverse Stock Split for all periods presented. The shares of common stock underlying outstanding stock options and other equity instruments were proportionately reduced and the respective exercise prices, if applicable, were proportionately increased in accordance with the terms of the agreements governing such securities. In addition, the conversion ratios for each series of the Company’s redeemable convertible preferred stock, which will automatically convert into shares of common stock upon the closing of the Company’s initial public offering (the “IPO”) of common stock, were proportionally adjusted.</w:t>
      </w:r>
    </w:p>
    <w:p>
      <w:pPr>
        <w:spacing w:after="0" w:line="27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16. Subsequent Events</w:t>
      </w:r>
    </w:p>
    <w:p>
      <w:pPr>
        <w:spacing w:after="0" w:line="111"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The Company has evaluated subsequent events for financial statement purposes occurring through April 10, 2024, the date when these consolidated financial statements were available to be issued. No subsequent events have been identified for disclosure to or adjustment in the consolidated financial statements, other than the matters noted below.</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39" w:name="page240"/>
    <w:bookmarkEnd w:id="23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16. Subsequent Events (Continued)</w:t>
      </w:r>
    </w:p>
    <w:p>
      <w:pPr>
        <w:spacing w:after="0" w:line="157"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From January 2024 through March 2024, the Company granted stock options for the purchase of an aggregate of 520,168 shares of common stock, with an exercise price of $8.84 per share to employees under the 2021 Plan. These options have vesting terms of four years with one-year cliff vesting.</w:t>
      </w:r>
    </w:p>
    <w:p>
      <w:pPr>
        <w:spacing w:after="0" w:line="67"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In March 2024, the Company’s board of directors approved the repricing of all outstanding options as of March 29, 2024, which have an exercise price exceeding $8.84 per share. The exercise price of outstanding options with a weighted average exercise price of $10.23 for 4,603,443 common stock shares was reduced to the estimated common stock fair value of $8.84 per share at the date of the repricing.</w:t>
      </w:r>
    </w:p>
    <w:p>
      <w:pPr>
        <w:spacing w:after="0" w:line="71"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In March 2024, the Company amended its certification of incorporation to increase the authorized number of shares of the Company. Under the new amended and restated certificate of incorporation, the Company is authorized to issue 225,000,000 shares of Class A common stock, 168,489,897 shares of Class B common stock and 202,643,727 shares of redeemable convertible preferred stock consisting of 10,500,000 shares of Series Seed redeemable convertible preferred stock, 7,500,000 shares of Series A redeemable convertible preferred stock, 40,200,000 shares of Series B redeemable convertible preferred stock, 9,760,088 shares of Series B- 1 redeemable convertible preferred stock, 18,000,000 shares of Series B- 2 redeemable convertible preferred stock, 1,778,830 shares of Series B-2A redeemable convertible preferred stock, 82,529,809 shares of Series C redeemable convertible preferred stock and 32,375,000 shares of Series C-1 redeemable convertible preferred stock.</w:t>
      </w:r>
    </w:p>
    <w:p>
      <w:pPr>
        <w:spacing w:after="0" w:line="219"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In March 2024, the Company entered into a Series C preferred stock purchase agreement and received $129.5 million gross cash proceeds from the issuance of 41,264,891 shares at a purchase price of $3.13826 per share in the First Tranche Series C Closing. Any time prior to the earliest of (i) December 31, 2024, (ii) the execution of a letter of intent for the sale of the Company, or (iii) the closing date of the Company’s initial public offering, at the discretion of the Company’s board of directors, the Company is obligated to sell and each Series C purchaser is obligated to purchase additional shares of Series C redeemable convertible preferred stock with the amount equal to the purchaser’s aggregate purchase price in the First Tranche Series C Closing less any previous payments by the purchaser as part of the Put Right (as defined below) exercise. If the purchaser does not purchase its full share in the Second Tranche Series C Closing, all of its existing shares of Series C redeemable convertible stock and Series C- 1 redeemable convertible preferred stock convert into common stock at a 10 -to-1 basis. Additionally, a purchaser has a right to purchase shares of Series C-1 redeemable convertible preferred stock at a purchase price of $4.00 per share beginning from the earlier of (a) September 4, 2024 or (b) the date of a significant partnering or collaboration agreement and expiring upon the earlier of (a) December 31, 2024, (b) the public filing of a registration statement on Form S-1 for the initial public offering, (c) the Second Tranche Series C Closing and (d) the execution of a letter of intent for the sale of the Company (the “Put Right”). The Put Right can only be exercised once.</w:t>
      </w:r>
    </w:p>
    <w:p>
      <w:pPr>
        <w:spacing w:after="0" w:line="26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17. Events Subsequent to Original Issuance of Financial Statements (Unaudited)</w:t>
      </w:r>
    </w:p>
    <w:p>
      <w:pPr>
        <w:spacing w:after="0" w:line="111" w:lineRule="exact"/>
        <w:rPr>
          <w:sz w:val="20"/>
          <w:szCs w:val="20"/>
          <w:color w:val="auto"/>
        </w:rPr>
      </w:pPr>
    </w:p>
    <w:p>
      <w:pPr>
        <w:jc w:val="both"/>
        <w:ind w:left="1720" w:right="1739"/>
        <w:spacing w:after="0" w:line="273" w:lineRule="auto"/>
        <w:rPr>
          <w:sz w:val="20"/>
          <w:szCs w:val="20"/>
          <w:color w:val="auto"/>
        </w:rPr>
      </w:pPr>
      <w:r>
        <w:rPr>
          <w:rFonts w:ascii="Times New Roman" w:cs="Times New Roman" w:eastAsia="Times New Roman" w:hAnsi="Times New Roman"/>
          <w:sz w:val="12"/>
          <w:szCs w:val="12"/>
          <w:color w:val="auto"/>
        </w:rPr>
        <w:t>In connection with the reissuance of the consolidated financial statements, the Company has evaluated subsequent events through June 24, 2024, the date the consolidated financial statements were available to be reissued.</w:t>
      </w:r>
    </w:p>
    <w:p>
      <w:pPr>
        <w:spacing w:after="0" w:line="208"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In May 2024, the Company’s board of directors adopted and the shareholders approved the 2024 Performance Option Plan (the “2024 POP”). The Company reserved 1,880,680 shares of common stock issuable under the 2024 POP. The 2024 POP permits grants of ISOs, NSOs and restricted stock awards to the Company’s employees, directors and consultants.</w:t>
      </w:r>
    </w:p>
    <w:p>
      <w:pPr>
        <w:spacing w:after="0" w:line="71"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In May 2024, the Company granted NSOs to employees to purchase 1,880,680 shares of common stock at an exercise price of $10.19 under the 2024 POP. Options generally vest on the date when both a performance condition and a service condition are satisfied for such shares. The performance condition is satisfied based on the Company meeting certain common stock public market price specified targets after the end of the lock-up period. The price target performance conditions are calculated based on the volume weighted average price per share over 30 consecutive trading dates, in accordance with the grant terms. Shares subject to the</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40" w:name="page241"/>
    <w:bookmarkEnd w:id="24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17. Events Subsequent to Original Issuance of Financial Statements (Unaudited) (Continued)</w:t>
      </w:r>
    </w:p>
    <w:p>
      <w:pPr>
        <w:spacing w:after="0" w:line="157"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option that have not satisfied the performance condition within six years from the vesting commencement date will expire at the performance end date. The service condition includes monthly vesting over 36 months from the vesting commencement date and the employee’s continuous service with the Company through each such monthly vesting date.</w:t>
      </w:r>
    </w:p>
    <w:p>
      <w:pPr>
        <w:spacing w:after="0" w:line="75"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In May 2024, the Company received $129.5 million gross cash proceeds from the issuance of 41,264,892 shares of Series C redeemable convertible preferred stock at a purchase price of $3.13826 per share in the Second Tranche Series C Closing.</w:t>
      </w:r>
    </w:p>
    <w:p>
      <w:pPr>
        <w:spacing w:after="0" w:line="71"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From April 2024 through June 2024, the Company granted stock options for the purchase of an aggregate of 1,276,629 shares of common stock, with an exercise price ranging from $10.19 – $13.32 per share to employees under the 2021 Plan. These options have vesting terms of four years with one-year cliff vesting.</w:t>
      </w:r>
    </w:p>
    <w:p>
      <w:pPr>
        <w:spacing w:after="0" w:line="62"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On June 21, 2024, the board of directors adopted, and on June 23, 2024, the Company’s stockholders approved, the amendment and restatement to the Company’s certificate of incorporation to be in effect upon the closing of the Company’s IPO, and the 2024 Equity Incentive Plan (the “2024 Plan”) and 2024 Employee Stock Purchase Plan (the “ESPP”), which become effective immediately prior to the execution of the underwriting agreement for the IPO (the “IPO effectiveness date”). In connection with the closing of the Company’s IPO, the Company will increase the authorized number of shares to 500,000,000 shares of common stock and 50,000,000 shares of preferred stock. The authorized number of common stock shares includes voting common stock of 492,815,092 shares and non-voting common stock of 7,184,908 shares. In connection with the IPO effectiveness date, the Company reserved 14,629,339 shares and 650,000 shares under the 2024 Plan and the ESPP, respectively, which will increase as defined in the plans. The 2024 Plan is a successor to the 2021 Plan. Once the 2024 Plan becomes effective, no further grants will be made under the 2021 Plan.</w:t>
      </w:r>
    </w:p>
    <w:p>
      <w:pPr>
        <w:spacing w:after="0" w:line="227"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On June 21, 2024, the board of directors approved the stock options grants for 163,131 common stock shares under the Company’s 2024 Plan to be issued on the IPO effectiveness date with an exercise price equal to the IPO price. Options will vest based on various terms, including annually over three years, over four years with a one year cliff or fully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41" w:name="page242"/>
    <w:bookmarkEnd w:id="241"/>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30"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0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660" w:type="dxa"/>
            <w:vAlign w:val="bottom"/>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w w:val="85"/>
              </w:rPr>
              <w:t>December 31,</w:t>
            </w:r>
          </w:p>
        </w:tc>
        <w:tc>
          <w:tcPr>
            <w:tcW w:w="160" w:type="dxa"/>
            <w:vAlign w:val="bottom"/>
          </w:tcPr>
          <w:p>
            <w:pPr>
              <w:spacing w:after="0"/>
              <w:rPr>
                <w:sz w:val="10"/>
                <w:szCs w:val="10"/>
                <w:color w:val="auto"/>
              </w:rPr>
            </w:pPr>
          </w:p>
        </w:tc>
        <w:tc>
          <w:tcPr>
            <w:tcW w:w="540" w:type="dxa"/>
            <w:vAlign w:val="bottom"/>
            <w:gridSpan w:val="3"/>
          </w:tcPr>
          <w:p>
            <w:pPr>
              <w:jc w:val="right"/>
              <w:ind w:right="41"/>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0" w:type="dxa"/>
            <w:vAlign w:val="bottom"/>
          </w:tcPr>
          <w:p>
            <w:pPr>
              <w:spacing w:after="0"/>
              <w:rPr>
                <w:sz w:val="1"/>
                <w:szCs w:val="1"/>
                <w:color w:val="auto"/>
              </w:rPr>
            </w:pPr>
          </w:p>
        </w:tc>
      </w:tr>
      <w:tr>
        <w:trPr>
          <w:trHeight w:val="126"/>
        </w:trPr>
        <w:tc>
          <w:tcPr>
            <w:tcW w:w="20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2"/>
              </w:rPr>
              <w:t>(in thousands, except share and per share amounts)</w:t>
            </w:r>
          </w:p>
        </w:tc>
        <w:tc>
          <w:tcPr>
            <w:tcW w:w="2180" w:type="dxa"/>
            <w:vAlign w:val="bottom"/>
          </w:tcPr>
          <w:p>
            <w:pPr>
              <w:spacing w:after="0"/>
              <w:rPr>
                <w:sz w:val="10"/>
                <w:szCs w:val="1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140" w:type="dxa"/>
            <w:vAlign w:val="bottom"/>
          </w:tcPr>
          <w:p>
            <w:pPr>
              <w:spacing w:after="0"/>
              <w:rPr>
                <w:sz w:val="10"/>
                <w:szCs w:val="10"/>
                <w:color w:val="auto"/>
              </w:rPr>
            </w:pP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16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 ​</w:t>
            </w:r>
          </w:p>
        </w:tc>
        <w:tc>
          <w:tcPr>
            <w:tcW w:w="120" w:type="dxa"/>
            <w:vAlign w:val="bottom"/>
          </w:tcPr>
          <w:p>
            <w:pPr>
              <w:spacing w:after="0"/>
              <w:rPr>
                <w:sz w:val="10"/>
                <w:szCs w:val="1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2024   ​</w:t>
            </w:r>
          </w:p>
        </w:tc>
        <w:tc>
          <w:tcPr>
            <w:tcW w:w="0" w:type="dxa"/>
            <w:vAlign w:val="bottom"/>
          </w:tcPr>
          <w:p>
            <w:pPr>
              <w:spacing w:after="0"/>
              <w:rPr>
                <w:sz w:val="1"/>
                <w:szCs w:val="1"/>
                <w:color w:val="auto"/>
              </w:rPr>
            </w:pPr>
          </w:p>
        </w:tc>
      </w:tr>
      <w:tr>
        <w:trPr>
          <w:trHeight w:val="20"/>
        </w:trPr>
        <w:tc>
          <w:tcPr>
            <w:tcW w:w="2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1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 ​ ​ ​</w:t>
            </w:r>
          </w:p>
        </w:tc>
        <w:tc>
          <w:tcPr>
            <w:tcW w:w="380" w:type="dxa"/>
            <w:vAlign w:val="bottom"/>
            <w:shd w:val="clear" w:color="auto" w:fill="CCEEFF"/>
          </w:tcPr>
          <w:p>
            <w:pPr>
              <w:spacing w:after="0"/>
              <w:rPr>
                <w:sz w:val="12"/>
                <w:szCs w:val="12"/>
                <w:color w:val="auto"/>
              </w:rPr>
            </w:pP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 ​​ ​</w:t>
            </w:r>
          </w:p>
        </w:tc>
        <w:tc>
          <w:tcPr>
            <w:tcW w:w="380" w:type="dxa"/>
            <w:vAlign w:val="bottom"/>
            <w:shd w:val="clear" w:color="auto" w:fill="CCEEFF"/>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6"/>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38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6"/>
        </w:trPr>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45,996</w:t>
            </w:r>
          </w:p>
        </w:tc>
        <w:tc>
          <w:tcPr>
            <w:tcW w:w="66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​​$ 112,071​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Marketable securities</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21,656​</w:t>
            </w:r>
          </w:p>
        </w:tc>
        <w:tc>
          <w:tcPr>
            <w:tcW w:w="0" w:type="dxa"/>
            <w:vAlign w:val="bottom"/>
          </w:tcPr>
          <w:p>
            <w:pPr>
              <w:spacing w:after="0"/>
              <w:rPr>
                <w:sz w:val="1"/>
                <w:szCs w:val="1"/>
                <w:color w:val="auto"/>
              </w:rPr>
            </w:pPr>
          </w:p>
        </w:tc>
      </w:tr>
      <w:tr>
        <w:trPr>
          <w:trHeight w:val="156"/>
        </w:trPr>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Restricted cash</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Research and development prepaid expenses</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5,610​</w:t>
            </w:r>
          </w:p>
        </w:tc>
        <w:tc>
          <w:tcPr>
            <w:tcW w:w="0" w:type="dxa"/>
            <w:vAlign w:val="bottom"/>
          </w:tcPr>
          <w:p>
            <w:pPr>
              <w:spacing w:after="0"/>
              <w:rPr>
                <w:sz w:val="1"/>
                <w:szCs w:val="1"/>
                <w:color w:val="auto"/>
              </w:rPr>
            </w:pPr>
          </w:p>
        </w:tc>
      </w:tr>
      <w:tr>
        <w:trPr>
          <w:trHeight w:val="165"/>
        </w:trPr>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prepaid expenses and current assets</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1,631</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1,796</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Total current assets</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53,357</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 ​​ ​141,246​</w:t>
            </w:r>
          </w:p>
        </w:tc>
        <w:tc>
          <w:tcPr>
            <w:tcW w:w="0" w:type="dxa"/>
            <w:vAlign w:val="bottom"/>
          </w:tcPr>
          <w:p>
            <w:pPr>
              <w:spacing w:after="0"/>
              <w:rPr>
                <w:sz w:val="1"/>
                <w:szCs w:val="1"/>
                <w:color w:val="auto"/>
              </w:rPr>
            </w:pPr>
          </w:p>
        </w:tc>
      </w:tr>
      <w:tr>
        <w:trPr>
          <w:trHeight w:val="15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cash, non-current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1,024</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22,091​</w:t>
            </w:r>
          </w:p>
        </w:tc>
        <w:tc>
          <w:tcPr>
            <w:tcW w:w="0" w:type="dxa"/>
            <w:vAlign w:val="bottom"/>
          </w:tcPr>
          <w:p>
            <w:pPr>
              <w:spacing w:after="0"/>
              <w:rPr>
                <w:sz w:val="1"/>
                <w:szCs w:val="1"/>
                <w:color w:val="auto"/>
              </w:rPr>
            </w:pPr>
          </w:p>
        </w:tc>
      </w:tr>
      <w:tr>
        <w:trPr>
          <w:trHeight w:val="15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right-of-use assets, net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12,783</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12,772​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long-term assets</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assets</w:t>
            </w:r>
          </w:p>
        </w:tc>
        <w:tc>
          <w:tcPr>
            <w:tcW w:w="28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9"/>
                <w:szCs w:val="9"/>
                <w:color w:val="auto"/>
              </w:rPr>
              <w:t>​ ​ ​</w:t>
            </w:r>
            <w:r>
              <w:rPr>
                <w:rFonts w:ascii="Times New Roman" w:cs="Times New Roman" w:eastAsia="Times New Roman" w:hAnsi="Times New Roman"/>
                <w:sz w:val="16"/>
                <w:szCs w:val="16"/>
                <w:color w:val="auto"/>
                <w:vertAlign w:val="superscript"/>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89,612</w:t>
            </w:r>
          </w:p>
        </w:tc>
        <w:tc>
          <w:tcPr>
            <w:tcW w:w="660" w:type="dxa"/>
            <w:vAlign w:val="bottom"/>
            <w:tcBorders>
              <w:left w:val="single" w:sz="8" w:color="CCEEFF"/>
            </w:tcBorders>
            <w:gridSpan w:val="3"/>
            <w:shd w:val="clear" w:color="auto" w:fill="CCEEFF"/>
          </w:tcPr>
          <w:p>
            <w:pPr>
              <w:jc w:val="right"/>
              <w:spacing w:after="0" w:line="145" w:lineRule="exact"/>
              <w:rPr>
                <w:sz w:val="20"/>
                <w:szCs w:val="20"/>
                <w:color w:val="auto"/>
              </w:rPr>
            </w:pPr>
            <w:r>
              <w:rPr>
                <w:rFonts w:ascii="Times New Roman" w:cs="Times New Roman" w:eastAsia="Times New Roman" w:hAnsi="Times New Roman"/>
                <w:sz w:val="16"/>
                <w:szCs w:val="16"/>
                <w:color w:val="auto"/>
                <w:vertAlign w:val="subscript"/>
              </w:rPr>
              <w:t>​​ ​​</w:t>
            </w:r>
            <w:r>
              <w:rPr>
                <w:rFonts w:ascii="Times New Roman" w:cs="Times New Roman" w:eastAsia="Times New Roman" w:hAnsi="Times New Roman"/>
                <w:sz w:val="9"/>
                <w:szCs w:val="9"/>
                <w:color w:val="auto"/>
              </w:rPr>
              <w:t>$ 177,375</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Liabilities, Redeemable Convertible Preferred Stock and Stockholders’ Deficit</w:t>
            </w:r>
          </w:p>
        </w:tc>
        <w:tc>
          <w:tcPr>
            <w:tcW w:w="1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line="20" w:lineRule="exact"/>
              <w:rPr>
                <w:sz w:val="1"/>
                <w:szCs w:val="1"/>
                <w:color w:val="auto"/>
              </w:rPr>
            </w:pPr>
          </w:p>
        </w:tc>
      </w:tr>
      <w:tr>
        <w:trPr>
          <w:trHeight w:val="125"/>
        </w:trPr>
        <w:tc>
          <w:tcPr>
            <w:tcW w:w="424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40" w:type="dxa"/>
            <w:vAlign w:val="bottom"/>
          </w:tcPr>
          <w:p>
            <w:pPr>
              <w:spacing w:after="0" w:line="125" w:lineRule="exact"/>
              <w:rPr>
                <w:sz w:val="20"/>
                <w:szCs w:val="20"/>
                <w:color w:val="auto"/>
              </w:rPr>
            </w:pPr>
            <w:r>
              <w:rPr>
                <w:rFonts w:ascii="Times New Roman" w:cs="Times New Roman" w:eastAsia="Times New Roman" w:hAnsi="Times New Roman"/>
                <w:sz w:val="12"/>
                <w:szCs w:val="12"/>
                <w:b w:val="1"/>
                <w:bCs w:val="1"/>
                <w:color w:val="auto"/>
              </w:rPr>
              <w:t>​ ​</w:t>
            </w:r>
          </w:p>
        </w:tc>
        <w:tc>
          <w:tcPr>
            <w:tcW w:w="380" w:type="dxa"/>
            <w:vAlign w:val="bottom"/>
          </w:tcPr>
          <w:p>
            <w:pPr>
              <w:spacing w:after="0"/>
              <w:rPr>
                <w:sz w:val="10"/>
                <w:szCs w:val="10"/>
                <w:color w:val="auto"/>
              </w:rPr>
            </w:pPr>
          </w:p>
        </w:tc>
        <w:tc>
          <w:tcPr>
            <w:tcW w:w="2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2"/>
                <w:szCs w:val="12"/>
                <w:b w:val="1"/>
                <w:bCs w:val="1"/>
                <w:color w:val="auto"/>
              </w:rPr>
              <w:t>​​​ ​​ ​</w:t>
            </w:r>
          </w:p>
        </w:tc>
        <w:tc>
          <w:tcPr>
            <w:tcW w:w="38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shd w:val="clear" w:color="auto" w:fill="CCEEFF"/>
          </w:tcPr>
          <w:p>
            <w:pPr>
              <w:spacing w:after="0"/>
              <w:rPr>
                <w:sz w:val="13"/>
                <w:szCs w:val="13"/>
                <w:color w:val="auto"/>
              </w:rPr>
            </w:pP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380" w:type="dxa"/>
            <w:vAlign w:val="bottom"/>
            <w:shd w:val="clear" w:color="auto" w:fill="CCEEFF"/>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6"/>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 ​$</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1,118</w:t>
            </w:r>
          </w:p>
        </w:tc>
        <w:tc>
          <w:tcPr>
            <w:tcW w:w="280" w:type="dxa"/>
            <w:vAlign w:val="bottom"/>
            <w:gridSpan w:val="2"/>
          </w:tcPr>
          <w:p>
            <w:pPr>
              <w:jc w:val="right"/>
              <w:ind w:right="11"/>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6,841​</w:t>
            </w:r>
          </w:p>
        </w:tc>
        <w:tc>
          <w:tcPr>
            <w:tcW w:w="0" w:type="dxa"/>
            <w:vAlign w:val="bottom"/>
          </w:tcPr>
          <w:p>
            <w:pPr>
              <w:spacing w:after="0"/>
              <w:rPr>
                <w:sz w:val="1"/>
                <w:szCs w:val="1"/>
                <w:color w:val="auto"/>
              </w:rPr>
            </w:pPr>
          </w:p>
        </w:tc>
      </w:tr>
      <w:tr>
        <w:trPr>
          <w:trHeight w:val="156"/>
        </w:trPr>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Research and development accrued expenses</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10,946</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11,175​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Other accrued expenses and current liabilities</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4,354​</w:t>
            </w:r>
          </w:p>
        </w:tc>
        <w:tc>
          <w:tcPr>
            <w:tcW w:w="0" w:type="dxa"/>
            <w:vAlign w:val="bottom"/>
          </w:tcPr>
          <w:p>
            <w:pPr>
              <w:spacing w:after="0"/>
              <w:rPr>
                <w:sz w:val="1"/>
                <w:szCs w:val="1"/>
                <w:color w:val="auto"/>
              </w:rPr>
            </w:pPr>
          </w:p>
        </w:tc>
      </w:tr>
      <w:tr>
        <w:trPr>
          <w:trHeight w:val="165"/>
        </w:trPr>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Operating lease liabilities, current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1,720</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1,618</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20,871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23,988​</w:t>
            </w:r>
          </w:p>
        </w:tc>
        <w:tc>
          <w:tcPr>
            <w:tcW w:w="0" w:type="dxa"/>
            <w:vAlign w:val="bottom"/>
          </w:tcPr>
          <w:p>
            <w:pPr>
              <w:spacing w:after="0"/>
              <w:rPr>
                <w:sz w:val="1"/>
                <w:szCs w:val="1"/>
                <w:color w:val="auto"/>
              </w:rPr>
            </w:pPr>
          </w:p>
        </w:tc>
      </w:tr>
      <w:tr>
        <w:trPr>
          <w:trHeight w:val="156"/>
        </w:trPr>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Operating lease liabilities, non-current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30,860</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30,458​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Derivative liability</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12,008​</w:t>
            </w:r>
          </w:p>
        </w:tc>
        <w:tc>
          <w:tcPr>
            <w:tcW w:w="0" w:type="dxa"/>
            <w:vAlign w:val="bottom"/>
          </w:tcPr>
          <w:p>
            <w:pPr>
              <w:spacing w:after="0"/>
              <w:rPr>
                <w:sz w:val="1"/>
                <w:szCs w:val="1"/>
                <w:color w:val="auto"/>
              </w:rPr>
            </w:pPr>
          </w:p>
        </w:tc>
      </w:tr>
      <w:tr>
        <w:trPr>
          <w:trHeight w:val="165"/>
        </w:trPr>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Share repurchase liability</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1,771</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1,272</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Total liabilities</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67,726​</w:t>
            </w:r>
          </w:p>
        </w:tc>
        <w:tc>
          <w:tcPr>
            <w:tcW w:w="0" w:type="dxa"/>
            <w:vAlign w:val="bottom"/>
          </w:tcPr>
          <w:p>
            <w:pPr>
              <w:spacing w:after="0"/>
              <w:rPr>
                <w:sz w:val="1"/>
                <w:szCs w:val="1"/>
                <w:color w:val="auto"/>
              </w:rPr>
            </w:pPr>
          </w:p>
        </w:tc>
      </w:tr>
      <w:tr>
        <w:trPr>
          <w:trHeight w:val="20"/>
        </w:trPr>
        <w:tc>
          <w:tcPr>
            <w:tcW w:w="4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Commitments and contingencies (Note 7)</w:t>
            </w: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240" w:type="dxa"/>
            <w:vAlign w:val="bottom"/>
            <w:gridSpan w:val="2"/>
            <w:vMerge w:val="continue"/>
            <w:shd w:val="clear" w:color="auto" w:fill="CCEEFF"/>
          </w:tcPr>
          <w:p>
            <w:pPr>
              <w:spacing w:after="0"/>
              <w:rPr>
                <w:sz w:val="12"/>
                <w:szCs w:val="12"/>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shd w:val="clear" w:color="auto" w:fill="CCEEFF"/>
          </w:tcPr>
          <w:p>
            <w:pPr>
              <w:spacing w:after="0"/>
              <w:rPr>
                <w:sz w:val="12"/>
                <w:szCs w:val="12"/>
                <w:color w:val="auto"/>
              </w:rPr>
            </w:pP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380" w:type="dxa"/>
            <w:vAlign w:val="bottom"/>
            <w:shd w:val="clear" w:color="auto" w:fill="CCEEFF"/>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3"/>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Redeemable convertible preferred stock, $0.0001 par value; 89,016,578 and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202,643,727 shares authorized as of December 31, 2023 and March 31, 2024,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respectively; 85,960,088 and 127,224,979 shares issued and outstanding as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December 31, 2023 and March 31, 2024, respectively; aggregate liquidation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preference of $370,540 and $500,040 as of December 31, 2023 and March 31,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2024, respectively</w:t>
            </w:r>
          </w:p>
        </w:tc>
        <w:tc>
          <w:tcPr>
            <w:tcW w:w="1360" w:type="dxa"/>
            <w:vAlign w:val="bottom"/>
            <w:gridSpan w:val="7"/>
          </w:tcPr>
          <w:p>
            <w:pPr>
              <w:ind w:left="20"/>
              <w:spacing w:after="0"/>
              <w:rPr>
                <w:sz w:val="20"/>
                <w:szCs w:val="20"/>
                <w:color w:val="auto"/>
              </w:rPr>
            </w:pPr>
            <w:r>
              <w:rPr>
                <w:rFonts w:ascii="Times New Roman" w:cs="Times New Roman" w:eastAsia="Times New Roman" w:hAnsi="Times New Roman"/>
                <w:sz w:val="12"/>
                <w:szCs w:val="12"/>
                <w:color w:val="auto"/>
              </w:rPr>
              <w:t>​ ​ ​ ​375,370 ​​ ​​ ​495,575​</w:t>
            </w:r>
          </w:p>
        </w:tc>
        <w:tc>
          <w:tcPr>
            <w:tcW w:w="0" w:type="dxa"/>
            <w:vAlign w:val="bottom"/>
          </w:tcPr>
          <w:p>
            <w:pPr>
              <w:spacing w:after="0"/>
              <w:rPr>
                <w:sz w:val="1"/>
                <w:szCs w:val="1"/>
                <w:color w:val="auto"/>
              </w:rPr>
            </w:pPr>
          </w:p>
        </w:tc>
      </w:tr>
      <w:tr>
        <w:trPr>
          <w:trHeight w:val="15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Stockholders’ deficit: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shd w:val="clear" w:color="auto" w:fill="CCEEFF"/>
          </w:tcPr>
          <w:p>
            <w:pPr>
              <w:spacing w:after="0"/>
              <w:rPr>
                <w:sz w:val="13"/>
                <w:szCs w:val="13"/>
                <w:color w:val="auto"/>
              </w:rPr>
            </w:pP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380" w:type="dxa"/>
            <w:vAlign w:val="bottom"/>
            <w:shd w:val="clear" w:color="auto" w:fill="CCEEFF"/>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3"/>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Common stock, $0.0001 par value; 125,000,000 and 225,000,000 Class A</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shares authorized as of December 31, 2023 and March 31, 2024,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respectively; 2,675,979 and 2,679,165 Class A shares issued and outstanding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as of December 31, 2023 and March 31, 2024, respectively; 85,960,088 and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168,489,897 Class B shares authorized as of December 31, 2023 and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31, 2024, respectively; no Class B shares issued and outstanding as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December 31, 2023 and March 31, 2024</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56"/>
        </w:trPr>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25,055</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28,241​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65"/>
        </w:trPr>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deficit</w:t>
            </w:r>
          </w:p>
        </w:tc>
        <w:tc>
          <w:tcPr>
            <w:tcW w:w="13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 ​(364,318)​​ ​​ ​(414,167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Total stockholders’ deficit</w:t>
            </w:r>
          </w:p>
        </w:tc>
        <w:tc>
          <w:tcPr>
            <w:tcW w:w="1360" w:type="dxa"/>
            <w:vAlign w:val="bottom"/>
            <w:gridSpan w:val="7"/>
          </w:tcPr>
          <w:p>
            <w:pPr>
              <w:ind w:left="20"/>
              <w:spacing w:after="0"/>
              <w:rPr>
                <w:sz w:val="20"/>
                <w:szCs w:val="20"/>
                <w:color w:val="auto"/>
              </w:rPr>
            </w:pPr>
            <w:r>
              <w:rPr>
                <w:rFonts w:ascii="Times New Roman" w:cs="Times New Roman" w:eastAsia="Times New Roman" w:hAnsi="Times New Roman"/>
                <w:sz w:val="12"/>
                <w:szCs w:val="12"/>
                <w:color w:val="auto"/>
              </w:rPr>
              <w:t>​ ​ ​ ​(339,260)​​ ​​ ​(385,926​)</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shd w:val="clear" w:color="auto" w:fill="CCEEFF"/>
              </w:rPr>
              <w:t>Total liabilities, redeemable convertible preferred stock and stockholders’ deficit</w:t>
            </w:r>
          </w:p>
        </w:tc>
        <w:tc>
          <w:tcPr>
            <w:tcW w:w="28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9"/>
                <w:szCs w:val="9"/>
                <w:color w:val="auto"/>
                <w:shd w:val="clear" w:color="auto" w:fill="CCEEFF"/>
              </w:rPr>
              <w:t>​ ​ ​</w:t>
            </w:r>
            <w:r>
              <w:rPr>
                <w:rFonts w:ascii="Times New Roman" w:cs="Times New Roman" w:eastAsia="Times New Roman" w:hAnsi="Times New Roman"/>
                <w:sz w:val="16"/>
                <w:szCs w:val="16"/>
                <w:color w:val="auto"/>
                <w:vertAlign w:val="superscript"/>
                <w:shd w:val="clear" w:color="auto" w:fill="CCEEFF"/>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89,612</w:t>
            </w:r>
          </w:p>
        </w:tc>
        <w:tc>
          <w:tcPr>
            <w:tcW w:w="660" w:type="dxa"/>
            <w:vAlign w:val="bottom"/>
            <w:tcBorders>
              <w:left w:val="single" w:sz="8" w:color="CCEEFF"/>
            </w:tcBorders>
            <w:gridSpan w:val="3"/>
            <w:shd w:val="clear" w:color="auto" w:fill="CCEEFF"/>
          </w:tcPr>
          <w:p>
            <w:pPr>
              <w:jc w:val="right"/>
              <w:spacing w:after="0" w:line="145" w:lineRule="exact"/>
              <w:rPr>
                <w:sz w:val="20"/>
                <w:szCs w:val="20"/>
                <w:color w:val="auto"/>
              </w:rPr>
            </w:pPr>
            <w:r>
              <w:rPr>
                <w:rFonts w:ascii="Times New Roman" w:cs="Times New Roman" w:eastAsia="Times New Roman" w:hAnsi="Times New Roman"/>
                <w:sz w:val="16"/>
                <w:szCs w:val="16"/>
                <w:color w:val="auto"/>
                <w:vertAlign w:val="subscript"/>
                <w:shd w:val="clear" w:color="auto" w:fill="CCEEFF"/>
              </w:rPr>
              <w:t>​​ ​​</w:t>
            </w:r>
            <w:r>
              <w:rPr>
                <w:rFonts w:ascii="Times New Roman" w:cs="Times New Roman" w:eastAsia="Times New Roman" w:hAnsi="Times New Roman"/>
                <w:sz w:val="9"/>
                <w:szCs w:val="9"/>
                <w:color w:val="auto"/>
                <w:shd w:val="clear" w:color="auto" w:fill="CCEEFF"/>
              </w:rPr>
              <w:t>$ 177,375</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7"/>
        </w:trPr>
        <w:tc>
          <w:tcPr>
            <w:tcW w:w="206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-133350</wp:posOffset>
            </wp:positionV>
            <wp:extent cx="3216275"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21627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-1971040</wp:posOffset>
            </wp:positionV>
            <wp:extent cx="3216275"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21627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-3203575</wp:posOffset>
            </wp:positionV>
            <wp:extent cx="3216275" cy="57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216275" cy="5715"/>
                    </a:xfrm>
                    <a:prstGeom prst="rect">
                      <a:avLst/>
                    </a:prstGeom>
                    <a:noFill/>
                  </pic:spPr>
                </pic:pic>
              </a:graphicData>
            </a:graphic>
          </wp:anchor>
        </w:drawing>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42" w:name="page243"/>
    <w:bookmarkEnd w:id="242"/>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COMPREHENSIVE LOSS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tbl>
      <w:tblPr>
        <w:tblLayout w:type="fixed"/>
        <w:tblInd w:w="1720" w:type="dxa"/>
        <w:tblCellMar>
          <w:top w:w="0" w:type="dxa"/>
          <w:left w:w="0" w:type="dxa"/>
          <w:bottom w:w="0" w:type="dxa"/>
          <w:right w:w="0" w:type="dxa"/>
        </w:tblCellMar>
      </w:tblPr>
      <w:tr>
        <w:trPr>
          <w:trHeight w:val="142"/>
        </w:trPr>
        <w:tc>
          <w:tcPr>
            <w:tcW w:w="20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354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Three months ended March 31, </w:t>
            </w:r>
            <w:r>
              <w:rPr>
                <w:rFonts w:ascii="Times New Roman" w:cs="Times New Roman" w:eastAsia="Times New Roman" w:hAnsi="Times New Roman"/>
                <w:sz w:val="16"/>
                <w:szCs w:val="16"/>
                <w:b w:val="1"/>
                <w:bCs w:val="1"/>
                <w:color w:val="auto"/>
                <w:vertAlign w:val="subscript"/>
              </w:rPr>
              <w:t>​</w:t>
            </w:r>
          </w:p>
        </w:tc>
      </w:tr>
      <w:tr>
        <w:trPr>
          <w:trHeight w:val="20"/>
        </w:trPr>
        <w:tc>
          <w:tcPr>
            <w:tcW w:w="2060" w:type="dxa"/>
            <w:vAlign w:val="bottom"/>
          </w:tcPr>
          <w:p>
            <w:pPr>
              <w:spacing w:after="0" w:line="20" w:lineRule="exact"/>
              <w:rPr>
                <w:sz w:val="1"/>
                <w:szCs w:val="1"/>
                <w:color w:val="auto"/>
              </w:rPr>
            </w:pPr>
          </w:p>
        </w:tc>
        <w:tc>
          <w:tcPr>
            <w:tcW w:w="22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7"/>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2"/>
              </w:rPr>
              <w:t>(in thousands, except share and per share amounts)</w:t>
            </w:r>
          </w:p>
        </w:tc>
        <w:tc>
          <w:tcPr>
            <w:tcW w:w="2240" w:type="dxa"/>
            <w:vAlign w:val="bottom"/>
          </w:tcPr>
          <w:p>
            <w:pPr>
              <w:ind w:left="2160"/>
              <w:spacing w:after="0"/>
              <w:rPr>
                <w:sz w:val="20"/>
                <w:szCs w:val="20"/>
                <w:color w:val="auto"/>
              </w:rPr>
            </w:pPr>
            <w:r>
              <w:rPr>
                <w:rFonts w:ascii="Times New Roman" w:cs="Times New Roman" w:eastAsia="Times New Roman" w:hAnsi="Times New Roman"/>
                <w:sz w:val="10"/>
                <w:szCs w:val="10"/>
                <w:b w:val="1"/>
                <w:bCs w:val="1"/>
                <w:color w:val="auto"/>
              </w:rPr>
              <w:t>​ ​</w:t>
            </w:r>
          </w:p>
        </w:tc>
        <w:tc>
          <w:tcPr>
            <w:tcW w:w="5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5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535680" cy="1104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535680" cy="11049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p>
      <w:pPr>
        <w:spacing w:after="0" w:line="3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Operating expenses:</w:t>
      </w:r>
    </w:p>
    <w:p>
      <w:pPr>
        <w:spacing w:after="0" w:line="27" w:lineRule="exact"/>
        <w:rPr>
          <w:sz w:val="20"/>
          <w:szCs w:val="20"/>
          <w:color w:val="auto"/>
        </w:rPr>
      </w:pPr>
    </w:p>
    <w:p>
      <w:pPr>
        <w:jc w:val="right"/>
        <w:ind w:left="1720"/>
        <w:spacing w:after="0" w:line="286" w:lineRule="auto"/>
        <w:rPr>
          <w:sz w:val="20"/>
          <w:szCs w:val="20"/>
          <w:color w:val="auto"/>
        </w:rPr>
      </w:pPr>
      <w:r>
        <w:rPr>
          <w:rFonts w:ascii="Times New Roman" w:cs="Times New Roman" w:eastAsia="Times New Roman" w:hAnsi="Times New Roman"/>
          <w:sz w:val="12"/>
          <w:szCs w:val="12"/>
          <w:color w:val="auto"/>
        </w:rPr>
        <w:t>Research and development expenses, including related party expenses of $325 and $421 for the three months ended March 31, 2023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-8255</wp:posOffset>
            </wp:positionV>
            <wp:extent cx="3535680" cy="1219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535680" cy="121920"/>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2"/>
          <w:szCs w:val="12"/>
          <w:color w:val="auto"/>
        </w:rPr>
        <w:t>General and administrative expenses</w:t>
      </w:r>
    </w:p>
    <w:p>
      <w:pPr>
        <w:spacing w:after="0" w:line="5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19685</wp:posOffset>
            </wp:positionV>
            <wp:extent cx="3535680" cy="1219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535680" cy="121920"/>
                    </a:xfrm>
                    <a:prstGeom prst="rect">
                      <a:avLst/>
                    </a:prstGeom>
                    <a:noFill/>
                  </pic:spPr>
                </pic:pic>
              </a:graphicData>
            </a:graphic>
          </wp:anchor>
        </w:drawing>
      </w:r>
    </w:p>
    <w:p>
      <w:pPr>
        <w:spacing w:after="0" w:line="4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Loss from operations</w:t>
      </w:r>
    </w:p>
    <w:p>
      <w:pPr>
        <w:spacing w:after="0" w:line="4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1162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Interest income</w:t>
      </w:r>
    </w:p>
    <w:p>
      <w:pPr>
        <w:spacing w:after="0" w:line="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Change in fair value of derivative liability</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r>
      <w:tr>
        <w:trPr>
          <w:trHeight w:val="302"/>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32,435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41,961</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4"/>
        </w:trPr>
        <w:tc>
          <w:tcPr>
            <w:tcW w:w="2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4,225</w:t>
            </w:r>
          </w:p>
        </w:tc>
        <w:tc>
          <w:tcPr>
            <w:tcW w:w="260" w:type="dxa"/>
            <w:vAlign w:val="bottom"/>
            <w:gridSpan w:val="2"/>
          </w:tcPr>
          <w:p>
            <w:pPr>
              <w:jc w:val="right"/>
              <w:ind w:right="40"/>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5,632</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24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36,660</w:t>
            </w:r>
          </w:p>
        </w:tc>
        <w:tc>
          <w:tcPr>
            <w:tcW w:w="260" w:type="dxa"/>
            <w:vAlign w:val="bottom"/>
            <w:gridSpan w:val="2"/>
          </w:tcPr>
          <w:p>
            <w:pPr>
              <w:jc w:val="right"/>
              <w:ind w:right="40"/>
              <w:spacing w:after="0" w:line="173"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47,593</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(36,660)​​​​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(47,593)</w:t>
            </w:r>
            <w:r>
              <w:rPr>
                <w:rFonts w:ascii="Times New Roman" w:cs="Times New Roman" w:eastAsia="Times New Roman" w:hAnsi="Times New Roman"/>
                <w:sz w:val="12"/>
                <w:szCs w:val="12"/>
                <w:b w:val="1"/>
                <w:bCs w:val="1"/>
                <w:color w:val="auto"/>
              </w:rPr>
              <w:t>​</w:t>
            </w:r>
          </w:p>
        </w:tc>
      </w:tr>
      <w:tr>
        <w:trPr>
          <w:trHeight w:val="18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tcPr>
          <w:p>
            <w:pPr>
              <w:spacing w:after="0"/>
              <w:rPr>
                <w:sz w:val="15"/>
                <w:szCs w:val="15"/>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r>
      <w:tr>
        <w:trPr>
          <w:trHeight w:val="18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854</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6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(3,095)</w:t>
            </w:r>
            <w:r>
              <w:rPr>
                <w:rFonts w:ascii="Times New Roman" w:cs="Times New Roman" w:eastAsia="Times New Roman" w:hAnsi="Times New Roman"/>
                <w:sz w:val="12"/>
                <w:szCs w:val="12"/>
                <w:b w:val="1"/>
                <w:bCs w:val="1"/>
                <w:color w:val="auto"/>
              </w:rPr>
              <w:t>​</w:t>
            </w:r>
          </w:p>
        </w:tc>
      </w:tr>
    </w:tbl>
    <w:p>
      <w:pPr>
        <w:spacing w:after="0" w:line="1" w:lineRule="exact"/>
        <w:rPr>
          <w:sz w:val="20"/>
          <w:szCs w:val="20"/>
          <w:color w:val="auto"/>
        </w:rPr>
      </w:pPr>
    </w:p>
    <w:p>
      <w:pPr>
        <w:sectPr>
          <w:pgSz w:w="11900" w:h="16838" w:orient="portrait"/>
          <w:cols w:equalWidth="0" w:num="2">
            <w:col w:w="5740" w:space="180"/>
            <w:col w:w="3099"/>
          </w:cols>
          <w:pgMar w:left="1440" w:top="106" w:right="1440" w:bottom="1440" w:gutter="0" w:footer="0" w:header="0"/>
          <w:type w:val="continuous"/>
        </w:sectPr>
      </w:pPr>
    </w:p>
    <w:tbl>
      <w:tblPr>
        <w:tblLayout w:type="fixed"/>
        <w:tblInd w:w="1720" w:type="dxa"/>
        <w:tblCellMar>
          <w:top w:w="0" w:type="dxa"/>
          <w:left w:w="0" w:type="dxa"/>
          <w:bottom w:w="0" w:type="dxa"/>
          <w:right w:w="0" w:type="dxa"/>
        </w:tblCellMar>
      </w:tblPr>
      <w:tr>
        <w:trPr>
          <w:trHeight w:val="194"/>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income (expenses), net</w:t>
            </w:r>
          </w:p>
        </w:tc>
        <w:tc>
          <w:tcPr>
            <w:tcW w:w="28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color w:val="auto"/>
                <w:vertAlign w:val="superscript"/>
              </w:rPr>
              <w:t>​</w:t>
            </w:r>
          </w:p>
        </w:tc>
        <w:tc>
          <w:tcPr>
            <w:tcW w:w="580" w:type="dxa"/>
            <w:vAlign w:val="bottom"/>
            <w:tcBorders>
              <w:right w:val="single" w:sz="8" w:color="CCEEFF"/>
            </w:tcBorders>
            <w:gridSpan w:val="3"/>
            <w:shd w:val="clear" w:color="auto" w:fill="CCEEFF"/>
          </w:tcPr>
          <w:p>
            <w:pPr>
              <w:jc w:val="right"/>
              <w:ind w:right="40"/>
              <w:spacing w:after="0" w:line="194" w:lineRule="exact"/>
              <w:rPr>
                <w:sz w:val="20"/>
                <w:szCs w:val="20"/>
                <w:color w:val="auto"/>
              </w:rPr>
            </w:pPr>
            <w:r>
              <w:rPr>
                <w:rFonts w:ascii="Times New Roman" w:cs="Times New Roman" w:eastAsia="Times New Roman" w:hAnsi="Times New Roman"/>
                <w:sz w:val="12"/>
                <w:szCs w:val="12"/>
                <w:color w:val="auto"/>
              </w:rPr>
              <w:t>(12)</w:t>
            </w:r>
            <w:r>
              <w:rPr>
                <w:rFonts w:ascii="Times New Roman" w:cs="Times New Roman" w:eastAsia="Times New Roman" w:hAnsi="Times New Roman"/>
                <w:sz w:val="22"/>
                <w:szCs w:val="22"/>
                <w:color w:val="auto"/>
                <w:vertAlign w:val="subscript"/>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4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1"/>
        </w:trPr>
        <w:tc>
          <w:tcPr>
            <w:tcW w:w="4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other income (expense), net</w:t>
            </w:r>
          </w:p>
        </w:tc>
        <w:tc>
          <w:tcPr>
            <w:tcW w:w="2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580" w:type="dxa"/>
            <w:vAlign w:val="bottom"/>
            <w:gridSpan w:val="3"/>
          </w:tcPr>
          <w:p>
            <w:pPr>
              <w:jc w:val="right"/>
              <w:ind w:right="40"/>
              <w:spacing w:after="0" w:line="182" w:lineRule="exact"/>
              <w:rPr>
                <w:sz w:val="20"/>
                <w:szCs w:val="20"/>
                <w:color w:val="auto"/>
              </w:rPr>
            </w:pPr>
            <w:r>
              <w:rPr>
                <w:rFonts w:ascii="Times New Roman" w:cs="Times New Roman" w:eastAsia="Times New Roman" w:hAnsi="Times New Roman"/>
                <w:sz w:val="21"/>
                <w:szCs w:val="21"/>
                <w:color w:val="auto"/>
                <w:vertAlign w:val="superscript"/>
              </w:rPr>
              <w:t>633</w:t>
            </w:r>
            <w:r>
              <w:rPr>
                <w:rFonts w:ascii="Times New Roman" w:cs="Times New Roman" w:eastAsia="Times New Roman" w:hAnsi="Times New Roman"/>
                <w:sz w:val="11"/>
                <w:szCs w:val="11"/>
                <w:color w:val="auto"/>
              </w:rPr>
              <w:t xml:space="preserve"> ​​​​</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1"/>
                <w:szCs w:val="11"/>
                <w:color w:val="auto"/>
              </w:rPr>
              <w:t>(2,256)</w:t>
            </w:r>
            <w:r>
              <w:rPr>
                <w:rFonts w:ascii="Times New Roman" w:cs="Times New Roman" w:eastAsia="Times New Roman" w:hAnsi="Times New Roman"/>
                <w:sz w:val="21"/>
                <w:szCs w:val="21"/>
                <w:b w:val="1"/>
                <w:bCs w:val="1"/>
                <w:color w:val="auto"/>
                <w:vertAlign w:val="subscript"/>
              </w:rPr>
              <w:t>​</w:t>
            </w:r>
          </w:p>
        </w:tc>
      </w:tr>
      <w:tr>
        <w:trPr>
          <w:trHeight w:val="20"/>
        </w:trPr>
        <w:tc>
          <w:tcPr>
            <w:tcW w:w="42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1"/>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860" w:type="dxa"/>
            <w:vAlign w:val="bottom"/>
            <w:gridSpan w:val="5"/>
          </w:tcPr>
          <w:p>
            <w:pPr>
              <w:ind w:left="20"/>
              <w:spacing w:after="0" w:line="182"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(36,027)</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48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1"/>
                <w:szCs w:val="11"/>
                <w:color w:val="auto"/>
              </w:rPr>
              <w:t>(49,849)</w:t>
            </w:r>
            <w:r>
              <w:rPr>
                <w:rFonts w:ascii="Times New Roman" w:cs="Times New Roman" w:eastAsia="Times New Roman" w:hAnsi="Times New Roman"/>
                <w:sz w:val="21"/>
                <w:szCs w:val="21"/>
                <w:b w:val="1"/>
                <w:bCs w:val="1"/>
                <w:color w:val="auto"/>
                <w:vertAlign w:val="subscript"/>
              </w:rPr>
              <w:t>​</w:t>
            </w:r>
          </w:p>
        </w:tc>
      </w:tr>
      <w:tr>
        <w:trPr>
          <w:trHeight w:val="20"/>
        </w:trPr>
        <w:tc>
          <w:tcPr>
            <w:tcW w:w="4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tcPr>
          <w:p>
            <w:pPr>
              <w:spacing w:after="0"/>
              <w:rPr>
                <w:sz w:val="14"/>
                <w:szCs w:val="14"/>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r>
      <w:tr>
        <w:trPr>
          <w:trHeight w:val="192"/>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Unrealized gain (loss) on marketable securities, net</w:t>
            </w:r>
          </w:p>
        </w:tc>
        <w:tc>
          <w:tcPr>
            <w:tcW w:w="280" w:type="dxa"/>
            <w:vAlign w:val="bottom"/>
            <w:gridSpan w:val="2"/>
            <w:shd w:val="clear" w:color="auto" w:fill="CCEEFF"/>
          </w:tcPr>
          <w:p>
            <w:pPr>
              <w:ind w:left="20"/>
              <w:spacing w:after="0" w:line="192"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color w:val="auto"/>
                <w:vertAlign w:val="superscript"/>
              </w:rPr>
              <w:t>​</w:t>
            </w:r>
          </w:p>
        </w:tc>
        <w:tc>
          <w:tcPr>
            <w:tcW w:w="580" w:type="dxa"/>
            <w:vAlign w:val="bottom"/>
            <w:tcBorders>
              <w:right w:val="single" w:sz="8" w:color="CCEEFF"/>
            </w:tcBorders>
            <w:gridSpan w:val="3"/>
            <w:shd w:val="clear" w:color="auto" w:fill="CCEEFF"/>
          </w:tcPr>
          <w:p>
            <w:pPr>
              <w:jc w:val="right"/>
              <w:ind w:right="40"/>
              <w:spacing w:after="0" w:line="192" w:lineRule="exact"/>
              <w:rPr>
                <w:sz w:val="20"/>
                <w:szCs w:val="20"/>
                <w:color w:val="auto"/>
              </w:rPr>
            </w:pPr>
            <w:r>
              <w:rPr>
                <w:rFonts w:ascii="Times New Roman" w:cs="Times New Roman" w:eastAsia="Times New Roman" w:hAnsi="Times New Roman"/>
                <w:sz w:val="22"/>
                <w:szCs w:val="22"/>
                <w:color w:val="auto"/>
                <w:vertAlign w:val="superscript"/>
              </w:rPr>
              <w:t>100</w:t>
            </w:r>
            <w:r>
              <w:rPr>
                <w:rFonts w:ascii="Times New Roman" w:cs="Times New Roman" w:eastAsia="Times New Roman" w:hAnsi="Times New Roman"/>
                <w:sz w:val="12"/>
                <w:szCs w:val="12"/>
                <w:color w:val="auto"/>
              </w:rPr>
              <w:t xml:space="preserve">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4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9"/>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Net loss and other comprehensive loss</w:t>
            </w:r>
          </w:p>
        </w:tc>
        <w:tc>
          <w:tcPr>
            <w:tcW w:w="860" w:type="dxa"/>
            <w:vAlign w:val="bottom"/>
            <w:gridSpan w:val="5"/>
          </w:tcPr>
          <w:p>
            <w:pPr>
              <w:ind w:left="20"/>
              <w:spacing w:after="0" w:line="173"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(35,927)</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60" w:type="dxa"/>
            <w:vAlign w:val="bottom"/>
          </w:tcPr>
          <w:p>
            <w:pPr>
              <w:spacing w:after="0"/>
              <w:rPr>
                <w:sz w:val="16"/>
                <w:szCs w:val="16"/>
                <w:color w:val="auto"/>
              </w:rPr>
            </w:pPr>
          </w:p>
        </w:tc>
        <w:tc>
          <w:tcPr>
            <w:tcW w:w="480" w:type="dxa"/>
            <w:vAlign w:val="bottom"/>
            <w:gridSpan w:val="3"/>
          </w:tcPr>
          <w:p>
            <w:pPr>
              <w:jc w:val="right"/>
              <w:spacing w:after="0" w:line="173" w:lineRule="exact"/>
              <w:rPr>
                <w:sz w:val="20"/>
                <w:szCs w:val="20"/>
                <w:color w:val="auto"/>
              </w:rPr>
            </w:pPr>
            <w:r>
              <w:rPr>
                <w:rFonts w:ascii="Times New Roman" w:cs="Times New Roman" w:eastAsia="Times New Roman" w:hAnsi="Times New Roman"/>
                <w:sz w:val="10"/>
                <w:szCs w:val="10"/>
                <w:color w:val="auto"/>
              </w:rPr>
              <w:t>(49,852)</w:t>
            </w:r>
            <w:r>
              <w:rPr>
                <w:rFonts w:ascii="Times New Roman" w:cs="Times New Roman" w:eastAsia="Times New Roman" w:hAnsi="Times New Roman"/>
                <w:sz w:val="19"/>
                <w:szCs w:val="19"/>
                <w:b w:val="1"/>
                <w:bCs w:val="1"/>
                <w:color w:val="auto"/>
                <w:vertAlign w:val="subscript"/>
              </w:rPr>
              <w:t>​</w:t>
            </w:r>
          </w:p>
        </w:tc>
      </w:tr>
      <w:tr>
        <w:trPr>
          <w:trHeight w:val="20"/>
        </w:trPr>
        <w:tc>
          <w:tcPr>
            <w:tcW w:w="43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gridSpan w:val="2"/>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4480" w:type="dxa"/>
            <w:vAlign w:val="bottom"/>
            <w:gridSpan w:val="3"/>
          </w:tcPr>
          <w:p>
            <w:pPr>
              <w:spacing w:after="0" w:line="173" w:lineRule="exact"/>
              <w:rPr>
                <w:sz w:val="20"/>
                <w:szCs w:val="20"/>
                <w:color w:val="auto"/>
              </w:rPr>
            </w:pPr>
            <w:r>
              <w:rPr>
                <w:rFonts w:ascii="Times New Roman" w:cs="Times New Roman" w:eastAsia="Times New Roman" w:hAnsi="Times New Roman"/>
                <w:sz w:val="10"/>
                <w:szCs w:val="10"/>
                <w:color w:val="auto"/>
                <w:shd w:val="clear" w:color="auto" w:fill="CCEEFF"/>
              </w:rPr>
              <w:t xml:space="preserve">Net loss per share attributable to Class A common stockholders, basic and diluted </w:t>
            </w:r>
            <w:r>
              <w:rPr>
                <w:rFonts w:ascii="Times New Roman" w:cs="Times New Roman" w:eastAsia="Times New Roman" w:hAnsi="Times New Roman"/>
                <w:sz w:val="19"/>
                <w:szCs w:val="19"/>
                <w:color w:val="auto"/>
                <w:vertAlign w:val="subscript"/>
                <w:shd w:val="clear" w:color="auto" w:fill="CCEEFF"/>
              </w:rPr>
              <w:t>​​​</w:t>
            </w:r>
            <w:r>
              <w:rPr>
                <w:rFonts w:ascii="Times New Roman" w:cs="Times New Roman" w:eastAsia="Times New Roman" w:hAnsi="Times New Roman"/>
                <w:sz w:val="10"/>
                <w:szCs w:val="10"/>
                <w:color w:val="auto"/>
                <w:shd w:val="clear" w:color="auto" w:fill="CCEEFF"/>
              </w:rPr>
              <w:t>$</w:t>
            </w:r>
          </w:p>
        </w:tc>
        <w:tc>
          <w:tcPr>
            <w:tcW w:w="580" w:type="dxa"/>
            <w:vAlign w:val="bottom"/>
            <w:gridSpan w:val="3"/>
          </w:tcPr>
          <w:p>
            <w:pPr>
              <w:jc w:val="right"/>
              <w:spacing w:after="0" w:line="173" w:lineRule="exact"/>
              <w:rPr>
                <w:sz w:val="20"/>
                <w:szCs w:val="20"/>
                <w:color w:val="auto"/>
              </w:rPr>
            </w:pPr>
            <w:r>
              <w:rPr>
                <w:rFonts w:ascii="Times New Roman" w:cs="Times New Roman" w:eastAsia="Times New Roman" w:hAnsi="Times New Roman"/>
                <w:sz w:val="10"/>
                <w:szCs w:val="10"/>
                <w:color w:val="auto"/>
                <w:shd w:val="clear" w:color="auto" w:fill="CCEEFF"/>
              </w:rPr>
              <w:t>(18.</w:t>
            </w:r>
            <w:r>
              <w:rPr>
                <w:rFonts w:ascii="Times New Roman" w:cs="Times New Roman" w:eastAsia="Times New Roman" w:hAnsi="Times New Roman"/>
                <w:sz w:val="10"/>
                <w:szCs w:val="10"/>
                <w:u w:val="single" w:color="auto"/>
                <w:color w:val="auto"/>
                <w:shd w:val="clear" w:color="auto" w:fill="CCEEFF"/>
              </w:rPr>
              <w:t>03</w:t>
            </w:r>
            <w:r>
              <w:rPr>
                <w:rFonts w:ascii="Times New Roman" w:cs="Times New Roman" w:eastAsia="Times New Roman" w:hAnsi="Times New Roman"/>
                <w:sz w:val="10"/>
                <w:szCs w:val="10"/>
                <w:color w:val="auto"/>
                <w:shd w:val="clear" w:color="auto" w:fill="CCEEFF"/>
              </w:rPr>
              <w:t>)</w:t>
            </w:r>
            <w:r>
              <w:rPr>
                <w:rFonts w:ascii="Times New Roman" w:cs="Times New Roman" w:eastAsia="Times New Roman" w:hAnsi="Times New Roman"/>
                <w:sz w:val="19"/>
                <w:szCs w:val="19"/>
                <w:color w:val="auto"/>
                <w:vertAlign w:val="subscript"/>
                <w:shd w:val="clear" w:color="auto" w:fill="CCEEFF"/>
              </w:rPr>
              <w:t>​​​​</w:t>
            </w:r>
            <w:r>
              <w:rPr>
                <w:rFonts w:ascii="Times New Roman" w:cs="Times New Roman" w:eastAsia="Times New Roman" w:hAnsi="Times New Roman"/>
                <w:sz w:val="10"/>
                <w:szCs w:val="10"/>
                <w:color w:val="auto"/>
                <w:shd w:val="clear" w:color="auto" w:fill="CCEEFF"/>
              </w:rPr>
              <w:t>$</w:t>
            </w: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3"/>
          </w:tcPr>
          <w:p>
            <w:pPr>
              <w:jc w:val="right"/>
              <w:spacing w:after="0" w:line="173" w:lineRule="exact"/>
              <w:rPr>
                <w:sz w:val="20"/>
                <w:szCs w:val="20"/>
                <w:color w:val="auto"/>
              </w:rPr>
            </w:pPr>
            <w:r>
              <w:rPr>
                <w:rFonts w:ascii="Times New Roman" w:cs="Times New Roman" w:eastAsia="Times New Roman" w:hAnsi="Times New Roman"/>
                <w:sz w:val="10"/>
                <w:szCs w:val="10"/>
                <w:color w:val="auto"/>
                <w:shd w:val="clear" w:color="auto" w:fill="CCEEFF"/>
              </w:rPr>
              <w:t>(21.</w:t>
            </w:r>
            <w:r>
              <w:rPr>
                <w:rFonts w:ascii="Times New Roman" w:cs="Times New Roman" w:eastAsia="Times New Roman" w:hAnsi="Times New Roman"/>
                <w:sz w:val="10"/>
                <w:szCs w:val="10"/>
                <w:u w:val="single" w:color="auto"/>
                <w:color w:val="auto"/>
                <w:shd w:val="clear" w:color="auto" w:fill="CCEEFF"/>
              </w:rPr>
              <w:t>03</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b w:val="1"/>
                <w:bCs w:val="1"/>
                <w:color w:val="auto"/>
                <w:vertAlign w:val="subscript"/>
              </w:rPr>
              <w:t>​</w:t>
            </w:r>
          </w:p>
        </w:tc>
      </w:tr>
      <w:tr>
        <w:trPr>
          <w:trHeight w:val="20"/>
        </w:trPr>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72"/>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Class A common shares outstanding, basic and diluted</w:t>
            </w:r>
          </w:p>
        </w:tc>
        <w:tc>
          <w:tcPr>
            <w:tcW w:w="860" w:type="dxa"/>
            <w:vAlign w:val="bottom"/>
            <w:gridSpan w:val="5"/>
          </w:tcPr>
          <w:p>
            <w:pPr>
              <w:ind w:left="20"/>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 xml:space="preserve"> ​1,997,832 </w:t>
            </w:r>
            <w:r>
              <w:rPr>
                <w:rFonts w:ascii="Times New Roman" w:cs="Times New Roman" w:eastAsia="Times New Roman" w:hAnsi="Times New Roman"/>
                <w:sz w:val="18"/>
                <w:szCs w:val="18"/>
                <w:color w:val="auto"/>
                <w:vertAlign w:val="subscript"/>
              </w:rPr>
              <w:t>​​​​</w:t>
            </w:r>
          </w:p>
        </w:tc>
        <w:tc>
          <w:tcPr>
            <w:tcW w:w="540" w:type="dxa"/>
            <w:vAlign w:val="bottom"/>
            <w:gridSpan w:val="4"/>
          </w:tcPr>
          <w:p>
            <w:pPr>
              <w:jc w:val="right"/>
              <w:spacing w:after="0" w:line="164" w:lineRule="exact"/>
              <w:rPr>
                <w:sz w:val="20"/>
                <w:szCs w:val="20"/>
                <w:color w:val="auto"/>
              </w:rPr>
            </w:pPr>
            <w:r>
              <w:rPr>
                <w:rFonts w:ascii="Times New Roman" w:cs="Times New Roman" w:eastAsia="Times New Roman" w:hAnsi="Times New Roman"/>
                <w:sz w:val="10"/>
                <w:szCs w:val="10"/>
                <w:color w:val="auto"/>
              </w:rPr>
              <w:t xml:space="preserve">​2,370,051 </w:t>
            </w:r>
            <w:r>
              <w:rPr>
                <w:rFonts w:ascii="Times New Roman" w:cs="Times New Roman" w:eastAsia="Times New Roman" w:hAnsi="Times New Roman"/>
                <w:sz w:val="18"/>
                <w:szCs w:val="18"/>
                <w:b w:val="1"/>
                <w:bCs w:val="1"/>
                <w:color w:val="auto"/>
                <w:vertAlign w:val="subscript"/>
              </w:rPr>
              <w:t>​</w:t>
            </w:r>
          </w:p>
        </w:tc>
      </w:tr>
      <w:tr>
        <w:trPr>
          <w:trHeight w:val="20"/>
        </w:trPr>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4616450</wp:posOffset>
            </wp:positionH>
            <wp:positionV relativeFrom="paragraph">
              <wp:posOffset>-429895</wp:posOffset>
            </wp:positionV>
            <wp:extent cx="11430"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143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-802005</wp:posOffset>
            </wp:positionV>
            <wp:extent cx="3535680" cy="1339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535680" cy="133985"/>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-929640</wp:posOffset>
            </wp:positionV>
            <wp:extent cx="11430"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1430" cy="5715"/>
                    </a:xfrm>
                    <a:prstGeom prst="rect">
                      <a:avLst/>
                    </a:prstGeom>
                    <a:noFill/>
                  </pic:spPr>
                </pic:pic>
              </a:graphicData>
            </a:graphic>
          </wp:anchor>
        </w:drawing>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243" w:name="page244"/>
    <w:bookmarkEnd w:id="243"/>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REDEEMABLE CONVERTIBLE PREFERRED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STOCK AND STOCKHOLDERS’ DEFICIT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9" w:lineRule="exact"/>
        <w:rPr>
          <w:sz w:val="20"/>
          <w:szCs w:val="20"/>
          <w:color w:val="auto"/>
        </w:rPr>
      </w:pPr>
    </w:p>
    <w:tbl>
      <w:tblPr>
        <w:tblLayout w:type="fixed"/>
        <w:tblInd w:w="1200" w:type="dxa"/>
        <w:tblCellMar>
          <w:top w:w="0" w:type="dxa"/>
          <w:left w:w="0" w:type="dxa"/>
          <w:bottom w:w="0" w:type="dxa"/>
          <w:right w:w="0" w:type="dxa"/>
        </w:tblCellMar>
      </w:tblPr>
      <w:tr>
        <w:trPr>
          <w:trHeight w:val="115"/>
        </w:trPr>
        <w:tc>
          <w:tcPr>
            <w:tcW w:w="1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tcPr>
          <w:p>
            <w:pPr>
              <w:jc w:val="center"/>
              <w:ind w:left="46"/>
              <w:spacing w:after="0"/>
              <w:rPr>
                <w:sz w:val="20"/>
                <w:szCs w:val="20"/>
                <w:color w:val="auto"/>
              </w:rPr>
            </w:pPr>
            <w:r>
              <w:rPr>
                <w:rFonts w:ascii="Times New Roman" w:cs="Times New Roman" w:eastAsia="Times New Roman" w:hAnsi="Times New Roman"/>
                <w:sz w:val="10"/>
                <w:szCs w:val="10"/>
                <w:b w:val="1"/>
                <w:bCs w:val="1"/>
                <w:color w:val="auto"/>
                <w:w w:val="95"/>
              </w:rPr>
              <w:t>Redeemable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5"/>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1"/>
              </w:rPr>
              <w:t>Accumulated</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3"/>
            <w:vMerge w:val="restart"/>
          </w:tcPr>
          <w:p>
            <w:pPr>
              <w:jc w:val="center"/>
              <w:ind w:left="46"/>
              <w:spacing w:after="0" w:line="110" w:lineRule="exact"/>
              <w:rPr>
                <w:sz w:val="20"/>
                <w:szCs w:val="20"/>
                <w:color w:val="auto"/>
              </w:rPr>
            </w:pPr>
            <w:r>
              <w:rPr>
                <w:rFonts w:ascii="Times New Roman" w:cs="Times New Roman" w:eastAsia="Times New Roman" w:hAnsi="Times New Roman"/>
                <w:sz w:val="10"/>
                <w:szCs w:val="10"/>
                <w:b w:val="1"/>
                <w:bCs w:val="1"/>
                <w:color w:val="auto"/>
                <w:w w:val="90"/>
              </w:rPr>
              <w:t>Convertible</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gridSpan w:val="5"/>
            <w:vMerge w:val="continue"/>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1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gridSpan w:val="3"/>
            <w:vMerge w:val="restart"/>
          </w:tcPr>
          <w:p>
            <w:pPr>
              <w:ind w:left="60"/>
              <w:spacing w:after="0" w:line="99" w:lineRule="exact"/>
              <w:rPr>
                <w:sz w:val="20"/>
                <w:szCs w:val="20"/>
                <w:color w:val="auto"/>
              </w:rPr>
            </w:pPr>
            <w:r>
              <w:rPr>
                <w:rFonts w:ascii="Times New Roman" w:cs="Times New Roman" w:eastAsia="Times New Roman" w:hAnsi="Times New Roman"/>
                <w:sz w:val="10"/>
                <w:szCs w:val="10"/>
                <w:b w:val="1"/>
                <w:bCs w:val="1"/>
                <w:color w:val="auto"/>
                <w:w w:val="96"/>
              </w:rPr>
              <w:t>Additional</w:t>
            </w: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gridSpan w:val="4"/>
            <w:vMerge w:val="restart"/>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vMerge w:val="restart"/>
          </w:tcPr>
          <w:p>
            <w:pPr>
              <w:jc w:val="center"/>
              <w:ind w:right="62"/>
              <w:spacing w:after="0" w:line="99" w:lineRule="exact"/>
              <w:rPr>
                <w:sz w:val="20"/>
                <w:szCs w:val="20"/>
                <w:color w:val="auto"/>
              </w:rPr>
            </w:pPr>
            <w:r>
              <w:rPr>
                <w:rFonts w:ascii="Times New Roman" w:cs="Times New Roman" w:eastAsia="Times New Roman" w:hAnsi="Times New Roman"/>
                <w:sz w:val="10"/>
                <w:szCs w:val="10"/>
                <w:b w:val="1"/>
                <w:bCs w:val="1"/>
                <w:color w:val="auto"/>
                <w:w w:val="87"/>
              </w:rPr>
              <w:t>Total</w:t>
            </w: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1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gridSpan w:val="3"/>
            <w:vMerge w:val="restart"/>
          </w:tcPr>
          <w:p>
            <w:pPr>
              <w:jc w:val="center"/>
              <w:ind w:left="66"/>
              <w:spacing w:after="0"/>
              <w:rPr>
                <w:sz w:val="20"/>
                <w:szCs w:val="20"/>
                <w:color w:val="auto"/>
              </w:rPr>
            </w:pPr>
            <w:r>
              <w:rPr>
                <w:rFonts w:ascii="Times New Roman" w:cs="Times New Roman" w:eastAsia="Times New Roman" w:hAnsi="Times New Roman"/>
                <w:sz w:val="10"/>
                <w:szCs w:val="10"/>
                <w:b w:val="1"/>
                <w:bCs w:val="1"/>
                <w:color w:val="auto"/>
                <w:w w:val="94"/>
              </w:rPr>
              <w:t>Preferred Stock</w:t>
            </w: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54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1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vMerge w:val="restart"/>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880" w:type="dxa"/>
            <w:vAlign w:val="bottom"/>
            <w:gridSpan w:val="2"/>
            <w:vMerge w:val="continue"/>
          </w:tcPr>
          <w:p>
            <w:pPr>
              <w:spacing w:after="0"/>
              <w:rPr>
                <w:sz w:val="7"/>
                <w:szCs w:val="7"/>
                <w:color w:val="auto"/>
              </w:rPr>
            </w:pPr>
          </w:p>
        </w:tc>
        <w:tc>
          <w:tcPr>
            <w:tcW w:w="80" w:type="dxa"/>
            <w:vAlign w:val="bottom"/>
            <w:vMerge w:val="restart"/>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460" w:type="dxa"/>
            <w:vAlign w:val="bottom"/>
            <w:gridSpan w:val="2"/>
            <w:vMerge w:val="restart"/>
          </w:tcPr>
          <w:p>
            <w:pPr>
              <w:ind w:left="40"/>
              <w:spacing w:after="0" w:line="112" w:lineRule="exact"/>
              <w:rPr>
                <w:sz w:val="20"/>
                <w:szCs w:val="20"/>
                <w:color w:val="auto"/>
              </w:rPr>
            </w:pPr>
            <w:r>
              <w:rPr>
                <w:rFonts w:ascii="Times New Roman" w:cs="Times New Roman" w:eastAsia="Times New Roman" w:hAnsi="Times New Roman"/>
                <w:sz w:val="10"/>
                <w:szCs w:val="10"/>
                <w:b w:val="1"/>
                <w:bCs w:val="1"/>
                <w:color w:val="auto"/>
              </w:rPr>
              <w:t>Paid-In</w:t>
            </w:r>
          </w:p>
        </w:tc>
        <w:tc>
          <w:tcPr>
            <w:tcW w:w="1300" w:type="dxa"/>
            <w:vAlign w:val="bottom"/>
            <w:gridSpan w:val="8"/>
            <w:vMerge w:val="restart"/>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w w:val="96"/>
              </w:rPr>
              <w:t>Comprehensive  Accumulated</w:t>
            </w:r>
          </w:p>
        </w:tc>
        <w:tc>
          <w:tcPr>
            <w:tcW w:w="580" w:type="dxa"/>
            <w:vAlign w:val="bottom"/>
            <w:gridSpan w:val="3"/>
            <w:vMerge w:val="restart"/>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5"/>
              </w:rPr>
              <w:t>Stockholders’</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1300" w:type="dxa"/>
            <w:vAlign w:val="bottom"/>
            <w:gridSpan w:val="8"/>
            <w:vMerge w:val="continue"/>
          </w:tcPr>
          <w:p>
            <w:pPr>
              <w:spacing w:after="0" w:line="20" w:lineRule="exact"/>
              <w:rPr>
                <w:sz w:val="1"/>
                <w:szCs w:val="1"/>
                <w:color w:val="auto"/>
              </w:rPr>
            </w:pPr>
          </w:p>
        </w:tc>
        <w:tc>
          <w:tcPr>
            <w:tcW w:w="5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2"/>
              </w:rPr>
              <w:t>(in thousands, except share amounts)</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200" w:type="dxa"/>
            <w:vAlign w:val="bottom"/>
          </w:tcPr>
          <w:p>
            <w:pPr>
              <w:spacing w:after="0"/>
              <w:rPr>
                <w:sz w:val="11"/>
                <w:szCs w:val="11"/>
                <w:color w:val="auto"/>
              </w:rPr>
            </w:pPr>
          </w:p>
        </w:tc>
        <w:tc>
          <w:tcPr>
            <w:tcW w:w="460" w:type="dxa"/>
            <w:vAlign w:val="bottom"/>
            <w:gridSpan w:val="2"/>
          </w:tcPr>
          <w:p>
            <w:pPr>
              <w:spacing w:after="0" w:line="136"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8"/>
                <w:szCs w:val="8"/>
                <w:b w:val="1"/>
                <w:bCs w:val="1"/>
                <w:color w:val="auto"/>
              </w:rPr>
              <w:t xml:space="preserve"> Amount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3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5"/>
                <w:szCs w:val="15"/>
                <w:b w:val="1"/>
                <w:bCs w:val="1"/>
                <w:color w:val="auto"/>
                <w:w w:val="99"/>
                <w:vertAlign w:val="subscript"/>
              </w:rPr>
              <w:t>​​</w:t>
            </w:r>
            <w:r>
              <w:rPr>
                <w:rFonts w:ascii="Times New Roman" w:cs="Times New Roman" w:eastAsia="Times New Roman" w:hAnsi="Times New Roman"/>
                <w:sz w:val="8"/>
                <w:szCs w:val="8"/>
                <w:b w:val="1"/>
                <w:bCs w:val="1"/>
                <w:color w:val="auto"/>
                <w:w w:val="99"/>
              </w:rPr>
              <w:t xml:space="preserve">Amount </w:t>
            </w:r>
            <w:r>
              <w:rPr>
                <w:rFonts w:ascii="Times New Roman" w:cs="Times New Roman" w:eastAsia="Times New Roman" w:hAnsi="Times New Roman"/>
                <w:sz w:val="15"/>
                <w:szCs w:val="15"/>
                <w:b w:val="1"/>
                <w:bCs w:val="1"/>
                <w:color w:val="auto"/>
                <w:w w:val="99"/>
                <w:vertAlign w:val="subscript"/>
              </w:rPr>
              <w:t>​​</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spacing w:after="0"/>
              <w:rPr>
                <w:sz w:val="11"/>
                <w:szCs w:val="11"/>
                <w:color w:val="auto"/>
              </w:rPr>
            </w:pPr>
          </w:p>
        </w:tc>
        <w:tc>
          <w:tcPr>
            <w:tcW w:w="460" w:type="dxa"/>
            <w:vAlign w:val="bottom"/>
            <w:gridSpan w:val="4"/>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2"/>
              </w:rPr>
              <w:t>Loss</w:t>
            </w:r>
          </w:p>
        </w:tc>
        <w:tc>
          <w:tcPr>
            <w:tcW w:w="1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1"/>
              </w:rPr>
              <w:t>Deficit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7"/>
        </w:trPr>
        <w:tc>
          <w:tcPr>
            <w:tcW w:w="148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560" w:type="dxa"/>
            <w:vAlign w:val="bottom"/>
            <w:tcBorders>
              <w:right w:val="single" w:sz="8" w:color="auto"/>
            </w:tcBorders>
            <w:gridSpan w:val="2"/>
            <w:shd w:val="clear" w:color="auto" w:fill="000000"/>
          </w:tcPr>
          <w:p>
            <w:pPr>
              <w:spacing w:after="0"/>
              <w:rPr>
                <w:sz w:val="2"/>
                <w:szCs w:val="2"/>
                <w:color w:val="auto"/>
              </w:rPr>
            </w:pPr>
          </w:p>
        </w:tc>
        <w:tc>
          <w:tcPr>
            <w:tcW w:w="460" w:type="dxa"/>
            <w:vAlign w:val="bottom"/>
            <w:tcBorders>
              <w:right w:val="single" w:sz="8" w:color="auto"/>
            </w:tcBorders>
            <w:gridSpan w:val="2"/>
            <w:shd w:val="clear" w:color="auto" w:fill="000000"/>
          </w:tcPr>
          <w:p>
            <w:pPr>
              <w:spacing w:after="0"/>
              <w:rPr>
                <w:sz w:val="2"/>
                <w:szCs w:val="2"/>
                <w:color w:val="auto"/>
              </w:rPr>
            </w:pPr>
          </w:p>
        </w:tc>
        <w:tc>
          <w:tcPr>
            <w:tcW w:w="80" w:type="dxa"/>
            <w:vAlign w:val="bottom"/>
            <w:tcBorders>
              <w:left w:val="single" w:sz="8" w:color="CCEEFF"/>
              <w:right w:val="single" w:sz="8" w:color="auto"/>
            </w:tcBorders>
            <w:shd w:val="clear" w:color="auto" w:fill="CCEEFF"/>
          </w:tcPr>
          <w:p>
            <w:pPr>
              <w:spacing w:after="0"/>
              <w:rPr>
                <w:sz w:val="2"/>
                <w:szCs w:val="2"/>
                <w:color w:val="auto"/>
              </w:rPr>
            </w:pPr>
          </w:p>
        </w:tc>
        <w:tc>
          <w:tcPr>
            <w:tcW w:w="620" w:type="dxa"/>
            <w:vAlign w:val="bottom"/>
            <w:tcBorders>
              <w:left w:val="single" w:sz="8" w:color="auto"/>
              <w:right w:val="single" w:sz="8" w:color="auto"/>
            </w:tcBorders>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540" w:type="dxa"/>
            <w:vAlign w:val="bottom"/>
            <w:tcBorders>
              <w:left w:val="single" w:sz="8" w:color="CCEEFF"/>
              <w:right w:val="single" w:sz="8" w:color="auto"/>
            </w:tcBorders>
            <w:gridSpan w:val="3"/>
            <w:shd w:val="clear" w:color="auto" w:fill="000000"/>
          </w:tcPr>
          <w:p>
            <w:pPr>
              <w:spacing w:after="0"/>
              <w:rPr>
                <w:sz w:val="2"/>
                <w:szCs w:val="2"/>
                <w:color w:val="auto"/>
              </w:rPr>
            </w:pPr>
          </w:p>
        </w:tc>
        <w:tc>
          <w:tcPr>
            <w:tcW w:w="40" w:type="dxa"/>
            <w:vAlign w:val="bottom"/>
            <w:tcBorders>
              <w:left w:val="single" w:sz="8" w:color="CCEEFF"/>
            </w:tcBorders>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80" w:type="dxa"/>
            <w:vAlign w:val="bottom"/>
            <w:gridSpan w:val="2"/>
            <w:shd w:val="clear" w:color="auto" w:fill="000000"/>
          </w:tcPr>
          <w:p>
            <w:pPr>
              <w:spacing w:after="0"/>
              <w:rPr>
                <w:sz w:val="2"/>
                <w:szCs w:val="2"/>
                <w:color w:val="auto"/>
              </w:rPr>
            </w:pPr>
          </w:p>
        </w:tc>
        <w:tc>
          <w:tcPr>
            <w:tcW w:w="280" w:type="dxa"/>
            <w:vAlign w:val="bottom"/>
            <w:tcBorders>
              <w:right w:val="single" w:sz="8" w:color="auto"/>
            </w:tcBorders>
            <w:gridSpan w:val="2"/>
            <w:shd w:val="clear" w:color="auto" w:fill="000000"/>
          </w:tcPr>
          <w:p>
            <w:pPr>
              <w:spacing w:after="0"/>
              <w:rPr>
                <w:sz w:val="2"/>
                <w:szCs w:val="2"/>
                <w:color w:val="auto"/>
              </w:rPr>
            </w:pPr>
          </w:p>
        </w:tc>
        <w:tc>
          <w:tcPr>
            <w:tcW w:w="620" w:type="dxa"/>
            <w:vAlign w:val="bottom"/>
            <w:tcBorders>
              <w:left w:val="single" w:sz="8" w:color="CCEEFF"/>
              <w:right w:val="single" w:sz="8" w:color="auto"/>
            </w:tcBorders>
            <w:gridSpan w:val="2"/>
            <w:shd w:val="clear" w:color="auto" w:fill="000000"/>
          </w:tcPr>
          <w:p>
            <w:pPr>
              <w:spacing w:after="0"/>
              <w:rPr>
                <w:sz w:val="2"/>
                <w:szCs w:val="2"/>
                <w:color w:val="auto"/>
              </w:rPr>
            </w:pPr>
          </w:p>
        </w:tc>
        <w:tc>
          <w:tcPr>
            <w:tcW w:w="580" w:type="dxa"/>
            <w:vAlign w:val="bottom"/>
            <w:tcBorders>
              <w:left w:val="single" w:sz="8" w:color="CCEEFF"/>
            </w:tcBorders>
            <w:gridSpan w:val="3"/>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 2022</w:t>
            </w:r>
          </w:p>
        </w:tc>
        <w:tc>
          <w:tcPr>
            <w:tcW w:w="120" w:type="dxa"/>
            <w:vAlign w:val="bottom"/>
            <w:tcBorders>
              <w:right w:val="single" w:sz="8" w:color="CCEEFF"/>
            </w:tcBorders>
            <w:shd w:val="clear" w:color="auto" w:fill="CCEEFF"/>
          </w:tcPr>
          <w:p>
            <w:pPr>
              <w:spacing w:after="0"/>
              <w:rPr>
                <w:sz w:val="15"/>
                <w:szCs w:val="15"/>
                <w:color w:val="auto"/>
              </w:rPr>
            </w:pPr>
          </w:p>
        </w:tc>
        <w:tc>
          <w:tcPr>
            <w:tcW w:w="1140" w:type="dxa"/>
            <w:vAlign w:val="bottom"/>
            <w:tcBorders>
              <w:righ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​​​67,960,088​​​​$285,473</w:t>
            </w:r>
          </w:p>
        </w:tc>
        <w:tc>
          <w:tcPr>
            <w:tcW w:w="960" w:type="dxa"/>
            <w:vAlign w:val="bottom"/>
            <w:tcBorders>
              <w:left w:val="single" w:sz="8" w:color="CCEEFF"/>
              <w:right w:val="single" w:sz="8" w:color="CCEEFF"/>
            </w:tcBorders>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b w:val="1"/>
                <w:bCs w:val="1"/>
                <w:color w:val="auto"/>
              </w:rPr>
              <w:t>​​​2,642,334​​​ ​$ 1</w:t>
            </w:r>
          </w:p>
        </w:tc>
        <w:tc>
          <w:tcPr>
            <w:tcW w:w="58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​​​​$14,209 ​​​</w:t>
            </w:r>
          </w:p>
        </w:tc>
        <w:tc>
          <w:tcPr>
            <w:tcW w:w="180" w:type="dxa"/>
            <w:vAlign w:val="bottom"/>
            <w:tcBorders>
              <w:right w:val="single" w:sz="8" w:color="CCEEFF"/>
            </w:tcBorders>
            <w:shd w:val="clear" w:color="auto" w:fill="CCEEFF"/>
          </w:tcPr>
          <w:p>
            <w:pPr>
              <w:spacing w:after="0"/>
              <w:rPr>
                <w:sz w:val="15"/>
                <w:szCs w:val="15"/>
                <w:color w:val="auto"/>
              </w:rPr>
            </w:pPr>
          </w:p>
        </w:tc>
        <w:tc>
          <w:tcPr>
            <w:tcW w:w="460" w:type="dxa"/>
            <w:vAlign w:val="bottom"/>
            <w:tcBorders>
              <w:righ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85"/>
              </w:rPr>
              <w:t>​$ (127)</w:t>
            </w:r>
          </w:p>
        </w:tc>
        <w:tc>
          <w:tcPr>
            <w:tcW w:w="1200" w:type="dxa"/>
            <w:vAlign w:val="bottom"/>
            <w:tcBorders>
              <w:lef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​​​​$(209,325)​​​​$(195,242)</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21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Vesting of early exercised stock options ​​​</w:t>
            </w:r>
          </w:p>
        </w:tc>
        <w:tc>
          <w:tcPr>
            <w:tcW w:w="360" w:type="dxa"/>
            <w:vAlign w:val="bottom"/>
          </w:tcPr>
          <w:p>
            <w:pPr>
              <w:spacing w:after="0"/>
              <w:rPr>
                <w:sz w:val="15"/>
                <w:szCs w:val="15"/>
                <w:color w:val="auto"/>
              </w:rPr>
            </w:pPr>
          </w:p>
        </w:tc>
        <w:tc>
          <w:tcPr>
            <w:tcW w:w="480" w:type="dxa"/>
            <w:vAlign w:val="bottom"/>
            <w:gridSpan w:val="2"/>
          </w:tcPr>
          <w:p>
            <w:pPr>
              <w:jc w:val="right"/>
              <w:ind w:right="132"/>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694 ​​​</w:t>
            </w:r>
          </w:p>
        </w:tc>
        <w:tc>
          <w:tcPr>
            <w:tcW w:w="18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694</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2"/>
        </w:trPr>
        <w:tc>
          <w:tcPr>
            <w:tcW w:w="216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Vesting of restricted shares of common</w:t>
            </w:r>
          </w:p>
        </w:tc>
        <w:tc>
          <w:tcPr>
            <w:tcW w:w="3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620" w:type="dxa"/>
            <w:vAlign w:val="bottom"/>
            <w:tcBorders>
              <w:left w:val="single" w:sz="8" w:color="CCEEFF"/>
              <w:right w:val="single" w:sz="8" w:color="CCEEFF"/>
            </w:tcBorders>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40" w:type="dxa"/>
            <w:vAlign w:val="bottom"/>
            <w:tcBorders>
              <w:lef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w:t>
            </w: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3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2"/>
                <w:szCs w:val="12"/>
                <w:color w:val="auto"/>
              </w:rPr>
              <w:t>—​​​​ ​</w:t>
            </w: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620" w:type="dxa"/>
            <w:vAlign w:val="bottom"/>
            <w:tcBorders>
              <w:left w:val="single" w:sz="8" w:color="CCEEFF"/>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 ​​​</w:t>
            </w: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2"/>
        </w:trPr>
        <w:tc>
          <w:tcPr>
            <w:tcW w:w="21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Repurchase of unvested common stock</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shares issued upon early exercised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stock options</w:t>
            </w:r>
          </w:p>
        </w:tc>
        <w:tc>
          <w:tcPr>
            <w:tcW w:w="12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(13,369)​​​</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2"/>
                <w:szCs w:val="12"/>
                <w:color w:val="auto"/>
              </w:rPr>
              <w:t>—​​​​ ​</w:t>
            </w: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left w:val="single" w:sz="8" w:color="CCEEFF"/>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1,831 ​​​</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1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comprehensive income, net</w:t>
            </w:r>
          </w:p>
        </w:tc>
        <w:tc>
          <w:tcPr>
            <w:tcW w:w="12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5"/>
                <w:szCs w:val="15"/>
                <w:color w:val="auto"/>
              </w:rPr>
            </w:pPr>
          </w:p>
        </w:tc>
        <w:tc>
          <w:tcPr>
            <w:tcW w:w="480" w:type="dxa"/>
            <w:vAlign w:val="bottom"/>
            <w:gridSpan w:val="2"/>
          </w:tcPr>
          <w:p>
            <w:pPr>
              <w:jc w:val="right"/>
              <w:ind w:right="132"/>
              <w:spacing w:after="0"/>
              <w:rPr>
                <w:sz w:val="20"/>
                <w:szCs w:val="20"/>
                <w:color w:val="auto"/>
              </w:rPr>
            </w:pPr>
            <w:r>
              <w:rPr>
                <w:rFonts w:ascii="Times New Roman" w:cs="Times New Roman" w:eastAsia="Times New Roman" w:hAnsi="Times New Roman"/>
                <w:sz w:val="12"/>
                <w:szCs w:val="12"/>
                <w:color w:val="auto"/>
              </w:rPr>
              <w:t>—​​​​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5"/>
                <w:szCs w:val="15"/>
                <w:color w:val="auto"/>
              </w:rPr>
            </w:pPr>
          </w:p>
        </w:tc>
        <w:tc>
          <w:tcPr>
            <w:tcW w:w="46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 ​ 100</w:t>
            </w: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3"/>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3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32"/>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260" w:type="dxa"/>
            <w:vAlign w:val="bottom"/>
            <w:tcBorders>
              <w:right w:val="single" w:sz="8" w:color="CCEEFF"/>
            </w:tcBorders>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20" w:type="dxa"/>
            <w:vAlign w:val="bottom"/>
            <w:tcBorders>
              <w:left w:val="single" w:sz="8" w:color="CCEEFF"/>
              <w:right w:val="single" w:sz="8" w:color="CCEEFF"/>
            </w:tcBorders>
            <w:shd w:val="clear" w:color="auto" w:fill="CCEEFF"/>
          </w:tcPr>
          <w:p>
            <w:pPr>
              <w:jc w:val="right"/>
              <w:ind w:right="2"/>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260" w:type="dxa"/>
            <w:vAlign w:val="bottom"/>
            <w:tcBorders>
              <w:right w:val="single" w:sz="8" w:color="CCEEFF"/>
            </w:tcBorders>
            <w:shd w:val="clear" w:color="auto" w:fill="CCEEFF"/>
          </w:tcPr>
          <w:p>
            <w:pPr>
              <w:jc w:val="right"/>
              <w:ind w:right="23"/>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220" w:type="dxa"/>
            <w:vAlign w:val="bottom"/>
            <w:tcBorders>
              <w:left w:val="single" w:sz="8" w:color="CCEEFF"/>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60" w:type="dxa"/>
            <w:vAlign w:val="bottom"/>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Borders>
              <w:left w:val="single" w:sz="8" w:color="CCEEFF"/>
            </w:tcBorders>
            <w:gridSpan w:val="5"/>
            <w:shd w:val="clear" w:color="auto" w:fill="CCEEFF"/>
          </w:tcPr>
          <w:p>
            <w:pP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(36,027)</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(36,027)</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14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left w:val="single" w:sz="8" w:color="CCEEFF"/>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Balance at March 31, 2023</w:t>
            </w:r>
          </w:p>
        </w:tc>
        <w:tc>
          <w:tcPr>
            <w:tcW w:w="120" w:type="dxa"/>
            <w:vAlign w:val="bottom"/>
          </w:tcPr>
          <w:p>
            <w:pPr>
              <w:spacing w:after="0"/>
              <w:rPr>
                <w:sz w:val="14"/>
                <w:szCs w:val="14"/>
                <w:color w:val="auto"/>
              </w:rPr>
            </w:pPr>
          </w:p>
        </w:tc>
        <w:tc>
          <w:tcPr>
            <w:tcW w:w="1840" w:type="dxa"/>
            <w:vAlign w:val="bottom"/>
            <w:gridSpan w:val="7"/>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8"/>
                <w:szCs w:val="18"/>
                <w:b w:val="1"/>
                <w:bCs w:val="1"/>
                <w:u w:val="single" w:color="auto"/>
                <w:color w:val="auto"/>
                <w:vertAlign w:val="subscript"/>
              </w:rPr>
              <w:t>​​</w:t>
            </w:r>
            <w:r>
              <w:rPr>
                <w:rFonts w:ascii="Times New Roman" w:cs="Times New Roman" w:eastAsia="Times New Roman" w:hAnsi="Times New Roman"/>
                <w:sz w:val="10"/>
                <w:szCs w:val="10"/>
                <w:b w:val="1"/>
                <w:bCs w:val="1"/>
                <w:color w:val="auto"/>
              </w:rPr>
              <w:t>​67,960,088</w:t>
            </w: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285,473</w:t>
            </w: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​2,628,965</w:t>
            </w:r>
            <w:r>
              <w:rPr>
                <w:rFonts w:ascii="Times New Roman" w:cs="Times New Roman" w:eastAsia="Times New Roman" w:hAnsi="Times New Roman"/>
                <w:sz w:val="18"/>
                <w:szCs w:val="18"/>
                <w:b w:val="1"/>
                <w:bCs w:val="1"/>
                <w:color w:val="auto"/>
                <w:vertAlign w:val="subscript"/>
              </w:rPr>
              <w:t>​​​</w:t>
            </w:r>
          </w:p>
        </w:tc>
        <w:tc>
          <w:tcPr>
            <w:tcW w:w="260" w:type="dxa"/>
            <w:vAlign w:val="bottom"/>
          </w:tcPr>
          <w:p>
            <w:pPr>
              <w:jc w:val="right"/>
              <w:ind w:right="23"/>
              <w:spacing w:after="0" w:line="164"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$ 1</w:t>
            </w:r>
          </w:p>
        </w:tc>
        <w:tc>
          <w:tcPr>
            <w:tcW w:w="580" w:type="dxa"/>
            <w:vAlign w:val="bottom"/>
            <w:gridSpan w:val="4"/>
          </w:tcPr>
          <w:p>
            <w:pPr>
              <w:jc w:val="right"/>
              <w:spacing w:after="0" w:line="164"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 xml:space="preserve">16,739 </w:t>
            </w:r>
            <w:r>
              <w:rPr>
                <w:rFonts w:ascii="Times New Roman" w:cs="Times New Roman" w:eastAsia="Times New Roman" w:hAnsi="Times New Roman"/>
                <w:sz w:val="18"/>
                <w:szCs w:val="18"/>
                <w:b w:val="1"/>
                <w:bCs w:val="1"/>
                <w:color w:val="auto"/>
                <w:vertAlign w:val="subscript"/>
              </w:rPr>
              <w:t>​​​</w:t>
            </w:r>
          </w:p>
        </w:tc>
        <w:tc>
          <w:tcPr>
            <w:tcW w:w="180" w:type="dxa"/>
            <w:vAlign w:val="bottom"/>
          </w:tcPr>
          <w:p>
            <w:pPr>
              <w:spacing w:after="0"/>
              <w:rPr>
                <w:sz w:val="14"/>
                <w:szCs w:val="14"/>
                <w:color w:val="auto"/>
              </w:rPr>
            </w:pPr>
          </w:p>
        </w:tc>
        <w:tc>
          <w:tcPr>
            <w:tcW w:w="100" w:type="dxa"/>
            <w:vAlign w:val="bottom"/>
          </w:tcPr>
          <w:p>
            <w:pPr>
              <w:spacing w:after="0" w:line="164"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8"/>
                <w:szCs w:val="18"/>
                <w:b w:val="1"/>
                <w:bCs w:val="1"/>
                <w:color w:val="auto"/>
                <w:vertAlign w:val="superscript"/>
              </w:rPr>
              <w:t>$</w:t>
            </w: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(27)</w:t>
            </w:r>
          </w:p>
        </w:tc>
        <w:tc>
          <w:tcPr>
            <w:tcW w:w="1280" w:type="dxa"/>
            <w:vAlign w:val="bottom"/>
            <w:gridSpan w:val="6"/>
          </w:tcPr>
          <w:p>
            <w:pPr>
              <w:jc w:val="right"/>
              <w:spacing w:after="0" w:line="164"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(245,352)</w:t>
            </w: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(228,639)</w:t>
            </w:r>
            <w:r>
              <w:rPr>
                <w:rFonts w:ascii="Times New Roman" w:cs="Times New Roman" w:eastAsia="Times New Roman" w:hAnsi="Times New Roman"/>
                <w:sz w:val="18"/>
                <w:szCs w:val="18"/>
                <w:b w:val="1"/>
                <w:bCs w:val="1"/>
                <w:color w:val="auto"/>
                <w:vertAlign w:val="subscript"/>
              </w:rPr>
              <w:t>​</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5"/>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Redeemable Convertible</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gridSpan w:val="5"/>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1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gridSpan w:val="3"/>
            <w:vMerge w:val="restart"/>
          </w:tcPr>
          <w:p>
            <w:pPr>
              <w:spacing w:after="0" w:line="136"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8"/>
                <w:szCs w:val="8"/>
                <w:b w:val="1"/>
                <w:bCs w:val="1"/>
                <w:color w:val="auto"/>
              </w:rPr>
              <w:t xml:space="preserve"> Additional</w:t>
            </w: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85"/>
              </w:rPr>
              <w:t>Other</w:t>
            </w: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vMerge w:val="restart"/>
          </w:tcPr>
          <w:p>
            <w:pPr>
              <w:jc w:val="center"/>
              <w:ind w:right="62"/>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9"/>
        </w:trPr>
        <w:tc>
          <w:tcPr>
            <w:tcW w:w="1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gridSpan w:val="2"/>
          </w:tcPr>
          <w:p>
            <w:pPr>
              <w:ind w:left="60"/>
              <w:spacing w:after="0" w:line="99"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gridSpan w:val="3"/>
          </w:tcPr>
          <w:p>
            <w:pPr>
              <w:jc w:val="right"/>
              <w:ind w:right="52"/>
              <w:spacing w:after="0" w:line="99" w:lineRule="exact"/>
              <w:rPr>
                <w:sz w:val="20"/>
                <w:szCs w:val="20"/>
                <w:color w:val="auto"/>
              </w:rPr>
            </w:pPr>
            <w:r>
              <w:rPr>
                <w:rFonts w:ascii="Times New Roman" w:cs="Times New Roman" w:eastAsia="Times New Roman" w:hAnsi="Times New Roman"/>
                <w:sz w:val="10"/>
                <w:szCs w:val="10"/>
                <w:b w:val="1"/>
                <w:bCs w:val="1"/>
                <w:color w:val="auto"/>
              </w:rPr>
              <w:t>Preferred Stock</w:t>
            </w:r>
          </w:p>
        </w:tc>
        <w:tc>
          <w:tcPr>
            <w:tcW w:w="180" w:type="dxa"/>
            <w:vAlign w:val="bottom"/>
          </w:tcPr>
          <w:p>
            <w:pPr>
              <w:spacing w:after="0"/>
              <w:rPr>
                <w:sz w:val="8"/>
                <w:szCs w:val="8"/>
                <w:color w:val="auto"/>
              </w:rPr>
            </w:pPr>
          </w:p>
        </w:tc>
        <w:tc>
          <w:tcPr>
            <w:tcW w:w="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w:t>
            </w:r>
          </w:p>
        </w:tc>
        <w:tc>
          <w:tcPr>
            <w:tcW w:w="880" w:type="dxa"/>
            <w:vAlign w:val="bottom"/>
            <w:gridSpan w:val="2"/>
          </w:tcPr>
          <w:p>
            <w:pPr>
              <w:ind w:left="100"/>
              <w:spacing w:after="0" w:line="99" w:lineRule="exact"/>
              <w:rPr>
                <w:sz w:val="20"/>
                <w:szCs w:val="20"/>
                <w:color w:val="auto"/>
              </w:rPr>
            </w:pPr>
            <w:r>
              <w:rPr>
                <w:rFonts w:ascii="Times New Roman" w:cs="Times New Roman" w:eastAsia="Times New Roman" w:hAnsi="Times New Roman"/>
                <w:sz w:val="10"/>
                <w:szCs w:val="10"/>
                <w:b w:val="1"/>
                <w:bCs w:val="1"/>
                <w:color w:val="auto"/>
              </w:rPr>
              <w:t>Common Stock</w:t>
            </w:r>
          </w:p>
        </w:tc>
        <w:tc>
          <w:tcPr>
            <w:tcW w:w="5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1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gridSpan w:val="2"/>
          </w:tcPr>
          <w:p>
            <w:pPr>
              <w:ind w:left="20"/>
              <w:spacing w:after="0" w:line="46" w:lineRule="exact"/>
              <w:rPr>
                <w:sz w:val="20"/>
                <w:szCs w:val="20"/>
                <w:color w:val="auto"/>
              </w:rPr>
            </w:pPr>
            <w:r>
              <w:rPr>
                <w:rFonts w:ascii="Times New Roman" w:cs="Times New Roman" w:eastAsia="Times New Roman" w:hAnsi="Times New Roman"/>
                <w:sz w:val="5"/>
                <w:szCs w:val="5"/>
                <w:b w:val="1"/>
                <w:bCs w:val="1"/>
                <w:color w:val="auto"/>
              </w:rPr>
              <w:t>Paid-In</w:t>
            </w:r>
          </w:p>
        </w:tc>
        <w:tc>
          <w:tcPr>
            <w:tcW w:w="680" w:type="dxa"/>
            <w:vAlign w:val="bottom"/>
            <w:gridSpan w:val="6"/>
          </w:tcPr>
          <w:p>
            <w:pPr>
              <w:jc w:val="center"/>
              <w:ind w:right="60"/>
              <w:spacing w:after="0" w:line="46" w:lineRule="exact"/>
              <w:rPr>
                <w:sz w:val="20"/>
                <w:szCs w:val="20"/>
                <w:color w:val="auto"/>
              </w:rPr>
            </w:pPr>
            <w:r>
              <w:rPr>
                <w:rFonts w:ascii="Times New Roman" w:cs="Times New Roman" w:eastAsia="Times New Roman" w:hAnsi="Times New Roman"/>
                <w:sz w:val="5"/>
                <w:szCs w:val="5"/>
                <w:b w:val="1"/>
                <w:bCs w:val="1"/>
                <w:color w:val="auto"/>
              </w:rPr>
              <w:t>Comprehensive</w:t>
            </w:r>
          </w:p>
        </w:tc>
        <w:tc>
          <w:tcPr>
            <w:tcW w:w="620" w:type="dxa"/>
            <w:vAlign w:val="bottom"/>
            <w:gridSpan w:val="2"/>
          </w:tcPr>
          <w:p>
            <w:pPr>
              <w:jc w:val="center"/>
              <w:spacing w:after="0" w:line="46" w:lineRule="exact"/>
              <w:rPr>
                <w:sz w:val="20"/>
                <w:szCs w:val="20"/>
                <w:color w:val="auto"/>
              </w:rPr>
            </w:pPr>
            <w:r>
              <w:rPr>
                <w:rFonts w:ascii="Times New Roman" w:cs="Times New Roman" w:eastAsia="Times New Roman" w:hAnsi="Times New Roman"/>
                <w:sz w:val="5"/>
                <w:szCs w:val="5"/>
                <w:b w:val="1"/>
                <w:bCs w:val="1"/>
                <w:color w:val="auto"/>
              </w:rPr>
              <w:t>Accumulated</w:t>
            </w:r>
          </w:p>
        </w:tc>
        <w:tc>
          <w:tcPr>
            <w:tcW w:w="580" w:type="dxa"/>
            <w:vAlign w:val="bottom"/>
            <w:gridSpan w:val="3"/>
          </w:tcPr>
          <w:p>
            <w:pPr>
              <w:jc w:val="center"/>
              <w:spacing w:after="0" w:line="46" w:lineRule="exact"/>
              <w:rPr>
                <w:sz w:val="20"/>
                <w:szCs w:val="20"/>
                <w:color w:val="auto"/>
              </w:rPr>
            </w:pPr>
            <w:r>
              <w:rPr>
                <w:rFonts w:ascii="Times New Roman" w:cs="Times New Roman" w:eastAsia="Times New Roman" w:hAnsi="Times New Roman"/>
                <w:sz w:val="5"/>
                <w:szCs w:val="5"/>
                <w:b w:val="1"/>
                <w:bCs w:val="1"/>
                <w:color w:val="auto"/>
              </w:rPr>
              <w:t>Stockholders’</w:t>
            </w: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1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2"/>
              </w:rPr>
              <w:t>(in thousands, except share amounts)</w:t>
            </w:r>
          </w:p>
        </w:tc>
        <w:tc>
          <w:tcPr>
            <w:tcW w:w="440" w:type="dxa"/>
            <w:vAlign w:val="bottom"/>
          </w:tcPr>
          <w:p>
            <w:pPr>
              <w:spacing w:after="0"/>
              <w:rPr>
                <w:sz w:val="12"/>
                <w:szCs w:val="12"/>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0" w:type="dxa"/>
            <w:vAlign w:val="bottom"/>
          </w:tcPr>
          <w:p>
            <w:pPr>
              <w:spacing w:after="0"/>
              <w:rPr>
                <w:sz w:val="12"/>
                <w:szCs w:val="12"/>
                <w:color w:val="auto"/>
              </w:rPr>
            </w:pPr>
          </w:p>
        </w:tc>
        <w:tc>
          <w:tcPr>
            <w:tcW w:w="460" w:type="dxa"/>
            <w:vAlign w:val="bottom"/>
            <w:gridSpan w:val="2"/>
          </w:tcPr>
          <w:p>
            <w:pPr>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 Amount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34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6"/>
                <w:szCs w:val="16"/>
                <w:b w:val="1"/>
                <w:bCs w:val="1"/>
                <w:color w:val="auto"/>
                <w:w w:val="82"/>
                <w:vertAlign w:val="subscript"/>
              </w:rPr>
              <w:t>​​</w:t>
            </w:r>
            <w:r>
              <w:rPr>
                <w:rFonts w:ascii="Times New Roman" w:cs="Times New Roman" w:eastAsia="Times New Roman" w:hAnsi="Times New Roman"/>
                <w:sz w:val="9"/>
                <w:szCs w:val="9"/>
                <w:b w:val="1"/>
                <w:bCs w:val="1"/>
                <w:color w:val="auto"/>
                <w:w w:val="82"/>
              </w:rPr>
              <w:t xml:space="preserve">Amount </w:t>
            </w:r>
            <w:r>
              <w:rPr>
                <w:rFonts w:ascii="Times New Roman" w:cs="Times New Roman" w:eastAsia="Times New Roman" w:hAnsi="Times New Roman"/>
                <w:sz w:val="16"/>
                <w:szCs w:val="16"/>
                <w:b w:val="1"/>
                <w:bCs w:val="1"/>
                <w:color w:val="auto"/>
                <w:w w:val="82"/>
                <w:vertAlign w:val="subscript"/>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680" w:type="dxa"/>
            <w:vAlign w:val="bottom"/>
            <w:gridSpan w:val="6"/>
          </w:tcPr>
          <w:p>
            <w:pPr>
              <w:jc w:val="right"/>
              <w:ind w:right="8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 Income (Loss)</w:t>
            </w:r>
          </w:p>
        </w:tc>
        <w:tc>
          <w:tcPr>
            <w:tcW w:w="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Pr>
          <w:p>
            <w:pPr>
              <w:jc w:val="center"/>
              <w:ind w:right="121"/>
              <w:spacing w:after="0"/>
              <w:rPr>
                <w:sz w:val="20"/>
                <w:szCs w:val="20"/>
                <w:color w:val="auto"/>
              </w:rPr>
            </w:pPr>
            <w:r>
              <w:rPr>
                <w:rFonts w:ascii="Times New Roman" w:cs="Times New Roman" w:eastAsia="Times New Roman" w:hAnsi="Times New Roman"/>
                <w:sz w:val="10"/>
                <w:szCs w:val="10"/>
                <w:b w:val="1"/>
                <w:bCs w:val="1"/>
                <w:color w:val="auto"/>
                <w:w w:val="91"/>
              </w:rPr>
              <w:t>Deficit</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1"/>
              </w:rPr>
              <w:t>Deficit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7"/>
        </w:trPr>
        <w:tc>
          <w:tcPr>
            <w:tcW w:w="148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680" w:type="dxa"/>
            <w:vAlign w:val="bottom"/>
            <w:tcBorders>
              <w:right w:val="single" w:sz="8" w:color="auto"/>
            </w:tcBorders>
            <w:gridSpan w:val="3"/>
            <w:shd w:val="clear" w:color="auto" w:fill="000000"/>
          </w:tcPr>
          <w:p>
            <w:pPr>
              <w:spacing w:after="0"/>
              <w:rPr>
                <w:sz w:val="2"/>
                <w:szCs w:val="2"/>
                <w:color w:val="auto"/>
              </w:rPr>
            </w:pPr>
          </w:p>
        </w:tc>
        <w:tc>
          <w:tcPr>
            <w:tcW w:w="460" w:type="dxa"/>
            <w:vAlign w:val="bottom"/>
            <w:tcBorders>
              <w:right w:val="single" w:sz="8" w:color="CCEEFF"/>
            </w:tcBorders>
            <w:gridSpan w:val="2"/>
            <w:shd w:val="clear" w:color="auto" w:fill="000000"/>
          </w:tcPr>
          <w:p>
            <w:pPr>
              <w:spacing w:after="0"/>
              <w:rPr>
                <w:sz w:val="2"/>
                <w:szCs w:val="2"/>
                <w:color w:val="auto"/>
              </w:rPr>
            </w:pPr>
          </w:p>
        </w:tc>
        <w:tc>
          <w:tcPr>
            <w:tcW w:w="700" w:type="dxa"/>
            <w:vAlign w:val="bottom"/>
            <w:tcBorders>
              <w:left w:val="single" w:sz="8" w:color="CCEEFF"/>
              <w:right w:val="single" w:sz="8" w:color="auto"/>
            </w:tcBorders>
            <w:gridSpan w:val="2"/>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540" w:type="dxa"/>
            <w:vAlign w:val="bottom"/>
            <w:tcBorders>
              <w:left w:val="single" w:sz="8" w:color="auto"/>
              <w:right w:val="single" w:sz="8" w:color="auto"/>
            </w:tcBorders>
            <w:gridSpan w:val="3"/>
            <w:shd w:val="clear" w:color="auto" w:fill="000000"/>
          </w:tcPr>
          <w:p>
            <w:pPr>
              <w:spacing w:after="0"/>
              <w:rPr>
                <w:sz w:val="2"/>
                <w:szCs w:val="2"/>
                <w:color w:val="auto"/>
              </w:rPr>
            </w:pPr>
          </w:p>
        </w:tc>
        <w:tc>
          <w:tcPr>
            <w:tcW w:w="40" w:type="dxa"/>
            <w:vAlign w:val="bottom"/>
            <w:tcBorders>
              <w:left w:val="single" w:sz="8" w:color="auto"/>
            </w:tcBorders>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gridSpan w:val="2"/>
            <w:shd w:val="clear" w:color="auto" w:fill="000000"/>
          </w:tcPr>
          <w:p>
            <w:pPr>
              <w:spacing w:after="0"/>
              <w:rPr>
                <w:sz w:val="2"/>
                <w:szCs w:val="2"/>
                <w:color w:val="auto"/>
              </w:rPr>
            </w:pPr>
          </w:p>
        </w:tc>
        <w:tc>
          <w:tcPr>
            <w:tcW w:w="180" w:type="dxa"/>
            <w:vAlign w:val="bottom"/>
            <w:tcBorders>
              <w:right w:val="single" w:sz="8" w:color="CCEEFF"/>
            </w:tcBorders>
            <w:shd w:val="clear" w:color="auto" w:fill="000000"/>
          </w:tcPr>
          <w:p>
            <w:pPr>
              <w:spacing w:after="0"/>
              <w:rPr>
                <w:sz w:val="2"/>
                <w:szCs w:val="2"/>
                <w:color w:val="auto"/>
              </w:rPr>
            </w:pPr>
          </w:p>
        </w:tc>
        <w:tc>
          <w:tcPr>
            <w:tcW w:w="620" w:type="dxa"/>
            <w:vAlign w:val="bottom"/>
            <w:tcBorders>
              <w:left w:val="single" w:sz="8" w:color="auto"/>
              <w:right w:val="single" w:sz="8" w:color="auto"/>
            </w:tcBorders>
            <w:gridSpan w:val="2"/>
            <w:shd w:val="clear" w:color="auto" w:fill="000000"/>
          </w:tcPr>
          <w:p>
            <w:pPr>
              <w:spacing w:after="0"/>
              <w:rPr>
                <w:sz w:val="2"/>
                <w:szCs w:val="2"/>
                <w:color w:val="auto"/>
              </w:rPr>
            </w:pPr>
          </w:p>
        </w:tc>
        <w:tc>
          <w:tcPr>
            <w:tcW w:w="580" w:type="dxa"/>
            <w:vAlign w:val="bottom"/>
            <w:tcBorders>
              <w:left w:val="single" w:sz="8" w:color="CCEEFF"/>
            </w:tcBorders>
            <w:gridSpan w:val="3"/>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1960" w:type="dxa"/>
            <w:vAlign w:val="bottom"/>
            <w:tcBorders>
              <w:right w:val="single" w:sz="8" w:color="CCEEFF"/>
            </w:tcBorders>
            <w:gridSpan w:val="8"/>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 85,960,088​​​​$375,370​​​​2,675,979​​​</w:t>
            </w:r>
          </w:p>
        </w:tc>
        <w:tc>
          <w:tcPr>
            <w:tcW w:w="26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w w:val="93"/>
              </w:rPr>
              <w:t>​$ 1</w:t>
            </w:r>
          </w:p>
        </w:tc>
        <w:tc>
          <w:tcPr>
            <w:tcW w:w="58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​​​​$25,055 ​​​</w:t>
            </w: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w:t>
            </w:r>
          </w:p>
        </w:tc>
        <w:tc>
          <w:tcPr>
            <w:tcW w:w="180" w:type="dxa"/>
            <w:vAlign w:val="bottom"/>
            <w:tcBorders>
              <w:right w:val="single" w:sz="8" w:color="CCEEFF"/>
            </w:tcBorders>
            <w:shd w:val="clear" w:color="auto" w:fill="CCEEFF"/>
          </w:tcPr>
          <w:p>
            <w:pPr>
              <w:spacing w:after="0"/>
              <w:rPr>
                <w:sz w:val="13"/>
                <w:szCs w:val="13"/>
                <w:color w:val="auto"/>
              </w:rPr>
            </w:pPr>
          </w:p>
        </w:tc>
        <w:tc>
          <w:tcPr>
            <w:tcW w:w="1200" w:type="dxa"/>
            <w:vAlign w:val="bottom"/>
            <w:tcBorders>
              <w:lef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​​​​$(364,318)​​​​$(339,260)</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2"/>
        </w:trPr>
        <w:tc>
          <w:tcPr>
            <w:tcW w:w="1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Issuance of Series C redeemable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convertible preferred stock 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March 2024 for cash, net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derivative liability of $8,913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issuance costs of $382</w:t>
            </w:r>
          </w:p>
        </w:tc>
        <w:tc>
          <w:tcPr>
            <w:tcW w:w="1340" w:type="dxa"/>
            <w:vAlign w:val="bottom"/>
            <w:gridSpan w:val="7"/>
          </w:tcPr>
          <w:p>
            <w:pPr>
              <w:ind w:left="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41,264,891​​​​ ​120,205​​​</w:t>
            </w:r>
            <w:r>
              <w:rPr>
                <w:rFonts w:ascii="Times New Roman" w:cs="Times New Roman" w:eastAsia="Times New Roman" w:hAnsi="Times New Roman"/>
                <w:sz w:val="12"/>
                <w:szCs w:val="12"/>
                <w:b w:val="1"/>
                <w:bCs w:val="1"/>
                <w:color w:val="auto"/>
              </w:rPr>
              <w:t>​</w:t>
            </w:r>
          </w:p>
        </w:tc>
        <w:tc>
          <w:tcPr>
            <w:tcW w:w="6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w w:val="93"/>
              </w:rPr>
              <w:t>​ ​—</w:t>
            </w:r>
          </w:p>
        </w:tc>
        <w:tc>
          <w:tcPr>
            <w:tcW w:w="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3"/>
                <w:szCs w:val="13"/>
                <w:color w:val="auto"/>
              </w:rPr>
            </w:pPr>
          </w:p>
        </w:tc>
        <w:tc>
          <w:tcPr>
            <w:tcW w:w="4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2"/>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common stock upon</w:t>
            </w: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620" w:type="dxa"/>
            <w:vAlign w:val="bottom"/>
            <w:tcBorders>
              <w:left w:val="single" w:sz="8" w:color="CCEEFF"/>
              <w:right w:val="single" w:sz="8" w:color="CCEEFF"/>
            </w:tcBorders>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40" w:type="dxa"/>
            <w:vAlign w:val="bottom"/>
            <w:tcBorders>
              <w:lef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exercise of stock options and early</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right w:val="single" w:sz="8" w:color="CCEEFF"/>
            </w:tcBorders>
            <w:shd w:val="clear" w:color="auto" w:fill="CCEEFF"/>
          </w:tcPr>
          <w:p>
            <w:pPr>
              <w:spacing w:after="0"/>
              <w:rPr>
                <w:sz w:val="12"/>
                <w:szCs w:val="12"/>
                <w:color w:val="auto"/>
              </w:rPr>
            </w:pPr>
          </w:p>
        </w:tc>
        <w:tc>
          <w:tcPr>
            <w:tcW w:w="620" w:type="dxa"/>
            <w:vAlign w:val="bottom"/>
            <w:tcBorders>
              <w:left w:val="single" w:sz="8" w:color="CCEEFF"/>
              <w:right w:val="single" w:sz="8" w:color="CCEEFF"/>
            </w:tcBorders>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40" w:type="dxa"/>
            <w:vAlign w:val="bottom"/>
            <w:tcBorders>
              <w:lef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24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840" w:type="dxa"/>
            <w:vAlign w:val="bottom"/>
            <w:gridSpan w:val="3"/>
            <w:shd w:val="clear" w:color="auto" w:fill="CCEEFF"/>
          </w:tcPr>
          <w:p>
            <w:pPr>
              <w:jc w:val="center"/>
              <w:ind w:left="66"/>
              <w:spacing w:after="0"/>
              <w:rPr>
                <w:sz w:val="20"/>
                <w:szCs w:val="20"/>
                <w:color w:val="auto"/>
              </w:rPr>
            </w:pPr>
            <w:r>
              <w:rPr>
                <w:rFonts w:ascii="Times New Roman" w:cs="Times New Roman" w:eastAsia="Times New Roman" w:hAnsi="Times New Roman"/>
                <w:sz w:val="12"/>
                <w:szCs w:val="12"/>
                <w:color w:val="auto"/>
              </w:rPr>
              <w:t>—​​​​ ​</w:t>
            </w: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620" w:type="dxa"/>
            <w:vAlign w:val="bottom"/>
            <w:tcBorders>
              <w:left w:val="single" w:sz="8" w:color="CCEEFF"/>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3,186​​​</w:t>
            </w:r>
          </w:p>
        </w:tc>
        <w:tc>
          <w:tcPr>
            <w:tcW w:w="26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w w:val="93"/>
              </w:rPr>
              <w:t>​ ​—</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 ​​​</w:t>
            </w:r>
          </w:p>
        </w:tc>
        <w:tc>
          <w:tcPr>
            <w:tcW w:w="180" w:type="dxa"/>
            <w:vAlign w:val="bottom"/>
            <w:tcBorders>
              <w:right w:val="single" w:sz="8" w:color="CCEEFF"/>
            </w:tcBorders>
            <w:shd w:val="clear" w:color="auto" w:fill="CCEEFF"/>
          </w:tcPr>
          <w:p>
            <w:pPr>
              <w:spacing w:after="0"/>
              <w:rPr>
                <w:sz w:val="13"/>
                <w:szCs w:val="13"/>
                <w:color w:val="auto"/>
              </w:rPr>
            </w:pPr>
          </w:p>
        </w:tc>
        <w:tc>
          <w:tcPr>
            <w:tcW w:w="46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2"/>
        </w:trPr>
        <w:tc>
          <w:tcPr>
            <w:tcW w:w="1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Vesting of early exercised stock</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options</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840" w:type="dxa"/>
            <w:vAlign w:val="bottom"/>
            <w:gridSpan w:val="3"/>
          </w:tcPr>
          <w:p>
            <w:pPr>
              <w:jc w:val="center"/>
              <w:ind w:left="66"/>
              <w:spacing w:after="0"/>
              <w:rPr>
                <w:sz w:val="20"/>
                <w:szCs w:val="20"/>
                <w:color w:val="auto"/>
              </w:rPr>
            </w:pPr>
            <w:r>
              <w:rPr>
                <w:rFonts w:ascii="Times New Roman" w:cs="Times New Roman" w:eastAsia="Times New Roman" w:hAnsi="Times New Roman"/>
                <w:sz w:val="12"/>
                <w:szCs w:val="12"/>
                <w:color w:val="auto"/>
              </w:rPr>
              <w:t>—​​​​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6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w w:val="93"/>
              </w:rPr>
              <w:t>​ ​—</w:t>
            </w:r>
          </w:p>
        </w:tc>
        <w:tc>
          <w:tcPr>
            <w:tcW w:w="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494 ​​​</w:t>
            </w:r>
          </w:p>
        </w:tc>
        <w:tc>
          <w:tcPr>
            <w:tcW w:w="180" w:type="dxa"/>
            <w:vAlign w:val="bottom"/>
          </w:tcPr>
          <w:p>
            <w:pPr>
              <w:spacing w:after="0"/>
              <w:rPr>
                <w:sz w:val="13"/>
                <w:szCs w:val="13"/>
                <w:color w:val="auto"/>
              </w:rPr>
            </w:pPr>
          </w:p>
        </w:tc>
        <w:tc>
          <w:tcPr>
            <w:tcW w:w="4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2"/>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Vesting of restricted shares of</w:t>
            </w: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620" w:type="dxa"/>
            <w:vAlign w:val="bottom"/>
            <w:tcBorders>
              <w:left w:val="single" w:sz="8" w:color="CCEEFF"/>
              <w:right w:val="single" w:sz="8" w:color="CCEEFF"/>
            </w:tcBorders>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40" w:type="dxa"/>
            <w:vAlign w:val="bottom"/>
            <w:tcBorders>
              <w:lef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common stock</w:t>
            </w:r>
          </w:p>
        </w:tc>
        <w:tc>
          <w:tcPr>
            <w:tcW w:w="24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840" w:type="dxa"/>
            <w:vAlign w:val="bottom"/>
            <w:gridSpan w:val="3"/>
            <w:shd w:val="clear" w:color="auto" w:fill="CCEEFF"/>
          </w:tcPr>
          <w:p>
            <w:pPr>
              <w:jc w:val="center"/>
              <w:ind w:left="66"/>
              <w:spacing w:after="0"/>
              <w:rPr>
                <w:sz w:val="20"/>
                <w:szCs w:val="20"/>
                <w:color w:val="auto"/>
              </w:rPr>
            </w:pPr>
            <w:r>
              <w:rPr>
                <w:rFonts w:ascii="Times New Roman" w:cs="Times New Roman" w:eastAsia="Times New Roman" w:hAnsi="Times New Roman"/>
                <w:sz w:val="12"/>
                <w:szCs w:val="12"/>
                <w:color w:val="auto"/>
              </w:rPr>
              <w:t>—​​​​ ​</w:t>
            </w: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620" w:type="dxa"/>
            <w:vAlign w:val="bottom"/>
            <w:tcBorders>
              <w:left w:val="single" w:sz="8" w:color="CCEEFF"/>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w w:val="93"/>
              </w:rPr>
              <w:t>​ ​—</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 ​​​</w:t>
            </w:r>
          </w:p>
        </w:tc>
        <w:tc>
          <w:tcPr>
            <w:tcW w:w="180" w:type="dxa"/>
            <w:vAlign w:val="bottom"/>
            <w:tcBorders>
              <w:right w:val="single" w:sz="8" w:color="CCEEFF"/>
            </w:tcBorders>
            <w:shd w:val="clear" w:color="auto" w:fill="CCEEFF"/>
          </w:tcPr>
          <w:p>
            <w:pPr>
              <w:spacing w:after="0"/>
              <w:rPr>
                <w:sz w:val="13"/>
                <w:szCs w:val="13"/>
                <w:color w:val="auto"/>
              </w:rPr>
            </w:pPr>
          </w:p>
        </w:tc>
        <w:tc>
          <w:tcPr>
            <w:tcW w:w="46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6"/>
        </w:trPr>
        <w:tc>
          <w:tcPr>
            <w:tcW w:w="1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840" w:type="dxa"/>
            <w:vAlign w:val="bottom"/>
            <w:gridSpan w:val="3"/>
          </w:tcPr>
          <w:p>
            <w:pPr>
              <w:jc w:val="center"/>
              <w:ind w:left="66"/>
              <w:spacing w:after="0"/>
              <w:rPr>
                <w:sz w:val="20"/>
                <w:szCs w:val="20"/>
                <w:color w:val="auto"/>
              </w:rPr>
            </w:pPr>
            <w:r>
              <w:rPr>
                <w:rFonts w:ascii="Times New Roman" w:cs="Times New Roman" w:eastAsia="Times New Roman" w:hAnsi="Times New Roman"/>
                <w:sz w:val="12"/>
                <w:szCs w:val="12"/>
                <w:color w:val="auto"/>
              </w:rPr>
              <w:t>—​​​​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6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w w:val="93"/>
              </w:rPr>
              <w:t>​ ​—</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 ​ 2,657 ​​​</w:t>
            </w:r>
          </w:p>
        </w:tc>
        <w:tc>
          <w:tcPr>
            <w:tcW w:w="180" w:type="dxa"/>
            <w:vAlign w:val="bottom"/>
          </w:tcPr>
          <w:p>
            <w:pPr>
              <w:spacing w:after="0"/>
              <w:rPr>
                <w:sz w:val="13"/>
                <w:szCs w:val="13"/>
                <w:color w:val="auto"/>
              </w:rPr>
            </w:pPr>
          </w:p>
        </w:tc>
        <w:tc>
          <w:tcPr>
            <w:tcW w:w="4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2,657</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loss, net</w:t>
            </w:r>
          </w:p>
        </w:tc>
        <w:tc>
          <w:tcPr>
            <w:tcW w:w="24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840" w:type="dxa"/>
            <w:vAlign w:val="bottom"/>
            <w:gridSpan w:val="3"/>
            <w:shd w:val="clear" w:color="auto" w:fill="CCEEFF"/>
          </w:tcPr>
          <w:p>
            <w:pPr>
              <w:jc w:val="center"/>
              <w:ind w:left="66"/>
              <w:spacing w:after="0"/>
              <w:rPr>
                <w:sz w:val="20"/>
                <w:szCs w:val="20"/>
                <w:color w:val="auto"/>
              </w:rPr>
            </w:pPr>
            <w:r>
              <w:rPr>
                <w:rFonts w:ascii="Times New Roman" w:cs="Times New Roman" w:eastAsia="Times New Roman" w:hAnsi="Times New Roman"/>
                <w:sz w:val="12"/>
                <w:szCs w:val="12"/>
                <w:color w:val="auto"/>
              </w:rPr>
              <w:t>—​​​​ ​</w:t>
            </w: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620" w:type="dxa"/>
            <w:vAlign w:val="bottom"/>
            <w:tcBorders>
              <w:left w:val="single" w:sz="8" w:color="CCEEFF"/>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w w:val="93"/>
              </w:rPr>
              <w:t>​ ​—</w:t>
            </w:r>
          </w:p>
        </w:tc>
        <w:tc>
          <w:tcPr>
            <w:tcW w:w="22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right w:val="single" w:sz="8" w:color="CCEEFF"/>
            </w:tcBorders>
            <w:shd w:val="clear" w:color="auto" w:fill="CCEEFF"/>
          </w:tcPr>
          <w:p>
            <w:pPr>
              <w:spacing w:after="0"/>
              <w:rPr>
                <w:sz w:val="13"/>
                <w:szCs w:val="13"/>
                <w:color w:val="auto"/>
              </w:rPr>
            </w:pPr>
          </w:p>
        </w:tc>
        <w:tc>
          <w:tcPr>
            <w:tcW w:w="46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 ​(3)</w:t>
            </w:r>
          </w:p>
        </w:tc>
        <w:tc>
          <w:tcPr>
            <w:tcW w:w="1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 ​​​​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3"/>
        </w:trPr>
        <w:tc>
          <w:tcPr>
            <w:tcW w:w="1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loss</w:t>
            </w:r>
          </w:p>
        </w:tc>
        <w:tc>
          <w:tcPr>
            <w:tcW w:w="24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840" w:type="dxa"/>
            <w:vAlign w:val="bottom"/>
            <w:gridSpan w:val="3"/>
          </w:tcPr>
          <w:p>
            <w:pPr>
              <w:jc w:val="center"/>
              <w:ind w:left="66"/>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26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620" w:type="dxa"/>
            <w:vAlign w:val="bottom"/>
          </w:tcPr>
          <w:p>
            <w:pPr>
              <w:jc w:val="right"/>
              <w:ind w:right="22"/>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260" w:type="dxa"/>
            <w:vAlign w:val="bottom"/>
          </w:tcPr>
          <w:p>
            <w:pPr>
              <w:jc w:val="right"/>
              <w:ind w:right="43"/>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220" w:type="dxa"/>
            <w:vAlign w:val="bottom"/>
            <w:gridSpan w:val="2"/>
          </w:tcPr>
          <w:p>
            <w:pPr>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6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180" w:type="dxa"/>
            <w:vAlign w:val="bottom"/>
          </w:tcPr>
          <w:p>
            <w:pPr>
              <w:spacing w:after="0"/>
              <w:rPr>
                <w:sz w:val="15"/>
                <w:szCs w:val="15"/>
                <w:color w:val="auto"/>
              </w:rPr>
            </w:pPr>
          </w:p>
        </w:tc>
        <w:tc>
          <w:tcPr>
            <w:tcW w:w="460" w:type="dxa"/>
            <w:vAlign w:val="bottom"/>
            <w:gridSpan w:val="4"/>
          </w:tcPr>
          <w:p>
            <w:pP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1280" w:type="dxa"/>
            <w:vAlign w:val="bottom"/>
            <w:gridSpan w:val="6"/>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(49,849)</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1"/>
                <w:szCs w:val="11"/>
                <w:color w:val="auto"/>
              </w:rPr>
              <w:t xml:space="preserve"> ​ (49,849)</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14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tcBorders>
              <w:right w:val="single" w:sz="8" w:color="auto"/>
            </w:tcBorders>
            <w:gridSpan w:val="3"/>
            <w:shd w:val="clear" w:color="auto" w:fill="000000"/>
          </w:tcPr>
          <w:p>
            <w:pPr>
              <w:spacing w:after="0" w:line="20" w:lineRule="exact"/>
              <w:rPr>
                <w:sz w:val="1"/>
                <w:szCs w:val="1"/>
                <w:color w:val="auto"/>
              </w:rPr>
            </w:pPr>
          </w:p>
        </w:tc>
        <w:tc>
          <w:tcPr>
            <w:tcW w:w="46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tcBorders>
              <w:left w:val="single" w:sz="8" w:color="auto"/>
              <w:right w:val="single" w:sz="8" w:color="CCEEFF"/>
            </w:tcBorders>
            <w:gridSpan w:val="3"/>
            <w:shd w:val="clear" w:color="auto" w:fill="000000"/>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CEEFF"/>
            </w:tcBorders>
            <w:gridSpan w:val="2"/>
            <w:shd w:val="clear" w:color="auto" w:fill="CCEEFF"/>
          </w:tcPr>
          <w:p>
            <w:pPr>
              <w:spacing w:after="0" w:line="20" w:lineRule="exact"/>
              <w:rPr>
                <w:sz w:val="1"/>
                <w:szCs w:val="1"/>
                <w:color w:val="auto"/>
              </w:rPr>
            </w:pPr>
          </w:p>
        </w:tc>
        <w:tc>
          <w:tcPr>
            <w:tcW w:w="62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at March 31, 2024</w:t>
            </w:r>
          </w:p>
        </w:tc>
        <w:tc>
          <w:tcPr>
            <w:tcW w:w="1960" w:type="dxa"/>
            <w:vAlign w:val="bottom"/>
            <w:tcBorders>
              <w:right w:val="single" w:sz="8" w:color="CCEEFF"/>
            </w:tcBorders>
            <w:gridSpan w:val="8"/>
            <w:shd w:val="clear" w:color="auto" w:fill="CCEEFF"/>
          </w:tcPr>
          <w:p>
            <w:pPr>
              <w:ind w:left="40"/>
              <w:spacing w:after="0" w:line="163"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​127,224,979</w:t>
            </w: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495,575</w:t>
            </w: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​2,679,165</w:t>
            </w:r>
            <w:r>
              <w:rPr>
                <w:rFonts w:ascii="Times New Roman" w:cs="Times New Roman" w:eastAsia="Times New Roman" w:hAnsi="Times New Roman"/>
                <w:sz w:val="18"/>
                <w:szCs w:val="18"/>
                <w:b w:val="1"/>
                <w:bCs w:val="1"/>
                <w:color w:val="auto"/>
                <w:vertAlign w:val="subscript"/>
              </w:rPr>
              <w:t>​​​</w:t>
            </w:r>
          </w:p>
        </w:tc>
        <w:tc>
          <w:tcPr>
            <w:tcW w:w="260" w:type="dxa"/>
            <w:vAlign w:val="bottom"/>
            <w:tcBorders>
              <w:right w:val="single" w:sz="8" w:color="CCEEFF"/>
            </w:tcBorders>
            <w:shd w:val="clear" w:color="auto" w:fill="CCEEFF"/>
          </w:tcPr>
          <w:p>
            <w:pPr>
              <w:jc w:val="right"/>
              <w:ind w:right="43"/>
              <w:spacing w:after="0" w:line="163"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$ 1</w:t>
            </w:r>
          </w:p>
        </w:tc>
        <w:tc>
          <w:tcPr>
            <w:tcW w:w="580" w:type="dxa"/>
            <w:vAlign w:val="bottom"/>
            <w:tcBorders>
              <w:left w:val="single" w:sz="8" w:color="CCEEFF"/>
            </w:tcBorders>
            <w:gridSpan w:val="4"/>
            <w:shd w:val="clear" w:color="auto" w:fill="CCEEFF"/>
          </w:tcPr>
          <w:p>
            <w:pPr>
              <w:jc w:val="right"/>
              <w:spacing w:after="0" w:line="163"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8"/>
                <w:szCs w:val="18"/>
                <w:b w:val="1"/>
                <w:bCs w:val="1"/>
                <w:u w:val="single" w:color="auto"/>
                <w:color w:val="auto"/>
                <w:vertAlign w:val="superscript"/>
              </w:rPr>
              <w:t>$</w:t>
            </w:r>
            <w:r>
              <w:rPr>
                <w:rFonts w:ascii="Times New Roman" w:cs="Times New Roman" w:eastAsia="Times New Roman" w:hAnsi="Times New Roman"/>
                <w:sz w:val="18"/>
                <w:szCs w:val="18"/>
                <w:b w:val="1"/>
                <w:bCs w:val="1"/>
                <w:color w:val="auto"/>
                <w:vertAlign w:val="superscript"/>
              </w:rPr>
              <w:t>28,241</w:t>
            </w:r>
            <w:r>
              <w:rPr>
                <w:rFonts w:ascii="Times New Roman" w:cs="Times New Roman" w:eastAsia="Times New Roman" w:hAnsi="Times New Roman"/>
                <w:sz w:val="10"/>
                <w:szCs w:val="10"/>
                <w:b w:val="1"/>
                <w:bCs w:val="1"/>
                <w:color w:val="auto"/>
              </w:rPr>
              <w:t xml:space="preserve"> ​​​</w:t>
            </w:r>
          </w:p>
        </w:tc>
        <w:tc>
          <w:tcPr>
            <w:tcW w:w="18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gridSpan w:val="4"/>
            <w:shd w:val="clear" w:color="auto" w:fill="CCEEFF"/>
          </w:tcPr>
          <w:p>
            <w:pPr>
              <w:spacing w:after="0" w:line="163"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(1)</w:t>
            </w:r>
          </w:p>
        </w:tc>
        <w:tc>
          <w:tcPr>
            <w:tcW w:w="1200" w:type="dxa"/>
            <w:vAlign w:val="bottom"/>
            <w:tcBorders>
              <w:left w:val="single" w:sz="8" w:color="CCEEFF"/>
            </w:tcBorders>
            <w:gridSpan w:val="5"/>
            <w:shd w:val="clear" w:color="auto" w:fill="CCEEFF"/>
          </w:tcPr>
          <w:p>
            <w:pPr>
              <w:spacing w:after="0" w:line="163"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(414,167)</w:t>
            </w: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(385,926)</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37"/>
        </w:trPr>
        <w:tc>
          <w:tcPr>
            <w:tcW w:w="14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20" w:type="dxa"/>
            <w:vAlign w:val="bottom"/>
            <w:tcBorders>
              <w:right w:val="single" w:sz="8" w:color="auto"/>
            </w:tcBorders>
            <w:shd w:val="clear" w:color="auto" w:fill="CCEEFF"/>
          </w:tcPr>
          <w:p>
            <w:pPr>
              <w:spacing w:after="0"/>
              <w:rPr>
                <w:sz w:val="3"/>
                <w:szCs w:val="3"/>
                <w:color w:val="auto"/>
              </w:rPr>
            </w:pPr>
          </w:p>
        </w:tc>
        <w:tc>
          <w:tcPr>
            <w:tcW w:w="120" w:type="dxa"/>
            <w:vAlign w:val="bottom"/>
            <w:tcBorders>
              <w:right w:val="single" w:sz="8" w:color="auto"/>
            </w:tcBorders>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00" w:type="dxa"/>
            <w:vAlign w:val="bottom"/>
            <w:tcBorders>
              <w:right w:val="single" w:sz="8" w:color="auto"/>
            </w:tcBorders>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80" w:type="dxa"/>
            <w:vAlign w:val="bottom"/>
            <w:tcBorders>
              <w:right w:val="single" w:sz="8" w:color="CCEEFF"/>
            </w:tcBorders>
            <w:shd w:val="clear" w:color="auto" w:fill="000000"/>
          </w:tcPr>
          <w:p>
            <w:pPr>
              <w:spacing w:after="0"/>
              <w:rPr>
                <w:sz w:val="3"/>
                <w:szCs w:val="3"/>
                <w:color w:val="auto"/>
              </w:rPr>
            </w:pPr>
          </w:p>
        </w:tc>
        <w:tc>
          <w:tcPr>
            <w:tcW w:w="80" w:type="dxa"/>
            <w:vAlign w:val="bottom"/>
            <w:tcBorders>
              <w:left w:val="single" w:sz="8" w:color="CCEEFF"/>
              <w:right w:val="single" w:sz="8" w:color="auto"/>
            </w:tcBorders>
            <w:shd w:val="clear" w:color="auto" w:fill="CCEEFF"/>
          </w:tcPr>
          <w:p>
            <w:pPr>
              <w:spacing w:after="0"/>
              <w:rPr>
                <w:sz w:val="3"/>
                <w:szCs w:val="3"/>
                <w:color w:val="auto"/>
              </w:rPr>
            </w:pPr>
          </w:p>
        </w:tc>
        <w:tc>
          <w:tcPr>
            <w:tcW w:w="620" w:type="dxa"/>
            <w:vAlign w:val="bottom"/>
            <w:tcBorders>
              <w:left w:val="single" w:sz="8" w:color="auto"/>
              <w:right w:val="single" w:sz="8" w:color="auto"/>
            </w:tcBorders>
            <w:shd w:val="clear" w:color="auto" w:fill="000000"/>
          </w:tcPr>
          <w:p>
            <w:pPr>
              <w:spacing w:after="0"/>
              <w:rPr>
                <w:sz w:val="3"/>
                <w:szCs w:val="3"/>
                <w:color w:val="auto"/>
              </w:rPr>
            </w:pPr>
          </w:p>
        </w:tc>
        <w:tc>
          <w:tcPr>
            <w:tcW w:w="260" w:type="dxa"/>
            <w:vAlign w:val="bottom"/>
            <w:tcBorders>
              <w:right w:val="single" w:sz="8" w:color="CCEEFF"/>
            </w:tcBorders>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20" w:type="dxa"/>
            <w:vAlign w:val="bottom"/>
            <w:tcBorders>
              <w:right w:val="single" w:sz="8" w:color="CCEEFF"/>
            </w:tcBorders>
            <w:shd w:val="clear" w:color="auto" w:fill="000000"/>
          </w:tcPr>
          <w:p>
            <w:pPr>
              <w:spacing w:after="0"/>
              <w:rPr>
                <w:sz w:val="3"/>
                <w:szCs w:val="3"/>
                <w:color w:val="auto"/>
              </w:rPr>
            </w:pPr>
          </w:p>
        </w:tc>
        <w:tc>
          <w:tcPr>
            <w:tcW w:w="40" w:type="dxa"/>
            <w:vAlign w:val="bottom"/>
            <w:tcBorders>
              <w:lef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80" w:type="dxa"/>
            <w:vAlign w:val="bottom"/>
            <w:tcBorders>
              <w:left w:val="single" w:sz="8" w:color="CCEEFF"/>
            </w:tcBorders>
            <w:shd w:val="clear" w:color="auto" w:fill="000000"/>
          </w:tcPr>
          <w:p>
            <w:pPr>
              <w:spacing w:after="0"/>
              <w:rPr>
                <w:sz w:val="3"/>
                <w:szCs w:val="3"/>
                <w:color w:val="auto"/>
              </w:rPr>
            </w:pPr>
          </w:p>
        </w:tc>
        <w:tc>
          <w:tcPr>
            <w:tcW w:w="440" w:type="dxa"/>
            <w:vAlign w:val="bottom"/>
            <w:tcBorders>
              <w:right w:val="single" w:sz="8" w:color="CCEEFF"/>
            </w:tcBorders>
            <w:shd w:val="clear" w:color="auto" w:fill="000000"/>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8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4930140</wp:posOffset>
            </wp:positionH>
            <wp:positionV relativeFrom="paragraph">
              <wp:posOffset>-2279015</wp:posOffset>
            </wp:positionV>
            <wp:extent cx="23495"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3495" cy="5715"/>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-3674745</wp:posOffset>
            </wp:positionV>
            <wp:extent cx="4192905" cy="367538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192905" cy="3675380"/>
                    </a:xfrm>
                    <a:prstGeom prst="rect">
                      <a:avLst/>
                    </a:prstGeom>
                    <a:noFill/>
                  </pic:spPr>
                </pic:pic>
              </a:graphicData>
            </a:graphic>
          </wp:anchor>
        </w:drawing>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44" w:name="page245"/>
    <w:bookmarkEnd w:id="244"/>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tbl>
      <w:tblPr>
        <w:tblLayout w:type="fixed"/>
        <w:tblInd w:w="1720" w:type="dxa"/>
        <w:tblCellMar>
          <w:top w:w="0" w:type="dxa"/>
          <w:left w:w="0" w:type="dxa"/>
          <w:bottom w:w="0" w:type="dxa"/>
          <w:right w:w="0" w:type="dxa"/>
        </w:tblCellMar>
      </w:tblPr>
      <w:tr>
        <w:trPr>
          <w:trHeight w:val="98"/>
        </w:trPr>
        <w:tc>
          <w:tcPr>
            <w:tcW w:w="5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880" w:type="dxa"/>
            <w:vAlign w:val="bottom"/>
            <w:gridSpan w:val="3"/>
          </w:tcPr>
          <w:p>
            <w:pPr>
              <w:jc w:val="center"/>
              <w:ind w:right="20"/>
              <w:spacing w:after="0" w:line="98" w:lineRule="exact"/>
              <w:rPr>
                <w:sz w:val="20"/>
                <w:szCs w:val="20"/>
                <w:color w:val="auto"/>
              </w:rPr>
            </w:pPr>
            <w:r>
              <w:rPr>
                <w:rFonts w:ascii="Times New Roman" w:cs="Times New Roman" w:eastAsia="Times New Roman" w:hAnsi="Times New Roman"/>
                <w:sz w:val="10"/>
                <w:szCs w:val="10"/>
                <w:b w:val="1"/>
                <w:bCs w:val="1"/>
                <w:color w:val="auto"/>
                <w:w w:val="93"/>
              </w:rPr>
              <w:t>Three months ended</w:t>
            </w:r>
          </w:p>
        </w:tc>
        <w:tc>
          <w:tcPr>
            <w:tcW w:w="40" w:type="dxa"/>
            <w:vAlign w:val="bottom"/>
          </w:tcPr>
          <w:p>
            <w:pPr>
              <w:spacing w:after="0"/>
              <w:rPr>
                <w:sz w:val="8"/>
                <w:szCs w:val="8"/>
                <w:color w:val="auto"/>
              </w:rPr>
            </w:pPr>
          </w:p>
        </w:tc>
      </w:tr>
      <w:tr>
        <w:trPr>
          <w:trHeight w:val="145"/>
        </w:trPr>
        <w:tc>
          <w:tcPr>
            <w:tcW w:w="5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100" w:type="dxa"/>
            <w:vAlign w:val="bottom"/>
          </w:tcPr>
          <w:p>
            <w:pPr>
              <w:ind w:left="4020"/>
              <w:spacing w:after="0"/>
              <w:rPr>
                <w:sz w:val="20"/>
                <w:szCs w:val="20"/>
                <w:color w:val="auto"/>
              </w:rPr>
            </w:pPr>
            <w:r>
              <w:rPr>
                <w:rFonts w:ascii="Times New Roman" w:cs="Times New Roman" w:eastAsia="Times New Roman" w:hAnsi="Times New Roman"/>
                <w:sz w:val="10"/>
                <w:szCs w:val="10"/>
                <w:b w:val="1"/>
                <w:bCs w:val="1"/>
                <w:color w:val="auto"/>
              </w:rPr>
              <w:t>​​</w:t>
            </w: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March 31,</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27"/>
        </w:trPr>
        <w:tc>
          <w:tcPr>
            <w:tcW w:w="5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1"/>
              </w:rPr>
              <w:t>(in thousands)</w:t>
            </w:r>
          </w:p>
        </w:tc>
        <w:tc>
          <w:tcPr>
            <w:tcW w:w="4100" w:type="dxa"/>
            <w:vAlign w:val="bottom"/>
          </w:tcPr>
          <w:p>
            <w:pPr>
              <w:ind w:left="4040"/>
              <w:spacing w:after="0"/>
              <w:rPr>
                <w:sz w:val="20"/>
                <w:szCs w:val="20"/>
                <w:color w:val="auto"/>
              </w:rPr>
            </w:pPr>
            <w:r>
              <w:rPr>
                <w:rFonts w:ascii="Times New Roman" w:cs="Times New Roman" w:eastAsia="Times New Roman" w:hAnsi="Times New Roman"/>
                <w:sz w:val="10"/>
                <w:szCs w:val="10"/>
                <w:b w:val="1"/>
                <w:bCs w:val="1"/>
                <w:color w:val="auto"/>
              </w:rPr>
              <w:t>​​</w:t>
            </w:r>
          </w:p>
        </w:tc>
        <w:tc>
          <w:tcPr>
            <w:tcW w:w="880" w:type="dxa"/>
            <w:vAlign w:val="bottom"/>
            <w:gridSpan w:val="3"/>
          </w:tcPr>
          <w:p>
            <w:pPr>
              <w:jc w:val="center"/>
              <w:spacing w:after="0" w:line="127" w:lineRule="exact"/>
              <w:rPr>
                <w:sz w:val="20"/>
                <w:szCs w:val="20"/>
                <w:color w:val="auto"/>
              </w:rPr>
            </w:pPr>
            <w:r>
              <w:rPr>
                <w:rFonts w:ascii="Times New Roman" w:cs="Times New Roman" w:eastAsia="Times New Roman" w:hAnsi="Times New Roman"/>
                <w:sz w:val="8"/>
                <w:szCs w:val="8"/>
                <w:b w:val="1"/>
                <w:bCs w:val="1"/>
                <w:color w:val="auto"/>
              </w:rPr>
              <w:t xml:space="preserve">2023   </w:t>
            </w: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8"/>
                <w:szCs w:val="8"/>
                <w:b w:val="1"/>
                <w:bCs w:val="1"/>
                <w:color w:val="auto"/>
              </w:rPr>
              <w:t xml:space="preserve">  2024</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58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0</wp:posOffset>
            </wp:positionV>
            <wp:extent cx="3535680" cy="933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535680" cy="93345"/>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p>
      <w:pPr>
        <w:spacing w:after="0" w:line="3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6985</wp:posOffset>
            </wp:positionV>
            <wp:extent cx="3535680" cy="9906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535680" cy="99060"/>
                    </a:xfrm>
                    <a:prstGeom prst="rect">
                      <a:avLst/>
                    </a:prstGeom>
                    <a:noFill/>
                  </pic:spPr>
                </pic:pic>
              </a:graphicData>
            </a:graphic>
          </wp:anchor>
        </w:drawing>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p>
      <w:pPr>
        <w:spacing w:after="0" w:line="2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1"/>
          <w:szCs w:val="11"/>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6985</wp:posOffset>
            </wp:positionV>
            <wp:extent cx="3535680" cy="9906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535680" cy="99060"/>
                    </a:xfrm>
                    <a:prstGeom prst="rect">
                      <a:avLst/>
                    </a:prstGeom>
                    <a:noFill/>
                  </pic:spPr>
                </pic:pic>
              </a:graphicData>
            </a:graphic>
          </wp:anchor>
        </w:drawing>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1"/>
          <w:szCs w:val="11"/>
          <w:color w:val="auto"/>
        </w:rPr>
        <w:t>Non-cash lease expense</w:t>
      </w:r>
    </w:p>
    <w:p>
      <w:pPr>
        <w:spacing w:after="0" w:line="2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1"/>
          <w:szCs w:val="11"/>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6985</wp:posOffset>
            </wp:positionV>
            <wp:extent cx="3535680" cy="9906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535680" cy="99060"/>
                    </a:xfrm>
                    <a:prstGeom prst="rect">
                      <a:avLst/>
                    </a:prstGeom>
                    <a:noFill/>
                  </pic:spPr>
                </pic:pic>
              </a:graphicData>
            </a:graphic>
          </wp:anchor>
        </w:drawing>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1"/>
          <w:szCs w:val="11"/>
          <w:color w:val="auto"/>
        </w:rPr>
        <w:t>Net accretion of discounts on marketable securities</w:t>
      </w:r>
    </w:p>
    <w:p>
      <w:pPr>
        <w:spacing w:after="0" w:line="2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1"/>
          <w:szCs w:val="11"/>
          <w:color w:val="auto"/>
        </w:rPr>
        <w:t>Change in fair value of derivative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6985</wp:posOffset>
            </wp:positionV>
            <wp:extent cx="3535680" cy="9906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535680" cy="99060"/>
                    </a:xfrm>
                    <a:prstGeom prst="rect">
                      <a:avLst/>
                    </a:prstGeom>
                    <a:noFill/>
                  </pic:spPr>
                </pic:pic>
              </a:graphicData>
            </a:graphic>
          </wp:anchor>
        </w:drawing>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1"/>
          <w:szCs w:val="11"/>
          <w:color w:val="auto"/>
        </w:rPr>
        <w:t>Changes in operating assets and liabilities:</w:t>
      </w:r>
    </w:p>
    <w:p>
      <w:pPr>
        <w:spacing w:after="0" w:line="2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1"/>
          <w:szCs w:val="11"/>
          <w:color w:val="auto"/>
        </w:rPr>
        <w:t>Research and development 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6985</wp:posOffset>
            </wp:positionV>
            <wp:extent cx="3535680" cy="9906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535680" cy="99060"/>
                    </a:xfrm>
                    <a:prstGeom prst="rect">
                      <a:avLst/>
                    </a:prstGeom>
                    <a:noFill/>
                  </pic:spPr>
                </pic:pic>
              </a:graphicData>
            </a:graphic>
          </wp:anchor>
        </w:drawing>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1"/>
          <w:szCs w:val="11"/>
          <w:color w:val="auto"/>
        </w:rPr>
        <w:t>Other prepaid expenses and other assets</w:t>
      </w:r>
    </w:p>
    <w:p>
      <w:pPr>
        <w:spacing w:after="0" w:line="2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1"/>
          <w:szCs w:val="11"/>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6985</wp:posOffset>
            </wp:positionV>
            <wp:extent cx="3535680" cy="9906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535680" cy="99060"/>
                    </a:xfrm>
                    <a:prstGeom prst="rect">
                      <a:avLst/>
                    </a:prstGeom>
                    <a:noFill/>
                  </pic:spPr>
                </pic:pic>
              </a:graphicData>
            </a:graphic>
          </wp:anchor>
        </w:drawing>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1"/>
          <w:szCs w:val="11"/>
          <w:color w:val="auto"/>
        </w:rPr>
        <w:t>Research and development accrued expenses</w:t>
      </w:r>
    </w:p>
    <w:p>
      <w:pPr>
        <w:spacing w:after="0" w:line="2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1"/>
          <w:szCs w:val="11"/>
          <w:color w:val="auto"/>
        </w:rPr>
        <w:t>Other accrued expenses and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6985</wp:posOffset>
            </wp:positionV>
            <wp:extent cx="3535680" cy="1104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535680" cy="110490"/>
                    </a:xfrm>
                    <a:prstGeom prst="rect">
                      <a:avLst/>
                    </a:prstGeom>
                    <a:noFill/>
                  </pic:spPr>
                </pic:pic>
              </a:graphicData>
            </a:graphic>
          </wp:anchor>
        </w:drawing>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1"/>
          <w:szCs w:val="11"/>
          <w:color w:val="auto"/>
        </w:rPr>
        <w:t>Operating lease liabilities</w:t>
      </w:r>
    </w:p>
    <w:p>
      <w:pPr>
        <w:spacing w:after="0" w:line="3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1"/>
          <w:szCs w:val="1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12700</wp:posOffset>
            </wp:positionV>
            <wp:extent cx="3535680" cy="9906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535680" cy="9906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p>
      <w:pPr>
        <w:spacing w:after="0" w:line="3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color w:val="auto"/>
        </w:rPr>
        <w:t>Maturities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6985</wp:posOffset>
            </wp:positionV>
            <wp:extent cx="3535680" cy="9906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535680" cy="99060"/>
                    </a:xfrm>
                    <a:prstGeom prst="rect">
                      <a:avLst/>
                    </a:prstGeom>
                    <a:noFill/>
                  </pic:spPr>
                </pic:pic>
              </a:graphicData>
            </a:graphic>
          </wp:anchor>
        </w:drawing>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color w:val="auto"/>
        </w:rPr>
        <w:t>Purchases of marketable securities</w:t>
      </w:r>
    </w:p>
    <w:p>
      <w:pPr>
        <w:spacing w:after="0" w:line="2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12700</wp:posOffset>
            </wp:positionV>
            <wp:extent cx="3535680" cy="1162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2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p>
      <w:pPr>
        <w:spacing w:after="0" w:line="4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8255</wp:posOffset>
            </wp:positionV>
            <wp:extent cx="3535680" cy="17462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535680" cy="174625"/>
                    </a:xfrm>
                    <a:prstGeom prst="rect">
                      <a:avLst/>
                    </a:prstGeom>
                    <a:noFill/>
                  </pic:spPr>
                </pic:pic>
              </a:graphicData>
            </a:graphic>
          </wp:anchor>
        </w:drawing>
      </w:r>
    </w:p>
    <w:p>
      <w:pPr>
        <w:spacing w:after="0" w:line="20" w:lineRule="exact"/>
        <w:rPr>
          <w:sz w:val="20"/>
          <w:szCs w:val="20"/>
          <w:color w:val="auto"/>
        </w:rPr>
      </w:pPr>
    </w:p>
    <w:p>
      <w:pPr>
        <w:ind w:left="1820" w:hanging="109"/>
        <w:spacing w:after="0" w:line="238" w:lineRule="auto"/>
        <w:rPr>
          <w:sz w:val="20"/>
          <w:szCs w:val="20"/>
          <w:color w:val="auto"/>
        </w:rPr>
      </w:pPr>
      <w:r>
        <w:rPr>
          <w:rFonts w:ascii="Times New Roman" w:cs="Times New Roman" w:eastAsia="Times New Roman" w:hAnsi="Times New Roman"/>
          <w:sz w:val="11"/>
          <w:szCs w:val="11"/>
          <w:color w:val="auto"/>
        </w:rPr>
        <w:t>Proceeds from issuance of redeemable convertible preferred stock and derivative liability, net of issuance costs</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color w:val="auto"/>
        </w:rPr>
        <w:t>Proceeds from issuance of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6985</wp:posOffset>
            </wp:positionV>
            <wp:extent cx="3535680" cy="11620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18" w:lineRule="exact"/>
        <w:rPr>
          <w:sz w:val="20"/>
          <w:szCs w:val="20"/>
          <w:color w:val="auto"/>
        </w:rPr>
      </w:pPr>
    </w:p>
    <w:p>
      <w:pPr>
        <w:ind w:left="2040" w:right="380" w:hanging="329"/>
        <w:spacing w:after="0" w:line="330" w:lineRule="auto"/>
        <w:rPr>
          <w:sz w:val="20"/>
          <w:szCs w:val="20"/>
          <w:color w:val="auto"/>
        </w:rPr>
      </w:pPr>
      <w:r>
        <w:rPr>
          <w:rFonts w:ascii="Times New Roman" w:cs="Times New Roman" w:eastAsia="Times New Roman" w:hAnsi="Times New Roman"/>
          <w:sz w:val="11"/>
          <w:szCs w:val="11"/>
          <w:color w:val="auto"/>
        </w:rPr>
        <w:t>Repurchase of unvested common stock shares issued upon early exercised stock options 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-16510</wp:posOffset>
            </wp:positionV>
            <wp:extent cx="3535680" cy="10477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535680" cy="10477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1"/>
          <w:szCs w:val="11"/>
          <w:color w:val="auto"/>
        </w:rPr>
        <w:t>Net (decrease) increase in cash, cash equivalents and restricted cash</w:t>
      </w:r>
    </w:p>
    <w:p>
      <w:pPr>
        <w:spacing w:after="0" w:line="3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color w:val="auto"/>
        </w:rPr>
        <w:t>Cash, cash equivalents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12700</wp:posOffset>
            </wp:positionV>
            <wp:extent cx="3535680" cy="1219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535680" cy="121920"/>
                    </a:xfrm>
                    <a:prstGeom prst="rect">
                      <a:avLst/>
                    </a:prstGeom>
                    <a:noFill/>
                  </pic:spPr>
                </pic:pic>
              </a:graphicData>
            </a:graphic>
          </wp:anchor>
        </w:drawing>
      </w:r>
    </w:p>
    <w:p>
      <w:pPr>
        <w:spacing w:after="0" w:line="3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color w:val="auto"/>
        </w:rPr>
        <w:t>Cash, cash equivalents and restricted cash at end of period</w:t>
      </w:r>
    </w:p>
    <w:p>
      <w:pPr>
        <w:spacing w:after="0" w:line="4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b w:val="1"/>
          <w:bCs w:val="1"/>
          <w:color w:val="auto"/>
        </w:rPr>
        <w:t>Supplemental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8255</wp:posOffset>
            </wp:positionV>
            <wp:extent cx="3535680" cy="10477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535680" cy="104775"/>
                    </a:xfrm>
                    <a:prstGeom prst="rect">
                      <a:avLst/>
                    </a:prstGeom>
                    <a:noFill/>
                  </pic:spPr>
                </pic:pic>
              </a:graphicData>
            </a:graphic>
          </wp:anchor>
        </w:drawing>
      </w:r>
    </w:p>
    <w:p>
      <w:pPr>
        <w:spacing w:after="0" w:line="20" w:lineRule="exact"/>
        <w:rPr>
          <w:sz w:val="20"/>
          <w:szCs w:val="20"/>
          <w:color w:val="auto"/>
        </w:rPr>
      </w:pPr>
    </w:p>
    <w:p>
      <w:pPr>
        <w:ind w:left="1720" w:right="1080"/>
        <w:spacing w:after="0" w:line="312" w:lineRule="auto"/>
        <w:rPr>
          <w:sz w:val="20"/>
          <w:szCs w:val="20"/>
          <w:color w:val="auto"/>
        </w:rPr>
      </w:pPr>
      <w:r>
        <w:rPr>
          <w:rFonts w:ascii="Times New Roman" w:cs="Times New Roman" w:eastAsia="Times New Roman" w:hAnsi="Times New Roman"/>
          <w:sz w:val="11"/>
          <w:szCs w:val="11"/>
          <w:color w:val="auto"/>
        </w:rPr>
        <w:t>Right-of-use assets obtained in exchange for operating lease liabilities Property and equipment acquired through tenant improvement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-16510</wp:posOffset>
            </wp:positionV>
            <wp:extent cx="3535680" cy="10477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535680" cy="10477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1"/>
          <w:szCs w:val="11"/>
          <w:color w:val="auto"/>
        </w:rPr>
        <w:t>Vesting of early exercised stock options and unvested restricted shares of common stock</w:t>
      </w:r>
    </w:p>
    <w:p>
      <w:pPr>
        <w:spacing w:after="0" w:line="3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color w:val="auto"/>
        </w:rPr>
        <w:t>Purchases of property and equipment in other accrued expenses and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6985</wp:posOffset>
            </wp:positionV>
            <wp:extent cx="3535680" cy="10477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535680" cy="104775"/>
                    </a:xfrm>
                    <a:prstGeom prst="rect">
                      <a:avLst/>
                    </a:prstGeom>
                    <a:noFill/>
                  </pic:spPr>
                </pic:pic>
              </a:graphicData>
            </a:graphic>
          </wp:anchor>
        </w:drawing>
      </w:r>
    </w:p>
    <w:p>
      <w:pPr>
        <w:spacing w:after="0" w:line="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color w:val="auto"/>
        </w:rPr>
        <w:t>Recognition of derivative liability upon issuance of redeemable convertible preferred stock</w:t>
      </w:r>
    </w:p>
    <w:p>
      <w:pPr>
        <w:spacing w:after="0" w:line="3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color w:val="auto"/>
        </w:rPr>
        <w:t>Deferred offering costs in accounts payable and other accrued expenses and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6985</wp:posOffset>
            </wp:positionV>
            <wp:extent cx="3535680" cy="10477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535680" cy="104775"/>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b w:val="1"/>
          <w:bCs w:val="1"/>
          <w:color w:val="auto"/>
        </w:rPr>
        <w:t>Reconciliation of cash, cash equivalents and restricted cash:</w:t>
      </w:r>
    </w:p>
    <w:p>
      <w:pPr>
        <w:spacing w:after="0" w:line="4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6985</wp:posOffset>
            </wp:positionV>
            <wp:extent cx="3535680" cy="10477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535680" cy="104775"/>
                    </a:xfrm>
                    <a:prstGeom prst="rect">
                      <a:avLst/>
                    </a:prstGeom>
                    <a:noFill/>
                  </pic:spPr>
                </pic:pic>
              </a:graphicData>
            </a:graphic>
          </wp:anchor>
        </w:drawing>
      </w:r>
    </w:p>
    <w:p>
      <w:pPr>
        <w:spacing w:after="0" w:line="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color w:val="auto"/>
        </w:rPr>
        <w:t>Restricted cash</w:t>
      </w:r>
    </w:p>
    <w:p>
      <w:pPr>
        <w:spacing w:after="0" w:line="3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color w:val="auto"/>
        </w:rPr>
        <w:t>Restricted cash,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12700</wp:posOffset>
            </wp:positionV>
            <wp:extent cx="3535680" cy="1219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535680" cy="121920"/>
                    </a:xfrm>
                    <a:prstGeom prst="rect">
                      <a:avLst/>
                    </a:prstGeom>
                    <a:noFill/>
                  </pic:spPr>
                </pic:pic>
              </a:graphicData>
            </a:graphic>
          </wp:anchor>
        </w:drawing>
      </w:r>
    </w:p>
    <w:p>
      <w:pPr>
        <w:spacing w:after="0" w:line="3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color w:val="auto"/>
        </w:rPr>
        <w:t>Total cash, cash equivalents and restricted cash</w:t>
      </w:r>
    </w:p>
    <w:p>
      <w:pPr>
        <w:spacing w:after="0" w:line="20" w:lineRule="exact"/>
        <w:rPr>
          <w:sz w:val="20"/>
          <w:szCs w:val="20"/>
          <w:color w:val="auto"/>
        </w:rPr>
      </w:pPr>
      <w:r>
        <w:rPr>
          <w:sz w:val="20"/>
          <w:szCs w:val="20"/>
          <w:color w:val="auto"/>
        </w:rPr>
        <w:br w:type="column"/>
      </w:r>
    </w:p>
    <w:p>
      <w:pPr>
        <w:ind w:left="20"/>
        <w:spacing w:after="0"/>
        <w:tabs>
          <w:tab w:leader="none" w:pos="460" w:val="left"/>
          <w:tab w:leader="none" w:pos="940" w:val="left"/>
        </w:tabs>
        <w:rPr>
          <w:sz w:val="20"/>
          <w:szCs w:val="20"/>
          <w:color w:val="auto"/>
        </w:rPr>
      </w:pPr>
      <w:r>
        <w:rPr>
          <w:rFonts w:ascii="Times New Roman" w:cs="Times New Roman" w:eastAsia="Times New Roman" w:hAnsi="Times New Roman"/>
          <w:sz w:val="11"/>
          <w:szCs w:val="11"/>
          <w:b w:val="1"/>
          <w:bCs w:val="1"/>
          <w:color w:val="auto"/>
        </w:rPr>
        <w:t>​​​ ​</w:t>
      </w:r>
      <w:r>
        <w:rPr>
          <w:sz w:val="20"/>
          <w:szCs w:val="20"/>
          <w:color w:val="auto"/>
        </w:rPr>
        <w:tab/>
      </w:r>
      <w:r>
        <w:rPr>
          <w:rFonts w:ascii="Times New Roman" w:cs="Times New Roman" w:eastAsia="Times New Roman" w:hAnsi="Times New Roman"/>
          <w:sz w:val="11"/>
          <w:szCs w:val="11"/>
          <w:b w:val="1"/>
          <w:bCs w:val="1"/>
          <w:color w:val="auto"/>
        </w:rPr>
        <w:t>​​​​ ​</w:t>
      </w:r>
      <w:r>
        <w:rPr>
          <w:sz w:val="20"/>
          <w:szCs w:val="20"/>
          <w:color w:val="auto"/>
        </w:rPr>
        <w:tab/>
      </w:r>
      <w:r>
        <w:rPr>
          <w:rFonts w:ascii="Times New Roman" w:cs="Times New Roman" w:eastAsia="Times New Roman" w:hAnsi="Times New Roman"/>
          <w:sz w:val="11"/>
          <w:szCs w:val="11"/>
          <w:b w:val="1"/>
          <w:bCs w:val="1"/>
          <w:color w:val="auto"/>
        </w:rPr>
        <w:t>​</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​​​$(36,027)​​​​$ (49,849​)</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2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1,831​​​​</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2,657​</w:t>
            </w:r>
          </w:p>
        </w:tc>
      </w:tr>
      <w:tr>
        <w:trPr>
          <w:trHeight w:val="156"/>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847​​​​</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56"/>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758​</w:t>
            </w:r>
          </w:p>
        </w:tc>
      </w:tr>
      <w:tr>
        <w:trPr>
          <w:trHeight w:val="156"/>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w:t>
            </w:r>
          </w:p>
        </w:tc>
      </w:tr>
      <w:tr>
        <w:trPr>
          <w:trHeight w:val="156"/>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3,095​</w:t>
            </w:r>
          </w:p>
        </w:tc>
      </w:tr>
      <w:tr>
        <w:trPr>
          <w:trHeight w:val="156"/>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2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(792)​​​​</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9"/>
              </w:rPr>
              <w:t>(2,949​)</w:t>
            </w:r>
          </w:p>
        </w:tc>
      </w:tr>
      <w:tr>
        <w:trPr>
          <w:trHeight w:val="156"/>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(165​)</w:t>
            </w:r>
          </w:p>
        </w:tc>
      </w:tr>
      <w:tr>
        <w:trPr>
          <w:trHeight w:val="156"/>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5,715​</w:t>
            </w:r>
          </w:p>
        </w:tc>
      </w:tr>
      <w:tr>
        <w:trPr>
          <w:trHeight w:val="156"/>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1,268​​​​</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229​</w:t>
            </w:r>
          </w:p>
        </w:tc>
      </w:tr>
      <w:tr>
        <w:trPr>
          <w:trHeight w:val="156"/>
        </w:trPr>
        <w:tc>
          <w:tcPr>
            <w:tcW w:w="6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 ​ (1,831)​​​​</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9"/>
              </w:rPr>
              <w:t>(3,212​)</w:t>
            </w:r>
          </w:p>
        </w:tc>
      </w:tr>
      <w:tr>
        <w:trPr>
          <w:trHeight w:val="151"/>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(504​)</w:t>
            </w:r>
          </w:p>
        </w:tc>
      </w:tr>
      <w:tr>
        <w:trPr>
          <w:trHeight w:val="20"/>
        </w:trPr>
        <w:tc>
          <w:tcPr>
            <w:tcW w:w="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5"/>
        </w:trPr>
        <w:tc>
          <w:tcPr>
            <w:tcW w:w="6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 ​(34,668​​​)​</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​(44,262​)</w:t>
            </w: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9"/>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2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bl>
    <w:p>
      <w:pPr>
        <w:spacing w:after="0" w:line="5" w:lineRule="exact"/>
        <w:rPr>
          <w:sz w:val="20"/>
          <w:szCs w:val="20"/>
          <w:color w:val="auto"/>
        </w:rPr>
      </w:pPr>
    </w:p>
    <w:p>
      <w:pPr>
        <w:ind w:left="140" w:hanging="124"/>
        <w:spacing w:after="0"/>
        <w:tabs>
          <w:tab w:leader="none" w:pos="140" w:val="left"/>
        </w:tabs>
        <w:numPr>
          <w:ilvl w:val="0"/>
          <w:numId w:val="1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​36,250​​​​ ​  1,000​</w:t>
      </w:r>
    </w:p>
    <w:p>
      <w:pPr>
        <w:spacing w:after="0" w:line="29" w:lineRule="exact"/>
        <w:rPr>
          <w:rFonts w:ascii="Times New Roman" w:cs="Times New Roman" w:eastAsia="Times New Roman" w:hAnsi="Times New Roman"/>
          <w:sz w:val="11"/>
          <w:szCs w:val="11"/>
          <w:color w:val="auto"/>
        </w:rPr>
      </w:pPr>
    </w:p>
    <w:p>
      <w:pPr>
        <w:ind w:left="140" w:hanging="124"/>
        <w:spacing w:after="0"/>
        <w:tabs>
          <w:tab w:leader="none" w:pos="140" w:val="left"/>
        </w:tabs>
        <w:numPr>
          <w:ilvl w:val="0"/>
          <w:numId w:val="1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(4,890)​​​​ ​(19,655​)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(155​)</w:t>
            </w: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4"/>
        </w:trPr>
        <w:tc>
          <w:tcPr>
            <w:tcW w:w="6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 ​31,065​​​​</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​(18,810​)</w:t>
            </w:r>
          </w:p>
        </w:tc>
      </w:tr>
      <w:tr>
        <w:trPr>
          <w:trHeight w:val="20"/>
        </w:trPr>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9"/>
        </w:trPr>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2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75"/>
        </w:trPr>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​129,118​</w:t>
            </w:r>
          </w:p>
        </w:tc>
      </w:tr>
      <w:tr>
        <w:trPr>
          <w:trHeight w:val="165"/>
        </w:trPr>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w:t>
            </w:r>
          </w:p>
        </w:tc>
      </w:tr>
      <w:tr>
        <w:trPr>
          <w:trHeight w:val="160"/>
        </w:trPr>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4"/>
        </w:trPr>
        <w:tc>
          <w:tcPr>
            <w:tcW w:w="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w w:val="89"/>
              </w:rPr>
              <w:t>129,147​</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 w:lineRule="exact"/>
        <w:rPr>
          <w:sz w:val="20"/>
          <w:szCs w:val="20"/>
          <w:color w:val="auto"/>
        </w:rPr>
      </w:pPr>
    </w:p>
    <w:p>
      <w:pPr>
        <w:ind w:left="140" w:hanging="124"/>
        <w:spacing w:after="0"/>
        <w:tabs>
          <w:tab w:leader="none" w:pos="140" w:val="left"/>
        </w:tabs>
        <w:numPr>
          <w:ilvl w:val="0"/>
          <w:numId w:val="1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(3,654)​​​​ ​ 66,075​</w:t>
      </w:r>
    </w:p>
    <w:p>
      <w:pPr>
        <w:spacing w:after="0" w:line="38" w:lineRule="exact"/>
        <w:rPr>
          <w:rFonts w:ascii="Times New Roman" w:cs="Times New Roman" w:eastAsia="Times New Roman" w:hAnsi="Times New Roman"/>
          <w:sz w:val="11"/>
          <w:szCs w:val="11"/>
          <w:color w:val="auto"/>
        </w:rPr>
      </w:pPr>
    </w:p>
    <w:p>
      <w:pPr>
        <w:ind w:left="140" w:hanging="124"/>
        <w:spacing w:after="0"/>
        <w:tabs>
          <w:tab w:leader="none" w:pos="140" w:val="left"/>
        </w:tabs>
        <w:numPr>
          <w:ilvl w:val="0"/>
          <w:numId w:val="1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​26,954</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 ​ 47,133</w:t>
      </w:r>
      <w:r>
        <w:rPr>
          <w:rFonts w:ascii="Times New Roman" w:cs="Times New Roman" w:eastAsia="Times New Roman" w:hAnsi="Times New Roman"/>
          <w:sz w:val="11"/>
          <w:szCs w:val="11"/>
          <w:color w:val="auto"/>
        </w:rPr>
        <w:t>​</w:t>
      </w:r>
    </w:p>
    <w:p>
      <w:pPr>
        <w:spacing w:after="0" w:line="33" w:lineRule="exact"/>
        <w:rPr>
          <w:rFonts w:ascii="Times New Roman" w:cs="Times New Roman" w:eastAsia="Times New Roman" w:hAnsi="Times New Roman"/>
          <w:sz w:val="11"/>
          <w:szCs w:val="11"/>
          <w:color w:val="auto"/>
        </w:rPr>
      </w:pPr>
    </w:p>
    <w:p>
      <w:pPr>
        <w:ind w:left="20"/>
        <w:spacing w:after="0" w:line="191" w:lineRule="auto"/>
        <w:rPr>
          <w:rFonts w:ascii="Times New Roman" w:cs="Times New Roman" w:eastAsia="Times New Roman" w:hAnsi="Times New Roman"/>
          <w:sz w:val="11"/>
          <w:szCs w:val="11"/>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21"/>
          <w:szCs w:val="21"/>
          <w:u w:val="single" w:color="auto"/>
          <w:color w:val="auto"/>
          <w:vertAlign w:val="subscript"/>
        </w:rPr>
        <w:t>​</w:t>
      </w:r>
      <w:r>
        <w:rPr>
          <w:rFonts w:ascii="Times New Roman" w:cs="Times New Roman" w:eastAsia="Times New Roman" w:hAnsi="Times New Roman"/>
          <w:sz w:val="11"/>
          <w:szCs w:val="11"/>
          <w:u w:val="single" w:color="auto"/>
          <w:color w:val="auto"/>
        </w:rPr>
        <w:t>$ 23,300</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21"/>
          <w:szCs w:val="21"/>
          <w:u w:val="single" w:color="auto"/>
          <w:color w:val="auto"/>
          <w:vertAlign w:val="subscript"/>
        </w:rPr>
        <w:t>​</w:t>
      </w:r>
      <w:r>
        <w:rPr>
          <w:rFonts w:ascii="Times New Roman" w:cs="Times New Roman" w:eastAsia="Times New Roman" w:hAnsi="Times New Roman"/>
          <w:sz w:val="11"/>
          <w:szCs w:val="11"/>
          <w:u w:val="single" w:color="auto"/>
          <w:color w:val="auto"/>
        </w:rPr>
        <w:t>$113,208</w:t>
      </w:r>
      <w:r>
        <w:rPr>
          <w:rFonts w:ascii="Times New Roman" w:cs="Times New Roman" w:eastAsia="Times New Roman" w:hAnsi="Times New Roman"/>
          <w:sz w:val="21"/>
          <w:szCs w:val="21"/>
          <w:color w:val="auto"/>
          <w:vertAlign w:val="subscript"/>
        </w:rPr>
        <w:t>​</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5"/>
        </w:trPr>
        <w:tc>
          <w:tcPr>
            <w:tcW w:w="6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​​​$ 14,124​​​​$</w:t>
            </w: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4,148​​​​$</w:t>
            </w: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699​​​​$</w:t>
            </w: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r>
      <w:tr>
        <w:trPr>
          <w:trHeight w:val="165"/>
        </w:trPr>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w:t>
            </w:r>
          </w:p>
        </w:tc>
      </w:tr>
      <w:tr>
        <w:trPr>
          <w:trHeight w:val="165"/>
        </w:trPr>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8,913​</w:t>
            </w:r>
          </w:p>
        </w:tc>
      </w:tr>
      <w:tr>
        <w:trPr>
          <w:trHeight w:val="165"/>
        </w:trPr>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w:t>
            </w:r>
          </w:p>
        </w:tc>
      </w:tr>
      <w:tr>
        <w:trPr>
          <w:trHeight w:val="165"/>
        </w:trPr>
        <w:tc>
          <w:tcPr>
            <w:tcW w:w="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bl>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​​​$ 21,955​​​​$112,071​</w:t>
      </w:r>
    </w:p>
    <w:p>
      <w:pPr>
        <w:spacing w:after="0" w:line="38" w:lineRule="exact"/>
        <w:rPr>
          <w:sz w:val="20"/>
          <w:szCs w:val="20"/>
          <w:color w:val="auto"/>
        </w:rPr>
      </w:pPr>
    </w:p>
    <w:p>
      <w:pPr>
        <w:ind w:left="20"/>
        <w:spacing w:after="0"/>
        <w:tabs>
          <w:tab w:leader="none" w:pos="280" w:val="left"/>
          <w:tab w:leader="none" w:pos="780" w:val="left"/>
        </w:tabs>
        <w:rPr>
          <w:sz w:val="20"/>
          <w:szCs w:val="20"/>
          <w:color w:val="auto"/>
        </w:rPr>
      </w:pPr>
      <w:r>
        <w:rPr>
          <w:rFonts w:ascii="Times New Roman" w:cs="Times New Roman" w:eastAsia="Times New Roman" w:hAnsi="Times New Roman"/>
          <w:sz w:val="11"/>
          <w:szCs w:val="11"/>
          <w:color w:val="auto"/>
        </w:rPr>
        <w:t>​​​ ​</w:t>
        <w:tab/>
        <w:t>206​​​​ ​</w:t>
        <w:tab/>
        <w:t>113​</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 ​ 1,139</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 ​  1,024</w:t>
      </w:r>
      <w:r>
        <w:rPr>
          <w:rFonts w:ascii="Times New Roman" w:cs="Times New Roman" w:eastAsia="Times New Roman" w:hAnsi="Times New Roman"/>
          <w:sz w:val="11"/>
          <w:szCs w:val="11"/>
          <w:color w:val="auto"/>
        </w:rPr>
        <w:t>​</w:t>
      </w:r>
    </w:p>
    <w:p>
      <w:pPr>
        <w:ind w:left="20"/>
        <w:spacing w:after="0" w:line="224" w:lineRule="auto"/>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21"/>
          <w:szCs w:val="21"/>
          <w:u w:val="single" w:color="auto"/>
          <w:color w:val="auto"/>
          <w:vertAlign w:val="subscript"/>
        </w:rPr>
        <w:t>​</w:t>
      </w:r>
      <w:r>
        <w:rPr>
          <w:rFonts w:ascii="Times New Roman" w:cs="Times New Roman" w:eastAsia="Times New Roman" w:hAnsi="Times New Roman"/>
          <w:sz w:val="11"/>
          <w:szCs w:val="11"/>
          <w:u w:val="single" w:color="auto"/>
          <w:color w:val="auto"/>
        </w:rPr>
        <w:t>$ 23,300</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21"/>
          <w:szCs w:val="21"/>
          <w:u w:val="single" w:color="auto"/>
          <w:color w:val="auto"/>
          <w:vertAlign w:val="subscript"/>
        </w:rPr>
        <w:t>​</w:t>
      </w:r>
      <w:r>
        <w:rPr>
          <w:rFonts w:ascii="Times New Roman" w:cs="Times New Roman" w:eastAsia="Times New Roman" w:hAnsi="Times New Roman"/>
          <w:sz w:val="11"/>
          <w:szCs w:val="11"/>
          <w:u w:val="single" w:color="auto"/>
          <w:color w:val="auto"/>
        </w:rPr>
        <w:t>$113,208</w:t>
      </w:r>
      <w:r>
        <w:rPr>
          <w:rFonts w:ascii="Times New Roman" w:cs="Times New Roman" w:eastAsia="Times New Roman" w:hAnsi="Times New Roman"/>
          <w:sz w:val="21"/>
          <w:szCs w:val="21"/>
          <w:color w:val="auto"/>
          <w:vertAlign w:val="subscript"/>
        </w:rPr>
        <w:t>​</w:t>
      </w:r>
    </w:p>
    <w:p>
      <w:pPr>
        <w:spacing w:after="0" w:line="139" w:lineRule="exact"/>
        <w:rPr>
          <w:sz w:val="20"/>
          <w:szCs w:val="20"/>
          <w:color w:val="auto"/>
        </w:rPr>
      </w:pPr>
    </w:p>
    <w:p>
      <w:pPr>
        <w:sectPr>
          <w:pgSz w:w="11900" w:h="16838" w:orient="portrait"/>
          <w:cols w:equalWidth="0" w:num="2">
            <w:col w:w="6160" w:space="160"/>
            <w:col w:w="2699"/>
          </w:cols>
          <w:pgMar w:left="1440" w:top="106"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245" w:name="page246"/>
    <w:bookmarkEnd w:id="245"/>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 Organization and Nature of the Business</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Organization and Business</w:t>
      </w:r>
    </w:p>
    <w:p>
      <w:pPr>
        <w:spacing w:after="0" w:line="111"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Alumis Inc. (the “Company”) is a clinical stage biopharmaceutical company focused on identifying, acquiring, and accelerating the development and commercialization of transformative medicines for autoimmune disorders. The Company leverages its proprietary precision data analytics platform, biological insights, and a team of experts with deep experience in precision medicine drug discovery, development, and immunology, to create medicines that significantly improve the lives of patients by replacing broad immunosuppression with targeted therapies.</w:t>
      </w:r>
    </w:p>
    <w:p>
      <w:pPr>
        <w:spacing w:after="0" w:line="224"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The Company was founded on January 29, 2021 as a Delaware corporation under the name FL2021-001, Inc. FL2021-001, Inc.’s name was changed to Esker Therapeutics, Inc. on March 8, 2021 and to Alumis Inc. on January 6, 2022. The Company is headquartered in South San Francisco, California.</w:t>
      </w:r>
    </w:p>
    <w:p>
      <w:pPr>
        <w:spacing w:after="0" w:line="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The Company has two wholly owned subsidiaries, FronThera U.S. Holdings, Inc. and FronThera U.S.</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Pharmaceuticals LLC. These subsidiaries do not have any operations.</w:t>
      </w:r>
    </w:p>
    <w:p>
      <w:pPr>
        <w:spacing w:after="0" w:line="14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Liquidity and Going Concern</w:t>
      </w:r>
    </w:p>
    <w:p>
      <w:pPr>
        <w:spacing w:after="0" w:line="111"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The Company has incurred negative operating cash flows and significant losses from operations since its inception. For the three months ended March 31, 2023 and 2024, the Company incurred net losses of $36.0 million and $49.8 million, respectively. Cash used in operating activities was $34.7 million and $44.3 million for the three months ended March 31, 2023 and 2024, respectively. As of March 31, 2024, the Company had an accumulated deficit of $414.2 million.</w:t>
      </w:r>
    </w:p>
    <w:p>
      <w:pPr>
        <w:spacing w:after="0" w:line="77"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The Company has historically financed its operations primarily through issuance of redeemable convertible preferred stock and convertible promissory notes in private placements. The Company expects to continue to incur substantial losses for the foreseeable future, and its ability to achieve and sustain profitability will depend on the successful development, approval, and commercialization of any product candidates it may develop, and on the achievement of sufficient revenue to support its cost structure. The Company may never achieve profitability and, unless and until it does, it will need to continue to raise additional capital. As of March 31, 2024, the Company had cash, cash equivalents and marketable securities of $133.7 million. In connection with the Series C redeemable convertible preferred stock financing closed in March 2024, at the discretion of the Company’s board of directors, the Company is obligated to sell and Series C investors are obligated to purchase up to $129.5 million worth of additional shares of Series C redeemable convertible preferred stock on the same terms and at the same purchase price per share as in the first tranche Series C closing on or before the earliest of (i) December 31, 2024, (ii) the execution of a letter of intent for the sale of the Company, or (iii) the closing date of the Company’s initial public offering (the “Second Tranche Series C Closing”). The Second Tranche Series C Closing is subject to certain conditions and events as described in Note 8, Redeemable Convertible Preferred Stock.</w:t>
      </w:r>
    </w:p>
    <w:p>
      <w:pPr>
        <w:spacing w:after="0" w:line="221"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Management expects that existing cash, cash equivalents and marketable securities are not sufficient to fund its current operating plan for at least the next 12 months from the date of issuance of these condensed consolidated financial statements. Additional funds are necessary to maintain current operations and to continue research and development activities. The Company’s management plans to monitor expenses and may raise additional capital through a combination of public and private equity, debt financings, strategic alliances, and licensing arrangements. The Company’s ability to access capital when needed is not assured and, if capital is not available to the Company when, and in the amounts, needed, on the terms which are favorable, the Company could be required to delay, scale back, or abandon some or all of its development programs and other operations, which could materially harm the Company’s business, financial condition and results of operations. These factors raise substantial doubt about the Company’s ability to continue as a going concern.</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46" w:name="page247"/>
    <w:bookmarkEnd w:id="24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 (Continued)</w:t>
      </w:r>
    </w:p>
    <w:p>
      <w:pPr>
        <w:spacing w:after="0" w:line="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 Organization and Nature of the Business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Liquidity and Going Concern (Continued)</w:t>
      </w:r>
    </w:p>
    <w:p>
      <w:pPr>
        <w:spacing w:after="0" w:line="157"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The accompanying condensed consolidated financial statements have been prepared assuming that the Company will continue as a going concern, which contemplates the realization of assets and satisfaction of liabilities in the normal course of business. The accompanying condensed consolidated financial statements do not reflect any adjustments relating to the recoverability and reclassifications of assets and liabilities that might be necessary if the Company is unable to continue as a going concern.</w:t>
      </w:r>
    </w:p>
    <w:p>
      <w:pPr>
        <w:spacing w:after="0" w:line="1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and Basis of Presentation</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Basis of Presentation</w:t>
      </w:r>
    </w:p>
    <w:p>
      <w:pPr>
        <w:spacing w:after="0" w:line="75"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The condensed consolidated financial statements and accompanying notes are unaudited and have been prepared in accordance with accounting principles generally accepted in the United States of America (“U.S. GAAP”) and applicable rules and regulations of the Securities and Exchange Commission (the “SEC”) regarding interim financial reporting.</w:t>
      </w:r>
    </w:p>
    <w:p>
      <w:pPr>
        <w:spacing w:after="0" w:line="38"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The Company’s condensed consolidated financial statements include the accounts of FronThera U.S. Holdings, Inc. and FronThera U.S. Pharmaceuticals LLC, two wholly owned subsidiaries, and all intercompany transactions are eliminated.</w:t>
      </w:r>
    </w:p>
    <w:p>
      <w:pPr>
        <w:spacing w:after="0" w:line="1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Unaudited Interim Financial Information</w:t>
      </w:r>
    </w:p>
    <w:p>
      <w:pPr>
        <w:spacing w:after="0" w:line="65"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The condensed consolidated balance sheet as of December 31, 2023 was derived from the Company’s audited consolidated financial statements. The accompanying unaudited interim condensed consolidated financial statements as of March 31, 2024 and for the three months ended March 31, 2023 and 2024, have been prepared by the Company, pursuant to the rules and regulations of the SEC for interim financial statements. Certain information and footnote disclosures normally included in financial statements prepared in accordance with U.S. GAAP have been condensed or omitted pursuant to such rules and regulations. However, the Company believes that the disclosures are adequate to make the information presented not misleading. Accordingly, these unaudited interim condensed consolidated financial statements should be read in conjunction with the audited consolidated financial statements as of and for the year ended December 31, 2023. In the opinion of management, all adjustments, consisting only of normal recurring adjustments necessary for a fair statement of the Company’s condensed consolidated financial position as of March 31, 2024 and condensed consolidated results of operations, condensed consolidated statements of redeemable convertible preferred stock and stockholders’ deficit and condensed consolidated cash flows for the three months ended March 31, 2023 and 2024 have been made. The results of operations for the three months ended March 31, 2024 are not necessarily indicative of the results of operations that may be expected for the year ending December 31, 2024.</w:t>
      </w:r>
    </w:p>
    <w:p>
      <w:pPr>
        <w:spacing w:after="0" w:line="27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Use of Estimates</w:t>
      </w:r>
    </w:p>
    <w:p>
      <w:pPr>
        <w:spacing w:after="0" w:line="75"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expenses during the reporting period. On an ongoing basis, the Company evaluates estimates and assumptions, including but not limited to those related to the fair value of its common and redeemable convertible preferred stock, the fair value of derivative liability, stock-based compensation expense, accruals for research and development expenses and the valuation of deferred tax assets.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47" w:name="page248"/>
    <w:bookmarkEnd w:id="24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 (Continued)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and Basis of Presentation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Segment and Geographical Information</w:t>
      </w:r>
    </w:p>
    <w:p>
      <w:pPr>
        <w:spacing w:after="0" w:line="111" w:lineRule="exact"/>
        <w:rPr>
          <w:sz w:val="20"/>
          <w:szCs w:val="20"/>
          <w:color w:val="auto"/>
        </w:rPr>
      </w:pPr>
    </w:p>
    <w:p>
      <w:pPr>
        <w:jc w:val="both"/>
        <w:ind w:left="1720" w:right="1739"/>
        <w:spacing w:after="0" w:line="252" w:lineRule="auto"/>
        <w:rPr>
          <w:sz w:val="20"/>
          <w:szCs w:val="20"/>
          <w:color w:val="auto"/>
        </w:rPr>
      </w:pPr>
      <w:r>
        <w:rPr>
          <w:rFonts w:ascii="Times New Roman" w:cs="Times New Roman" w:eastAsia="Times New Roman" w:hAnsi="Times New Roman"/>
          <w:sz w:val="12"/>
          <w:szCs w:val="12"/>
          <w:color w:val="auto"/>
        </w:rPr>
        <w:t>The Company operates and manages its business as one reportable and operating segment, which is the business of developing medicines for autoimmune disorders. The chief executive officer, who is the chief operating decision maker, reviews financial information on an aggregate basis for purposes of allocating resources and evaluating financial performance. All of the Company’s long-lived assets are located in the United States.</w:t>
      </w:r>
    </w:p>
    <w:p>
      <w:pPr>
        <w:spacing w:after="0" w:line="27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Concentration of Credit Risk</w:t>
      </w:r>
    </w:p>
    <w:p>
      <w:pPr>
        <w:spacing w:after="0" w:line="102" w:lineRule="exact"/>
        <w:rPr>
          <w:sz w:val="20"/>
          <w:szCs w:val="20"/>
          <w:color w:val="auto"/>
        </w:rPr>
      </w:pPr>
    </w:p>
    <w:p>
      <w:pPr>
        <w:jc w:val="both"/>
        <w:ind w:left="1720" w:right="1739"/>
        <w:spacing w:after="0" w:line="255" w:lineRule="auto"/>
        <w:rPr>
          <w:sz w:val="20"/>
          <w:szCs w:val="20"/>
          <w:color w:val="auto"/>
        </w:rPr>
      </w:pPr>
      <w:r>
        <w:rPr>
          <w:rFonts w:ascii="Times New Roman" w:cs="Times New Roman" w:eastAsia="Times New Roman" w:hAnsi="Times New Roman"/>
          <w:sz w:val="12"/>
          <w:szCs w:val="12"/>
          <w:color w:val="auto"/>
        </w:rPr>
        <w:t>Financial instruments which potentially subject the Company to concentration of credit risk consist primarily of cash, investments in marketable securities and restricted cash. The Company maintains bank deposits in federally insured financial institutions and these deposits exceed federally insured limits. To date, the Company has not experienced any losses on its deposits of cash and periodically evaluates the creditworthiness of its financial institutions.</w:t>
      </w:r>
    </w:p>
    <w:p>
      <w:pPr>
        <w:spacing w:after="0" w:line="73"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The Company also invests in money market funds and U.S. treasuries, which are subject to certain credit risks. The Company mitigates the risks by investing in high-grade instruments, limiting its exposure to any one issuer and monitoring the ongoing creditworthiness of the financial institutions and issuers. The Company has not experienced any loss of principal on its financial instruments.</w:t>
      </w:r>
    </w:p>
    <w:p>
      <w:pPr>
        <w:spacing w:after="0" w:line="11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Risks and Uncertainties</w:t>
      </w:r>
    </w:p>
    <w:p>
      <w:pPr>
        <w:spacing w:after="0" w:line="111"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The Company is subject to certain risks and uncertainties, including, but not limited to, changes in any of the following areas that the Company believes could have a material adverse effect on the future financial position or results of operations: the Company’s ability to advance the development of its proprietary precision data analytics platform, timing and ability to advance its product candidates through preclinical and clinical development; costs and timelines associated with the manufacturing of clinical supplies; regulatory approval, market acceptance of, and reimbursement for, any product candidates the Company may develop; performance of third-party vendors; competition from pharmaceutical or other biotechnology companies with greater financial resources or expertise; protection of intellectual property; litigation or claims against the Company based on intellectual property or other factors; and its ability to attract and retain employees necessary to support its growth.</w:t>
      </w:r>
    </w:p>
    <w:p>
      <w:pPr>
        <w:spacing w:after="0" w:line="220"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The Company’s business and operations may be affected by worldwide economic conditions, which may continue to be impacted by global macroeconomic challenges, such as the effects of the ongoing military conflicts in Ukraine, Israel, and the Middle East, tensions in U.S.-China relations, uncertainty in the markets, including disruptions in the banking industry, the COVID-19 pandemic and inflationary trends. Fiscal year 2023 was marked by significant market uncertainty and increasing inflationary pressures. These market dynamics continue into 2024, and these and similar adverse market conditions may negatively impact the Company’s business, financial position and results of operations.</w:t>
      </w:r>
    </w:p>
    <w:p>
      <w:pPr>
        <w:spacing w:after="0" w:line="1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w:t>
      </w:r>
    </w:p>
    <w:p>
      <w:pPr>
        <w:spacing w:after="0" w:line="102" w:lineRule="exact"/>
        <w:rPr>
          <w:sz w:val="20"/>
          <w:szCs w:val="20"/>
          <w:color w:val="auto"/>
        </w:rPr>
      </w:pPr>
    </w:p>
    <w:p>
      <w:pPr>
        <w:jc w:val="both"/>
        <w:ind w:left="1720" w:right="1739"/>
        <w:spacing w:after="0" w:line="250" w:lineRule="auto"/>
        <w:rPr>
          <w:sz w:val="20"/>
          <w:szCs w:val="20"/>
          <w:color w:val="auto"/>
        </w:rPr>
      </w:pPr>
      <w:r>
        <w:rPr>
          <w:rFonts w:ascii="Times New Roman" w:cs="Times New Roman" w:eastAsia="Times New Roman" w:hAnsi="Times New Roman"/>
          <w:sz w:val="12"/>
          <w:szCs w:val="12"/>
          <w:color w:val="auto"/>
        </w:rPr>
        <w:t>From time to time, new accounting pronouncements are issued by the FASB or other standard setting bodies and adopted by the Company as of the specified effective date. The Company qualifies as an “emerging growth company” as defined in the Jumpstart Our Business Startups Act of 2012, as amended (the “JOBS Act”), and has elected not to “opt out” of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48" w:name="page249"/>
    <w:bookmarkEnd w:id="24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 (Continued)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and Basis of Presentation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 (Continued)</w:t>
      </w:r>
    </w:p>
    <w:p>
      <w:pPr>
        <w:spacing w:after="0" w:line="157"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emerging growth company. The Company may choose to early adopt any new or revised accounting standards whenever such early adoption is permitted for nonpublic companies.</w:t>
      </w:r>
    </w:p>
    <w:p>
      <w:pPr>
        <w:spacing w:after="0" w:line="9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Recently Issued and not Yet Adopted Accounting Pronouncements</w:t>
      </w:r>
    </w:p>
    <w:p>
      <w:pPr>
        <w:spacing w:after="0" w:line="109"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 xml:space="preserve">In November 2023, the FASB issued ASU 2023-07, </w:t>
      </w:r>
      <w:r>
        <w:rPr>
          <w:rFonts w:ascii="Times New Roman" w:cs="Times New Roman" w:eastAsia="Times New Roman" w:hAnsi="Times New Roman"/>
          <w:sz w:val="12"/>
          <w:szCs w:val="12"/>
          <w:i w:val="1"/>
          <w:iCs w:val="1"/>
          <w:color w:val="auto"/>
        </w:rPr>
        <w:t>Segment Reporting (Topic 280): Improvements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Reportable Segment Disclosures</w:t>
      </w:r>
      <w:r>
        <w:rPr>
          <w:rFonts w:ascii="Times New Roman" w:cs="Times New Roman" w:eastAsia="Times New Roman" w:hAnsi="Times New Roman"/>
          <w:sz w:val="12"/>
          <w:szCs w:val="12"/>
          <w:color w:val="auto"/>
        </w:rPr>
        <w:t>. This ASU requires public entities to disclose information about their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reportable segments’ significant expenses and other segment items on an interim and annual basis. Public entities with a single reportable segment are required to apply the disclosure requirements in ASU 2023 -07,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is currently evaluating the impact of adopting ASU 2023-07 on its condensed consolidated financial statements.</w:t>
      </w:r>
    </w:p>
    <w:p>
      <w:pPr>
        <w:spacing w:after="0" w:line="219" w:lineRule="exact"/>
        <w:rPr>
          <w:sz w:val="20"/>
          <w:szCs w:val="20"/>
          <w:color w:val="auto"/>
        </w:rPr>
      </w:pPr>
    </w:p>
    <w:p>
      <w:pPr>
        <w:jc w:val="both"/>
        <w:ind w:left="1720" w:right="1739"/>
        <w:spacing w:after="0" w:line="253" w:lineRule="auto"/>
        <w:rPr>
          <w:sz w:val="20"/>
          <w:szCs w:val="20"/>
          <w:color w:val="auto"/>
        </w:rPr>
      </w:pPr>
      <w:r>
        <w:rPr>
          <w:rFonts w:ascii="Times New Roman" w:cs="Times New Roman" w:eastAsia="Times New Roman" w:hAnsi="Times New Roman"/>
          <w:sz w:val="12"/>
          <w:szCs w:val="12"/>
          <w:color w:val="auto"/>
        </w:rPr>
        <w:t xml:space="preserve">In December 2023, the FASB issued ASU No. 2023-09, </w:t>
      </w:r>
      <w:r>
        <w:rPr>
          <w:rFonts w:ascii="Times New Roman" w:cs="Times New Roman" w:eastAsia="Times New Roman" w:hAnsi="Times New Roman"/>
          <w:sz w:val="12"/>
          <w:szCs w:val="12"/>
          <w:i w:val="1"/>
          <w:iCs w:val="1"/>
          <w:color w:val="auto"/>
        </w:rPr>
        <w:t>Income Taxes (Topic 740): Improvements to Income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Tax Disclosures</w:t>
      </w:r>
      <w:r>
        <w:rPr>
          <w:rFonts w:ascii="Times New Roman" w:cs="Times New Roman" w:eastAsia="Times New Roman" w:hAnsi="Times New Roman"/>
          <w:sz w:val="12"/>
          <w:szCs w:val="12"/>
          <w:color w:val="auto"/>
        </w:rPr>
        <w:t>, which requires the disclosure of specific categories in the rate reconciliation and greater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disaggregation for income taxes paid. This standard is effective for annual periods beginning after December 15, 2024 and should be adopted prospectively with the option to be adopted retrospectively. The Company is currently evaluating the impact of this standard on its disclosure in its condensed consolidated financial statements.</w:t>
      </w:r>
    </w:p>
    <w:p>
      <w:pPr>
        <w:spacing w:after="0" w:line="2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3. Fair Value Measurements</w:t>
      </w:r>
    </w:p>
    <w:p>
      <w:pPr>
        <w:spacing w:after="0" w:line="111"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The Company discloses and recognizes the fair value of its assets and liabilities using a hierarchy that prioritizes the inputs to valuation techniques used to measure fair value. The guidance establishes three levels of the fair value hierarchy as follows:</w:t>
      </w:r>
    </w:p>
    <w:p>
      <w:pPr>
        <w:spacing w:after="0" w:line="6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Level 1—Quoted prices in active markets for identical assets or liabilities.</w:t>
      </w:r>
    </w:p>
    <w:p>
      <w:pPr>
        <w:spacing w:after="0" w:line="100"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7"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Level 3—Unobservable inputs that are supported by little or no market activity and that are significant to the fair value of the assets or liabilities.</w:t>
      </w:r>
    </w:p>
    <w:p>
      <w:pPr>
        <w:spacing w:after="0" w:line="59" w:lineRule="exact"/>
        <w:rPr>
          <w:sz w:val="20"/>
          <w:szCs w:val="20"/>
          <w:color w:val="auto"/>
        </w:rPr>
      </w:pPr>
    </w:p>
    <w:p>
      <w:pPr>
        <w:jc w:val="both"/>
        <w:ind w:left="1720" w:right="1739"/>
        <w:spacing w:after="0" w:line="253" w:lineRule="auto"/>
        <w:rPr>
          <w:sz w:val="20"/>
          <w:szCs w:val="20"/>
          <w:color w:val="auto"/>
        </w:rPr>
      </w:pPr>
      <w:r>
        <w:rPr>
          <w:rFonts w:ascii="Times New Roman" w:cs="Times New Roman" w:eastAsia="Times New Roman" w:hAnsi="Times New Roman"/>
          <w:sz w:val="12"/>
          <w:szCs w:val="12"/>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 The Company recognizes transfers into and out of levels within the fair value hierarchy in the period in which the actual event or change in circumstances that caused the transfer occurs.</w:t>
      </w:r>
    </w:p>
    <w:p>
      <w:pPr>
        <w:spacing w:after="0" w:line="216"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The Company’s financial instruments consist of Level 1, Level 2 and Level 3 financial instruments. Changes in the ability to observe valuation inputs may result in a reclassification of levels of certain securities within the fair value hierarchy.</w:t>
      </w:r>
    </w:p>
    <w:p>
      <w:pPr>
        <w:spacing w:after="0" w:line="70"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Level 1 financial instruments are comprised of money market funds and U.S. treasuries. Level 2 financial instruments are comprised of U.S. treasuries. Level 3 financial instruments include a derivative liability issued in March 2024 in connection with the closing of the initial tranche of the Series C redeemable convertible preferred stock financing.</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49" w:name="page250"/>
    <w:bookmarkEnd w:id="24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 (Continued)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3. Fair Value Measurements (Continued)</w:t>
      </w:r>
    </w:p>
    <w:p>
      <w:pPr>
        <w:spacing w:after="0" w:line="157"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The following tables represent the Company’s fair value hierarchy for financial assets and liabilities measured at fair value on a recurring basis as of December 31, 2023 and March 31, 2024 (in thousands):</w:t>
      </w:r>
    </w:p>
    <w:p>
      <w:pPr>
        <w:spacing w:after="0" w:line="74" w:lineRule="exact"/>
        <w:rPr>
          <w:sz w:val="20"/>
          <w:szCs w:val="20"/>
          <w:color w:val="auto"/>
        </w:rPr>
      </w:pPr>
    </w:p>
    <w:tbl>
      <w:tblPr>
        <w:tblLayout w:type="fixed"/>
        <w:tblInd w:w="1720" w:type="dxa"/>
        <w:tblCellMar>
          <w:top w:w="0" w:type="dxa"/>
          <w:left w:w="0" w:type="dxa"/>
          <w:bottom w:w="0" w:type="dxa"/>
          <w:right w:w="0" w:type="dxa"/>
        </w:tblCellMar>
      </w:tblPr>
      <w:tr>
        <w:trPr>
          <w:trHeight w:val="154"/>
        </w:trPr>
        <w:tc>
          <w:tcPr>
            <w:tcW w:w="32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204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0"/>
                <w:szCs w:val="10"/>
                <w:b w:val="1"/>
                <w:bCs w:val="1"/>
                <w:color w:val="auto"/>
                <w:w w:val="93"/>
              </w:rPr>
              <w:t>Fair Value Measurements as of December 31, 2023</w:t>
            </w:r>
          </w:p>
        </w:tc>
        <w:tc>
          <w:tcPr>
            <w:tcW w:w="20" w:type="dxa"/>
            <w:vAlign w:val="bottom"/>
            <w:tcBorders>
              <w:bottom w:val="single" w:sz="8" w:color="auto"/>
            </w:tcBorders>
          </w:tcPr>
          <w:p>
            <w:pPr>
              <w:spacing w:after="0"/>
              <w:rPr>
                <w:sz w:val="13"/>
                <w:szCs w:val="13"/>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54"/>
        </w:trPr>
        <w:tc>
          <w:tcPr>
            <w:tcW w:w="32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gridSpan w:val="4"/>
          </w:tcPr>
          <w:p>
            <w:pPr>
              <w:jc w:val="right"/>
              <w:spacing w:after="0" w:line="154" w:lineRule="exact"/>
              <w:rPr>
                <w:sz w:val="20"/>
                <w:szCs w:val="20"/>
                <w:color w:val="auto"/>
              </w:rPr>
            </w:pPr>
            <w:r>
              <w:rPr>
                <w:rFonts w:ascii="Times New Roman" w:cs="Times New Roman" w:eastAsia="Times New Roman" w:hAnsi="Times New Roman"/>
                <w:sz w:val="9"/>
                <w:szCs w:val="9"/>
                <w:b w:val="1"/>
                <w:bCs w:val="1"/>
                <w:color w:val="auto"/>
              </w:rPr>
              <w:t xml:space="preserve">Level 2  </w:t>
            </w:r>
            <w:r>
              <w:rPr>
                <w:rFonts w:ascii="Times New Roman" w:cs="Times New Roman" w:eastAsia="Times New Roman" w:hAnsi="Times New Roman"/>
                <w:sz w:val="17"/>
                <w:szCs w:val="17"/>
                <w:b w:val="1"/>
                <w:bCs w:val="1"/>
                <w:color w:val="auto"/>
                <w:vertAlign w:val="subscript"/>
              </w:rPr>
              <w:t>​</w:t>
            </w:r>
          </w:p>
        </w:tc>
        <w:tc>
          <w:tcPr>
            <w:tcW w:w="40" w:type="dxa"/>
            <w:vAlign w:val="bottom"/>
          </w:tcPr>
          <w:p>
            <w:pPr>
              <w:spacing w:after="0"/>
              <w:rPr>
                <w:sz w:val="13"/>
                <w:szCs w:val="13"/>
                <w:color w:val="auto"/>
              </w:rPr>
            </w:pPr>
          </w:p>
        </w:tc>
        <w:tc>
          <w:tcPr>
            <w:tcW w:w="400" w:type="dxa"/>
            <w:vAlign w:val="bottom"/>
            <w:gridSpan w:val="5"/>
          </w:tcPr>
          <w:p>
            <w:pPr>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 xml:space="preserve"> Level 3</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20" w:type="dxa"/>
            <w:vAlign w:val="bottom"/>
          </w:tcPr>
          <w:p>
            <w:pPr>
              <w:spacing w:after="0"/>
              <w:rPr>
                <w:sz w:val="13"/>
                <w:szCs w:val="13"/>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60" w:type="dxa"/>
            <w:vAlign w:val="bottom"/>
            <w:vMerge w:val="continue"/>
          </w:tcPr>
          <w:p>
            <w:pPr>
              <w:spacing w:after="0"/>
              <w:rPr>
                <w:sz w:val="14"/>
                <w:szCs w:val="14"/>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 ​ ​</w:t>
            </w:r>
          </w:p>
        </w:tc>
        <w:tc>
          <w:tcPr>
            <w:tcW w:w="200" w:type="dxa"/>
            <w:vAlign w:val="bottom"/>
          </w:tcPr>
          <w:p>
            <w:pPr>
              <w:spacing w:after="0"/>
              <w:rPr>
                <w:sz w:val="14"/>
                <w:szCs w:val="14"/>
                <w:color w:val="auto"/>
              </w:rPr>
            </w:pPr>
          </w:p>
        </w:tc>
        <w:tc>
          <w:tcPr>
            <w:tcW w:w="24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80" w:type="dxa"/>
            <w:vAlign w:val="bottom"/>
          </w:tcPr>
          <w:p>
            <w:pPr>
              <w:spacing w:after="0"/>
              <w:rPr>
                <w:sz w:val="14"/>
                <w:szCs w:val="14"/>
                <w:color w:val="auto"/>
              </w:rPr>
            </w:pPr>
          </w:p>
        </w:tc>
        <w:tc>
          <w:tcPr>
            <w:tcW w:w="80" w:type="dxa"/>
            <w:vAlign w:val="bottom"/>
          </w:tcPr>
          <w:p>
            <w:pPr>
              <w:jc w:val="right"/>
              <w:ind w:right="5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 ​ ​</w:t>
            </w:r>
          </w:p>
        </w:tc>
        <w:tc>
          <w:tcPr>
            <w:tcW w:w="320" w:type="dxa"/>
            <w:vAlign w:val="bottom"/>
          </w:tcPr>
          <w:p>
            <w:pPr>
              <w:spacing w:after="0"/>
              <w:rPr>
                <w:sz w:val="14"/>
                <w:szCs w:val="14"/>
                <w:color w:val="auto"/>
              </w:rPr>
            </w:pPr>
          </w:p>
        </w:tc>
        <w:tc>
          <w:tcPr>
            <w:tcW w:w="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326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Cash equivalents</w:t>
            </w:r>
          </w:p>
        </w:tc>
        <w:tc>
          <w:tcPr>
            <w:tcW w:w="420" w:type="dxa"/>
            <w:vAlign w:val="bottom"/>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 ​ ​ ​</w:t>
            </w:r>
          </w:p>
        </w:tc>
        <w:tc>
          <w:tcPr>
            <w:tcW w:w="200" w:type="dxa"/>
            <w:vAlign w:val="bottom"/>
          </w:tcPr>
          <w:p>
            <w:pPr>
              <w:spacing w:after="0"/>
              <w:rPr>
                <w:sz w:val="15"/>
                <w:szCs w:val="15"/>
                <w:color w:val="auto"/>
              </w:rPr>
            </w:pPr>
          </w:p>
        </w:tc>
        <w:tc>
          <w:tcPr>
            <w:tcW w:w="24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Pr>
          <w:p>
            <w:pPr>
              <w:spacing w:after="0"/>
              <w:rPr>
                <w:sz w:val="15"/>
                <w:szCs w:val="15"/>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80" w:type="dxa"/>
            <w:vAlign w:val="bottom"/>
          </w:tcPr>
          <w:p>
            <w:pPr>
              <w:spacing w:after="0"/>
              <w:rPr>
                <w:sz w:val="15"/>
                <w:szCs w:val="15"/>
                <w:color w:val="auto"/>
              </w:rPr>
            </w:pPr>
          </w:p>
        </w:tc>
        <w:tc>
          <w:tcPr>
            <w:tcW w:w="80" w:type="dxa"/>
            <w:vAlign w:val="bottom"/>
          </w:tcPr>
          <w:p>
            <w:pPr>
              <w:jc w:val="right"/>
              <w:ind w:right="5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 ​ ​</w:t>
            </w:r>
          </w:p>
        </w:tc>
        <w:tc>
          <w:tcPr>
            <w:tcW w:w="320" w:type="dxa"/>
            <w:vAlign w:val="bottom"/>
          </w:tcPr>
          <w:p>
            <w:pPr>
              <w:spacing w:after="0"/>
              <w:rPr>
                <w:sz w:val="15"/>
                <w:szCs w:val="15"/>
                <w:color w:val="auto"/>
              </w:rPr>
            </w:pPr>
          </w:p>
        </w:tc>
        <w:tc>
          <w:tcPr>
            <w:tcW w:w="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Money market funds</w:t>
            </w:r>
          </w:p>
        </w:tc>
        <w:tc>
          <w:tcPr>
            <w:tcW w:w="860" w:type="dxa"/>
            <w:vAlign w:val="bottom"/>
            <w:tcBorders>
              <w:right w:val="single" w:sz="8" w:color="CCEEFF"/>
            </w:tcBorders>
            <w:gridSpan w:val="9"/>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 ​ ​$21,310 ​​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 ​ ​$21,310</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32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U.S. treasuries</w:t>
            </w:r>
          </w:p>
        </w:tc>
        <w:tc>
          <w:tcPr>
            <w:tcW w:w="860" w:type="dxa"/>
            <w:vAlign w:val="bottom"/>
            <w:gridSpan w:val="9"/>
          </w:tcPr>
          <w:p>
            <w:pPr>
              <w:ind w:left="80"/>
              <w:spacing w:after="0"/>
              <w:rPr>
                <w:sz w:val="20"/>
                <w:szCs w:val="20"/>
                <w:color w:val="auto"/>
              </w:rPr>
            </w:pPr>
            <w:r>
              <w:rPr>
                <w:rFonts w:ascii="Times New Roman" w:cs="Times New Roman" w:eastAsia="Times New Roman" w:hAnsi="Times New Roman"/>
                <w:sz w:val="12"/>
                <w:szCs w:val="12"/>
                <w:color w:val="auto"/>
              </w:rPr>
              <w:t>​ ​ ​ ​ 2,000 ​​ ​</w:t>
            </w:r>
          </w:p>
        </w:tc>
        <w:tc>
          <w:tcPr>
            <w:tcW w:w="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 —</w:t>
            </w:r>
          </w:p>
        </w:tc>
        <w:tc>
          <w:tcPr>
            <w:tcW w:w="2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6"/>
          </w:tcPr>
          <w:p>
            <w:pPr>
              <w:jc w:val="right"/>
              <w:spacing w:after="0"/>
              <w:rPr>
                <w:sz w:val="20"/>
                <w:szCs w:val="20"/>
                <w:color w:val="auto"/>
              </w:rPr>
            </w:pPr>
            <w:r>
              <w:rPr>
                <w:rFonts w:ascii="Times New Roman" w:cs="Times New Roman" w:eastAsia="Times New Roman" w:hAnsi="Times New Roman"/>
                <w:sz w:val="12"/>
                <w:szCs w:val="12"/>
                <w:color w:val="auto"/>
              </w:rPr>
              <w:t xml:space="preserve">​​ ​ ​ ​ 2,000 </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326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Marketable securities</w:t>
            </w:r>
          </w:p>
        </w:tc>
        <w:tc>
          <w:tcPr>
            <w:tcW w:w="420" w:type="dxa"/>
            <w:vAlign w:val="bottom"/>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 ​ ​ ​</w:t>
            </w:r>
          </w:p>
        </w:tc>
        <w:tc>
          <w:tcPr>
            <w:tcW w:w="200" w:type="dxa"/>
            <w:vAlign w:val="bottom"/>
          </w:tcPr>
          <w:p>
            <w:pPr>
              <w:spacing w:after="0"/>
              <w:rPr>
                <w:sz w:val="15"/>
                <w:szCs w:val="15"/>
                <w:color w:val="auto"/>
              </w:rPr>
            </w:pPr>
          </w:p>
        </w:tc>
        <w:tc>
          <w:tcPr>
            <w:tcW w:w="24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Pr>
          <w:p>
            <w:pPr>
              <w:spacing w:after="0"/>
              <w:rPr>
                <w:sz w:val="15"/>
                <w:szCs w:val="15"/>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80" w:type="dxa"/>
            <w:vAlign w:val="bottom"/>
          </w:tcPr>
          <w:p>
            <w:pPr>
              <w:spacing w:after="0"/>
              <w:rPr>
                <w:sz w:val="15"/>
                <w:szCs w:val="15"/>
                <w:color w:val="auto"/>
              </w:rPr>
            </w:pPr>
          </w:p>
        </w:tc>
        <w:tc>
          <w:tcPr>
            <w:tcW w:w="80" w:type="dxa"/>
            <w:vAlign w:val="bottom"/>
          </w:tcPr>
          <w:p>
            <w:pPr>
              <w:jc w:val="right"/>
              <w:ind w:right="5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 ​ ​</w:t>
            </w:r>
          </w:p>
        </w:tc>
        <w:tc>
          <w:tcPr>
            <w:tcW w:w="320" w:type="dxa"/>
            <w:vAlign w:val="bottom"/>
          </w:tcPr>
          <w:p>
            <w:pPr>
              <w:spacing w:after="0"/>
              <w:rPr>
                <w:sz w:val="15"/>
                <w:szCs w:val="15"/>
                <w:color w:val="auto"/>
              </w:rPr>
            </w:pPr>
          </w:p>
        </w:tc>
        <w:tc>
          <w:tcPr>
            <w:tcW w:w="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3"/>
        </w:trPr>
        <w:tc>
          <w:tcPr>
            <w:tcW w:w="32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U.S. treasuries</w:t>
            </w:r>
          </w:p>
        </w:tc>
        <w:tc>
          <w:tcPr>
            <w:tcW w:w="860" w:type="dxa"/>
            <w:vAlign w:val="bottom"/>
            <w:gridSpan w:val="9"/>
          </w:tcPr>
          <w:p>
            <w:pPr>
              <w:ind w:left="80"/>
              <w:spacing w:after="0" w:line="184" w:lineRule="exact"/>
              <w:rPr>
                <w:sz w:val="20"/>
                <w:szCs w:val="20"/>
                <w:color w:val="auto"/>
              </w:rPr>
            </w:pPr>
            <w:r>
              <w:rPr>
                <w:rFonts w:ascii="Times New Roman" w:cs="Times New Roman" w:eastAsia="Times New Roman" w:hAnsi="Times New Roman"/>
                <w:sz w:val="11"/>
                <w:szCs w:val="11"/>
                <w:color w:val="auto"/>
              </w:rPr>
              <w:t xml:space="preserve">​ ​ ​ </w:t>
            </w:r>
            <w:r>
              <w:rPr>
                <w:rFonts w:ascii="Times New Roman" w:cs="Times New Roman" w:eastAsia="Times New Roman" w:hAnsi="Times New Roman"/>
                <w:sz w:val="21"/>
                <w:szCs w:val="21"/>
                <w:color w:val="auto"/>
                <w:vertAlign w:val="superscript"/>
              </w:rPr>
              <w:t>​ 1,958</w:t>
            </w:r>
            <w:r>
              <w:rPr>
                <w:rFonts w:ascii="Times New Roman" w:cs="Times New Roman" w:eastAsia="Times New Roman" w:hAnsi="Times New Roman"/>
                <w:sz w:val="11"/>
                <w:szCs w:val="11"/>
                <w:color w:val="auto"/>
              </w:rPr>
              <w:t xml:space="preserve"> ​​ ​</w:t>
            </w:r>
          </w:p>
        </w:tc>
        <w:tc>
          <w:tcPr>
            <w:tcW w:w="240" w:type="dxa"/>
            <w:vAlign w:val="bottom"/>
            <w:gridSpan w:val="2"/>
          </w:tcPr>
          <w:p>
            <w:pP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​998</w:t>
            </w:r>
          </w:p>
        </w:tc>
        <w:tc>
          <w:tcPr>
            <w:tcW w:w="2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3"/>
          </w:tcPr>
          <w:p>
            <w:pP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660" w:type="dxa"/>
            <w:vAlign w:val="bottom"/>
            <w:gridSpan w:val="6"/>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bscript"/>
              </w:rPr>
              <w:t>​​ ​ ​</w:t>
            </w:r>
            <w:r>
              <w:rPr>
                <w:rFonts w:ascii="Times New Roman" w:cs="Times New Roman" w:eastAsia="Times New Roman" w:hAnsi="Times New Roman"/>
                <w:sz w:val="11"/>
                <w:szCs w:val="11"/>
                <w:color w:val="auto"/>
              </w:rPr>
              <w:t xml:space="preserve"> ​ 2,956 </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326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gridSpan w:val="2"/>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assets</w:t>
            </w:r>
          </w:p>
        </w:tc>
        <w:tc>
          <w:tcPr>
            <w:tcW w:w="860" w:type="dxa"/>
            <w:vAlign w:val="bottom"/>
            <w:tcBorders>
              <w:right w:val="single" w:sz="8" w:color="CCEEFF"/>
            </w:tcBorders>
            <w:gridSpan w:val="9"/>
            <w:shd w:val="clear" w:color="auto" w:fill="CCEEFF"/>
          </w:tcPr>
          <w:p>
            <w:pPr>
              <w:ind w:left="80"/>
              <w:spacing w:after="0" w:line="164" w:lineRule="exact"/>
              <w:rPr>
                <w:sz w:val="20"/>
                <w:szCs w:val="20"/>
                <w:color w:val="auto"/>
              </w:rPr>
            </w:pPr>
            <w:r>
              <w:rPr>
                <w:rFonts w:ascii="Times New Roman" w:cs="Times New Roman" w:eastAsia="Times New Roman" w:hAnsi="Times New Roman"/>
                <w:sz w:val="18"/>
                <w:szCs w:val="18"/>
                <w:color w:val="auto"/>
                <w:vertAlign w:val="subscript"/>
              </w:rPr>
              <w:t>​ ​ ​</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 xml:space="preserve">25,268 </w:t>
            </w:r>
            <w:r>
              <w:rPr>
                <w:rFonts w:ascii="Times New Roman" w:cs="Times New Roman" w:eastAsia="Times New Roman" w:hAnsi="Times New Roman"/>
                <w:sz w:val="18"/>
                <w:szCs w:val="18"/>
                <w:color w:val="auto"/>
                <w:vertAlign w:val="subscript"/>
              </w:rPr>
              <w:t>​​ ​</w:t>
            </w:r>
          </w:p>
        </w:tc>
        <w:tc>
          <w:tcPr>
            <w:tcW w:w="420" w:type="dxa"/>
            <w:vAlign w:val="bottom"/>
            <w:gridSpan w:val="5"/>
            <w:shd w:val="clear" w:color="auto" w:fill="CCEEFF"/>
          </w:tcPr>
          <w:p>
            <w:pPr>
              <w:jc w:val="right"/>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 xml:space="preserve">998 </w:t>
            </w:r>
            <w:r>
              <w:rPr>
                <w:rFonts w:ascii="Times New Roman" w:cs="Times New Roman" w:eastAsia="Times New Roman" w:hAnsi="Times New Roman"/>
                <w:sz w:val="18"/>
                <w:szCs w:val="18"/>
                <w:color w:val="auto"/>
                <w:vertAlign w:val="subscript"/>
              </w:rPr>
              <w:t>​​</w:t>
            </w:r>
          </w:p>
        </w:tc>
        <w:tc>
          <w:tcPr>
            <w:tcW w:w="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right w:val="single" w:sz="8" w:color="CCEEFF"/>
            </w:tcBorders>
            <w:gridSpan w:val="3"/>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w:t>
            </w:r>
          </w:p>
        </w:tc>
        <w:tc>
          <w:tcPr>
            <w:tcW w:w="620" w:type="dxa"/>
            <w:vAlign w:val="bottom"/>
            <w:gridSpan w:val="4"/>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vertAlign w:val="subscript"/>
              </w:rPr>
              <w:t>​​ ​ ​</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26,266</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right w:val="single" w:sz="8" w:color="auto"/>
            </w:tcBorders>
          </w:tcPr>
          <w:p>
            <w:pPr>
              <w:spacing w:after="0" w:line="20" w:lineRule="exact"/>
              <w:rPr>
                <w:sz w:val="1"/>
                <w:szCs w:val="1"/>
                <w:color w:val="auto"/>
              </w:rPr>
            </w:pPr>
          </w:p>
        </w:tc>
        <w:tc>
          <w:tcPr>
            <w:tcW w:w="380" w:type="dxa"/>
            <w:vAlign w:val="bottom"/>
            <w:tcBorders>
              <w:top w:val="single" w:sz="8" w:color="auto"/>
            </w:tcBorders>
            <w:gridSpan w:val="2"/>
            <w:shd w:val="clear" w:color="auto" w:fill="000000"/>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gridSpan w:val="2"/>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gridSpan w:val="2"/>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32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19"/>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w w:val="94"/>
              </w:rPr>
              <w:t>Fair Value Measurements as of March 31, 2024</w:t>
            </w:r>
          </w:p>
        </w:tc>
        <w:tc>
          <w:tcPr>
            <w:tcW w:w="20" w:type="dxa"/>
            <w:vAlign w:val="bottom"/>
            <w:tcBorders>
              <w:bottom w:val="single" w:sz="8" w:color="auto"/>
            </w:tcBorders>
          </w:tcPr>
          <w:p>
            <w:pPr>
              <w:spacing w:after="0"/>
              <w:rPr>
                <w:sz w:val="24"/>
                <w:szCs w:val="24"/>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54"/>
        </w:trPr>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w w:val="71"/>
              </w:rPr>
              <w:t>Level 2</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0"/>
                <w:szCs w:val="10"/>
                <w:b w:val="1"/>
                <w:bCs w:val="1"/>
                <w:color w:val="auto"/>
                <w:w w:val="97"/>
              </w:rPr>
              <w:t>Level 3</w:t>
            </w:r>
          </w:p>
        </w:tc>
        <w:tc>
          <w:tcPr>
            <w:tcW w:w="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20" w:type="dxa"/>
            <w:vAlign w:val="bottom"/>
            <w:tcBorders>
              <w:bottom w:val="single" w:sz="8" w:color="auto"/>
            </w:tcBorders>
          </w:tcPr>
          <w:p>
            <w:pPr>
              <w:spacing w:after="0"/>
              <w:rPr>
                <w:sz w:val="13"/>
                <w:szCs w:val="13"/>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6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 ​</w:t>
            </w: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326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Cash equivalents</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 ​</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Money market funds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56,750​​</w:t>
            </w: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4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56,750</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32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U.S. treasuries</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 ​ 54,591​​</w:t>
            </w:r>
          </w:p>
        </w:tc>
        <w:tc>
          <w:tcPr>
            <w:tcW w:w="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Pr>
          <w:p>
            <w:pPr>
              <w:spacing w:after="0"/>
              <w:rPr>
                <w:sz w:val="15"/>
                <w:szCs w:val="15"/>
                <w:color w:val="auto"/>
              </w:rPr>
            </w:pPr>
          </w:p>
        </w:tc>
        <w:tc>
          <w:tcPr>
            <w:tcW w:w="820" w:type="dxa"/>
            <w:vAlign w:val="bottom"/>
            <w:gridSpan w:val="8"/>
          </w:tcPr>
          <w:p>
            <w:pPr>
              <w:jc w:val="right"/>
              <w:spacing w:after="0"/>
              <w:rPr>
                <w:sz w:val="20"/>
                <w:szCs w:val="20"/>
                <w:color w:val="auto"/>
              </w:rPr>
            </w:pPr>
            <w:r>
              <w:rPr>
                <w:rFonts w:ascii="Times New Roman" w:cs="Times New Roman" w:eastAsia="Times New Roman" w:hAnsi="Times New Roman"/>
                <w:sz w:val="12"/>
                <w:szCs w:val="12"/>
                <w:color w:val="auto"/>
              </w:rPr>
              <w:t>—​​ ​​ ​ 54,591​</w:t>
            </w:r>
          </w:p>
        </w:tc>
        <w:tc>
          <w:tcPr>
            <w:tcW w:w="0" w:type="dxa"/>
            <w:vAlign w:val="bottom"/>
          </w:tcPr>
          <w:p>
            <w:pPr>
              <w:spacing w:after="0"/>
              <w:rPr>
                <w:sz w:val="1"/>
                <w:szCs w:val="1"/>
                <w:color w:val="auto"/>
              </w:rPr>
            </w:pPr>
          </w:p>
        </w:tc>
      </w:tr>
      <w:tr>
        <w:trPr>
          <w:trHeight w:val="174"/>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Marketable securities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 ​</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3"/>
        </w:trPr>
        <w:tc>
          <w:tcPr>
            <w:tcW w:w="32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U.S. treasuries</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6"/>
          </w:tcPr>
          <w:p>
            <w:pP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19,673</w:t>
            </w:r>
            <w:r>
              <w:rPr>
                <w:rFonts w:ascii="Times New Roman" w:cs="Times New Roman" w:eastAsia="Times New Roman" w:hAnsi="Times New Roman"/>
                <w:sz w:val="21"/>
                <w:szCs w:val="21"/>
                <w:color w:val="auto"/>
                <w:vertAlign w:val="subscript"/>
              </w:rPr>
              <w:t>​​</w:t>
            </w:r>
          </w:p>
        </w:tc>
        <w:tc>
          <w:tcPr>
            <w:tcW w:w="500" w:type="dxa"/>
            <w:vAlign w:val="bottom"/>
            <w:gridSpan w:val="6"/>
          </w:tcPr>
          <w:p>
            <w:pP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​1,983</w:t>
            </w:r>
            <w:r>
              <w:rPr>
                <w:rFonts w:ascii="Times New Roman" w:cs="Times New Roman" w:eastAsia="Times New Roman" w:hAnsi="Times New Roman"/>
                <w:sz w:val="21"/>
                <w:szCs w:val="21"/>
                <w:color w:val="auto"/>
                <w:vertAlign w:val="subscript"/>
              </w:rPr>
              <w:t>​​</w:t>
            </w:r>
          </w:p>
        </w:tc>
        <w:tc>
          <w:tcPr>
            <w:tcW w:w="160" w:type="dxa"/>
            <w:vAlign w:val="bottom"/>
            <w:gridSpan w:val="3"/>
          </w:tcPr>
          <w:p>
            <w:pPr>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120" w:type="dxa"/>
            <w:vAlign w:val="bottom"/>
          </w:tcPr>
          <w:p>
            <w:pPr>
              <w:spacing w:after="0"/>
              <w:rPr>
                <w:sz w:val="15"/>
                <w:szCs w:val="15"/>
                <w:color w:val="auto"/>
              </w:rPr>
            </w:pPr>
          </w:p>
        </w:tc>
        <w:tc>
          <w:tcPr>
            <w:tcW w:w="820" w:type="dxa"/>
            <w:vAlign w:val="bottom"/>
            <w:gridSpan w:val="8"/>
          </w:tcPr>
          <w:p>
            <w:pPr>
              <w:jc w:val="right"/>
              <w:spacing w:after="0" w:line="184"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1"/>
                <w:szCs w:val="11"/>
                <w:color w:val="auto"/>
              </w:rPr>
              <w:t xml:space="preserve"> ​ 21,656</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20"/>
        </w:trPr>
        <w:tc>
          <w:tcPr>
            <w:tcW w:w="3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assets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6"/>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131,014</w:t>
            </w:r>
            <w:r>
              <w:rPr>
                <w:rFonts w:ascii="Times New Roman" w:cs="Times New Roman" w:eastAsia="Times New Roman" w:hAnsi="Times New Roman"/>
                <w:sz w:val="18"/>
                <w:szCs w:val="18"/>
                <w:color w:val="auto"/>
                <w:vertAlign w:val="subscript"/>
              </w:rPr>
              <w:t>​​</w:t>
            </w:r>
          </w:p>
        </w:tc>
        <w:tc>
          <w:tcPr>
            <w:tcW w:w="500" w:type="dxa"/>
            <w:vAlign w:val="bottom"/>
            <w:gridSpan w:val="6"/>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1,983</w:t>
            </w:r>
            <w:r>
              <w:rPr>
                <w:rFonts w:ascii="Times New Roman" w:cs="Times New Roman" w:eastAsia="Times New Roman" w:hAnsi="Times New Roman"/>
                <w:sz w:val="18"/>
                <w:szCs w:val="18"/>
                <w:color w:val="auto"/>
                <w:vertAlign w:val="subscript"/>
              </w:rPr>
              <w:t>​​</w:t>
            </w:r>
          </w:p>
        </w:tc>
        <w:tc>
          <w:tcPr>
            <w:tcW w:w="160" w:type="dxa"/>
            <w:vAlign w:val="bottom"/>
            <w:tcBorders>
              <w:right w:val="single" w:sz="8" w:color="CCEEFF"/>
            </w:tcBorders>
            <w:gridSpan w:val="3"/>
            <w:shd w:val="clear" w:color="auto" w:fill="CCEEFF"/>
          </w:tcPr>
          <w:p>
            <w:pPr>
              <w:spacing w:after="0" w:line="164"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vertAlign w:val="superscript"/>
              </w:rPr>
              <w:t>$</w:t>
            </w:r>
          </w:p>
        </w:tc>
        <w:tc>
          <w:tcPr>
            <w:tcW w:w="120" w:type="dxa"/>
            <w:vAlign w:val="bottom"/>
            <w:shd w:val="clear" w:color="auto" w:fill="CCEEFF"/>
          </w:tcPr>
          <w:p>
            <w:pPr>
              <w:spacing w:after="0"/>
              <w:rPr>
                <w:sz w:val="14"/>
                <w:szCs w:val="14"/>
                <w:color w:val="auto"/>
              </w:rPr>
            </w:pPr>
          </w:p>
        </w:tc>
        <w:tc>
          <w:tcPr>
            <w:tcW w:w="780" w:type="dxa"/>
            <w:vAlign w:val="bottom"/>
            <w:gridSpan w:val="6"/>
            <w:shd w:val="clear" w:color="auto" w:fill="CCEEFF"/>
          </w:tcPr>
          <w:p>
            <w:pPr>
              <w:jc w:val="right"/>
              <w:spacing w:after="0" w:line="164"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132,997</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20" w:type="dxa"/>
            <w:vAlign w:val="bottom"/>
            <w:tcBorders>
              <w:top w:val="single" w:sz="8" w:color="CCEEFF"/>
            </w:tcBorders>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gridSpan w:val="2"/>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gridSpan w:val="2"/>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line="20" w:lineRule="exact"/>
              <w:rPr>
                <w:sz w:val="1"/>
                <w:szCs w:val="1"/>
                <w:color w:val="auto"/>
              </w:rPr>
            </w:pPr>
          </w:p>
        </w:tc>
      </w:tr>
      <w:tr>
        <w:trPr>
          <w:trHeight w:val="143"/>
        </w:trPr>
        <w:tc>
          <w:tcPr>
            <w:tcW w:w="32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2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 ​</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Derivative liability</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CEEFF"/>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18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24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260" w:type="dxa"/>
            <w:vAlign w:val="bottom"/>
            <w:gridSpan w:val="3"/>
            <w:shd w:val="clear" w:color="auto" w:fill="CCEEFF"/>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720" w:type="dxa"/>
            <w:vAlign w:val="bottom"/>
            <w:gridSpan w:val="8"/>
            <w:shd w:val="clear" w:color="auto" w:fill="CCEEFF"/>
          </w:tcPr>
          <w:p>
            <w:pP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12,008</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1"/>
                <w:szCs w:val="11"/>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12,008</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3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380" w:type="dxa"/>
            <w:vAlign w:val="bottom"/>
            <w:tcBorders>
              <w:right w:val="single" w:sz="8" w:color="auto"/>
            </w:tcBorders>
            <w:gridSpan w:val="4"/>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2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liabilities</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line="164"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vertAlign w:val="superscript"/>
              </w:rPr>
              <w:t>$</w:t>
            </w:r>
          </w:p>
        </w:tc>
        <w:tc>
          <w:tcPr>
            <w:tcW w:w="180" w:type="dxa"/>
            <w:vAlign w:val="bottom"/>
          </w:tcPr>
          <w:p>
            <w:pPr>
              <w:spacing w:after="0"/>
              <w:rPr>
                <w:sz w:val="14"/>
                <w:szCs w:val="14"/>
                <w:color w:val="auto"/>
              </w:rPr>
            </w:pPr>
          </w:p>
        </w:tc>
        <w:tc>
          <w:tcPr>
            <w:tcW w:w="320" w:type="dxa"/>
            <w:vAlign w:val="bottom"/>
            <w:gridSpan w:val="3"/>
          </w:tcPr>
          <w:p>
            <w:pPr>
              <w:jc w:val="right"/>
              <w:spacing w:after="0" w:line="164"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0"/>
                <w:szCs w:val="10"/>
                <w:color w:val="auto"/>
              </w:rPr>
              <w:t>​​</w:t>
            </w:r>
          </w:p>
        </w:tc>
        <w:tc>
          <w:tcPr>
            <w:tcW w:w="240" w:type="dxa"/>
            <w:vAlign w:val="bottom"/>
            <w:gridSpan w:val="3"/>
          </w:tcPr>
          <w:p>
            <w:pPr>
              <w:spacing w:after="0" w:line="164"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vertAlign w:val="superscript"/>
              </w:rPr>
              <w:t>$</w:t>
            </w:r>
          </w:p>
        </w:tc>
        <w:tc>
          <w:tcPr>
            <w:tcW w:w="260" w:type="dxa"/>
            <w:vAlign w:val="bottom"/>
            <w:gridSpan w:val="3"/>
          </w:tcPr>
          <w:p>
            <w:pPr>
              <w:jc w:val="right"/>
              <w:spacing w:after="0" w:line="164"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0"/>
                <w:szCs w:val="10"/>
                <w:color w:val="auto"/>
              </w:rPr>
              <w:t>​​</w:t>
            </w:r>
          </w:p>
        </w:tc>
        <w:tc>
          <w:tcPr>
            <w:tcW w:w="720" w:type="dxa"/>
            <w:vAlign w:val="bottom"/>
            <w:gridSpan w:val="8"/>
          </w:tcPr>
          <w:p>
            <w:pPr>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12,008</w:t>
            </w: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0"/>
                <w:szCs w:val="10"/>
                <w:color w:val="auto"/>
              </w:rPr>
              <w:t>$</w:t>
            </w:r>
          </w:p>
        </w:tc>
        <w:tc>
          <w:tcPr>
            <w:tcW w:w="380" w:type="dxa"/>
            <w:vAlign w:val="bottom"/>
            <w:gridSpan w:val="4"/>
          </w:tcPr>
          <w:p>
            <w:pPr>
              <w:jc w:val="right"/>
              <w:spacing w:after="0" w:line="164" w:lineRule="exact"/>
              <w:rPr>
                <w:sz w:val="20"/>
                <w:szCs w:val="20"/>
                <w:color w:val="auto"/>
              </w:rPr>
            </w:pPr>
            <w:r>
              <w:rPr>
                <w:rFonts w:ascii="Times New Roman" w:cs="Times New Roman" w:eastAsia="Times New Roman" w:hAnsi="Times New Roman"/>
                <w:sz w:val="10"/>
                <w:szCs w:val="10"/>
                <w:color w:val="auto"/>
              </w:rPr>
              <w:t>12,008</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-1854835</wp:posOffset>
            </wp:positionV>
            <wp:extent cx="3535680" cy="1104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535680" cy="110490"/>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-1627505</wp:posOffset>
            </wp:positionV>
            <wp:extent cx="23495" cy="57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349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-1627505</wp:posOffset>
            </wp:positionV>
            <wp:extent cx="3256915"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25691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-2302510</wp:posOffset>
            </wp:positionV>
            <wp:extent cx="3535680" cy="1162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535680" cy="116205"/>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-499745</wp:posOffset>
            </wp:positionV>
            <wp:extent cx="99060" cy="57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9906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-499745</wp:posOffset>
            </wp:positionV>
            <wp:extent cx="2884805"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884805" cy="5715"/>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-1174115</wp:posOffset>
            </wp:positionV>
            <wp:extent cx="93345"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-1174115</wp:posOffset>
            </wp:positionV>
            <wp:extent cx="2878455" cy="5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878455" cy="5715"/>
                    </a:xfrm>
                    <a:prstGeom prst="rect">
                      <a:avLst/>
                    </a:prstGeom>
                    <a:noFill/>
                  </pic:spPr>
                </pic:pic>
              </a:graphicData>
            </a:graphic>
          </wp:anchor>
        </w:drawing>
      </w:r>
    </w:p>
    <w:p>
      <w:pPr>
        <w:spacing w:after="0" w:line="123"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In connection with the Series C redeemable convertible preferred stock financing in March 2024, the Company issued to investors two freestanding financial instruments: the Series C second tranche option liability and the put right option liability (see Note 8 for details). The Company estimated their fair value using a Black-Scholes option pricing model weighted by the probability of each option exercise until the expiration date, December 31, 2024. Significant estimates and assumptions impacting the derivative liability fair value include the probability of each option exercise, preferred stock fair value, estimated stock volatility and the expected term. Significant increases (decreases) in any of those inputs in isolation may result in a significantly higher (lower) fair value measurement.</w:t>
      </w:r>
    </w:p>
    <w:p>
      <w:pPr>
        <w:spacing w:after="0" w:line="227"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The following table provides a roll-forward of the fair value of the Company’s Level 3 financial instrument, the derivative liability, for the three months ended March 31, 2024 (in thousands):</w:t>
      </w:r>
    </w:p>
    <w:p>
      <w:pPr>
        <w:sectPr>
          <w:pgSz w:w="11900" w:h="16838" w:orient="portrait"/>
          <w:cols w:equalWidth="0" w:num="1">
            <w:col w:w="9019"/>
          </w:cols>
          <w:pgMar w:left="1440" w:top="106" w:right="1440" w:bottom="1440" w:gutter="0" w:footer="0" w:header="0"/>
        </w:sectPr>
      </w:pPr>
    </w:p>
    <w:p>
      <w:pPr>
        <w:spacing w:after="0" w:line="6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Balance​ as of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-73025</wp:posOffset>
            </wp:positionV>
            <wp:extent cx="3535680" cy="8128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535680" cy="81280"/>
                    </a:xfrm>
                    <a:prstGeom prst="rect">
                      <a:avLst/>
                    </a:prstGeom>
                    <a:noFill/>
                  </pic:spPr>
                </pic:pic>
              </a:graphicData>
            </a:graphic>
          </wp:anchor>
        </w:drawing>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Fair​ value upon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535680" cy="1219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535680" cy="121920"/>
                    </a:xfrm>
                    <a:prstGeom prst="rect">
                      <a:avLst/>
                    </a:prstGeom>
                    <a:noFill/>
                  </pic:spPr>
                </pic:pic>
              </a:graphicData>
            </a:graphic>
          </wp:anchor>
        </w:drawing>
      </w:r>
    </w:p>
    <w:p>
      <w:pPr>
        <w:ind w:left="1720"/>
        <w:spacing w:after="0" w:line="190" w:lineRule="auto"/>
        <w:rPr>
          <w:sz w:val="20"/>
          <w:szCs w:val="20"/>
          <w:color w:val="auto"/>
        </w:rPr>
      </w:pPr>
      <w:r>
        <w:rPr>
          <w:rFonts w:ascii="Times New Roman" w:cs="Times New Roman" w:eastAsia="Times New Roman" w:hAnsi="Times New Roman"/>
          <w:sz w:val="12"/>
          <w:szCs w:val="12"/>
          <w:color w:val="auto"/>
        </w:rPr>
        <w:t>Changes</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color w:val="auto"/>
        </w:rPr>
        <w:t xml:space="preserve"> in fair value .</w:t>
      </w:r>
    </w:p>
    <w:p>
      <w:pPr>
        <w:ind w:left="1720"/>
        <w:spacing w:after="0" w:line="183" w:lineRule="auto"/>
        <w:rPr>
          <w:sz w:val="20"/>
          <w:szCs w:val="20"/>
          <w:color w:val="auto"/>
        </w:rPr>
      </w:pPr>
      <w:r>
        <w:rPr>
          <w:rFonts w:ascii="Times New Roman" w:cs="Times New Roman" w:eastAsia="Times New Roman" w:hAnsi="Times New Roman"/>
          <w:sz w:val="12"/>
          <w:szCs w:val="12"/>
          <w:color w:val="auto"/>
        </w:rPr>
        <w:t>Balance</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color w:val="auto"/>
        </w:rPr>
        <w:t xml:space="preserve"> as of March 31, 2024</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2"/>
          <w:szCs w:val="12"/>
          <w:color w:val="auto"/>
        </w:rPr>
        <w:t>​ ​​$</w:t>
      </w:r>
      <w:r>
        <w:rPr>
          <w:sz w:val="20"/>
          <w:szCs w:val="20"/>
          <w:color w:val="auto"/>
        </w:rPr>
        <w:tab/>
      </w:r>
      <w:r>
        <w:rPr>
          <w:rFonts w:ascii="Times New Roman" w:cs="Times New Roman" w:eastAsia="Times New Roman" w:hAnsi="Times New Roman"/>
          <w:sz w:val="12"/>
          <w:szCs w:val="12"/>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 ​ 8,913​</w:t>
      </w:r>
    </w:p>
    <w:p>
      <w:pPr>
        <w:spacing w:after="0" w:line="190" w:lineRule="auto"/>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24"/>
          <w:szCs w:val="24"/>
          <w:u w:val="single" w:color="auto"/>
          <w:color w:val="auto"/>
          <w:vertAlign w:val="subscript"/>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 3,095</w:t>
      </w:r>
      <w:r>
        <w:rPr>
          <w:rFonts w:ascii="Times New Roman" w:cs="Times New Roman" w:eastAsia="Times New Roman" w:hAnsi="Times New Roman"/>
          <w:sz w:val="24"/>
          <w:szCs w:val="24"/>
          <w:color w:val="auto"/>
          <w:vertAlign w:val="subscript"/>
        </w:rPr>
        <w:t>​</w:t>
      </w:r>
    </w:p>
    <w:p>
      <w:pPr>
        <w:spacing w:after="0" w:line="183" w:lineRule="auto"/>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24"/>
          <w:szCs w:val="24"/>
          <w:u w:val="single" w:color="auto"/>
          <w:color w:val="auto"/>
          <w:vertAlign w:val="subscript"/>
        </w:rPr>
        <w:t>​</w:t>
      </w:r>
      <w:r>
        <w:rPr>
          <w:rFonts w:ascii="Times New Roman" w:cs="Times New Roman" w:eastAsia="Times New Roman" w:hAnsi="Times New Roman"/>
          <w:sz w:val="12"/>
          <w:szCs w:val="12"/>
          <w:u w:val="single" w:color="auto"/>
          <w:color w:val="auto"/>
        </w:rPr>
        <w:t>$12,008</w:t>
      </w:r>
      <w:r>
        <w:rPr>
          <w:rFonts w:ascii="Times New Roman" w:cs="Times New Roman" w:eastAsia="Times New Roman" w:hAnsi="Times New Roman"/>
          <w:sz w:val="24"/>
          <w:szCs w:val="24"/>
          <w:color w:val="auto"/>
          <w:vertAlign w:val="subscript"/>
        </w:rPr>
        <w:t>​</w:t>
      </w:r>
    </w:p>
    <w:p>
      <w:pPr>
        <w:spacing w:after="0" w:line="200" w:lineRule="exact"/>
        <w:rPr>
          <w:sz w:val="20"/>
          <w:szCs w:val="20"/>
          <w:color w:val="auto"/>
        </w:rPr>
      </w:pPr>
    </w:p>
    <w:p>
      <w:pPr>
        <w:sectPr>
          <w:pgSz w:w="11900" w:h="16838" w:orient="portrait"/>
          <w:cols w:equalWidth="0" w:num="2">
            <w:col w:w="6060" w:space="720"/>
            <w:col w:w="2239"/>
          </w:cols>
          <w:pgMar w:left="1440" w:top="106" w:right="1440" w:bottom="1440" w:gutter="0" w:footer="0" w:header="0"/>
          <w:type w:val="continuous"/>
        </w:sectPr>
      </w:pPr>
    </w:p>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250" w:name="page251"/>
    <w:bookmarkEnd w:id="25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 (Continued)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3. Fair Value Measurements (Continued)</w:t>
      </w:r>
    </w:p>
    <w:p>
      <w:pPr>
        <w:spacing w:after="0" w:line="157" w:lineRule="exact"/>
        <w:rPr>
          <w:sz w:val="20"/>
          <w:szCs w:val="20"/>
          <w:color w:val="auto"/>
        </w:rPr>
      </w:pPr>
    </w:p>
    <w:p>
      <w:pPr>
        <w:ind w:left="1720" w:right="1739"/>
        <w:spacing w:after="0" w:line="291" w:lineRule="auto"/>
        <w:rPr>
          <w:sz w:val="20"/>
          <w:szCs w:val="20"/>
          <w:color w:val="auto"/>
        </w:rPr>
      </w:pPr>
      <w:r>
        <w:rPr>
          <w:rFonts w:ascii="Times New Roman" w:cs="Times New Roman" w:eastAsia="Times New Roman" w:hAnsi="Times New Roman"/>
          <w:sz w:val="12"/>
          <w:szCs w:val="12"/>
          <w:color w:val="auto"/>
        </w:rPr>
        <w:t>The following table provides a range of assumptions used in the valuation of the derivative liability for the three months ended March 31, 2024:</w:t>
      </w:r>
    </w:p>
    <w:p>
      <w:pPr>
        <w:sectPr>
          <w:pgSz w:w="11900" w:h="16838" w:orient="portrait"/>
          <w:cols w:equalWidth="0" w:num="1">
            <w:col w:w="9019"/>
          </w:cols>
          <w:pgMar w:left="1440" w:top="106" w:right="1440" w:bottom="1440" w:gutter="0" w:footer="0" w:header="0"/>
        </w:sectPr>
      </w:pPr>
    </w:p>
    <w:p>
      <w:pPr>
        <w:spacing w:after="0" w:line="7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Expected​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-73025</wp:posOffset>
            </wp:positionV>
            <wp:extent cx="3535680" cy="8128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535680" cy="81280"/>
                    </a:xfrm>
                    <a:prstGeom prst="rect">
                      <a:avLst/>
                    </a:prstGeom>
                    <a:noFill/>
                  </pic:spPr>
                </pic:pic>
              </a:graphicData>
            </a:graphic>
          </wp:anchor>
        </w:drawing>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535680" cy="11620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2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Risk​-free interest rate.</w:t>
      </w:r>
    </w:p>
    <w:p>
      <w:pPr>
        <w:spacing w:after="0" w:line="4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Dividend​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11620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Probability​ of option exercise</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tabs>
          <w:tab w:leader="none" w:pos="240" w:val="left"/>
          <w:tab w:leader="none" w:pos="900" w:val="left"/>
        </w:tabs>
        <w:rPr>
          <w:sz w:val="20"/>
          <w:szCs w:val="20"/>
          <w:color w:val="auto"/>
        </w:rPr>
      </w:pPr>
      <w:r>
        <w:rPr>
          <w:rFonts w:ascii="Times New Roman" w:cs="Times New Roman" w:eastAsia="Times New Roman" w:hAnsi="Times New Roman"/>
          <w:sz w:val="12"/>
          <w:szCs w:val="12"/>
          <w:color w:val="auto"/>
        </w:rPr>
        <w:t>​ ​</w:t>
        <w:tab/>
        <w:t>0.16 – 0.36</w:t>
        <w:tab/>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 55.1% – 59.9%​</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5.4% – 5.5%</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r>
      <w:tr>
        <w:trPr>
          <w:trHeight w:val="183"/>
        </w:trPr>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r>
      <w:tr>
        <w:trPr>
          <w:trHeight w:val="183"/>
        </w:trPr>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 – 90%</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r>
    </w:tbl>
    <w:p>
      <w:pPr>
        <w:spacing w:after="0" w:line="61" w:lineRule="exact"/>
        <w:rPr>
          <w:sz w:val="20"/>
          <w:szCs w:val="20"/>
          <w:color w:val="auto"/>
        </w:rPr>
      </w:pPr>
    </w:p>
    <w:p>
      <w:pPr>
        <w:sectPr>
          <w:pgSz w:w="11900" w:h="16838" w:orient="portrait"/>
          <w:cols w:equalWidth="0" w:num="2">
            <w:col w:w="5640" w:space="720"/>
            <w:col w:w="2659"/>
          </w:cols>
          <w:pgMar w:left="1440" w:top="106" w:right="1440" w:bottom="1440" w:gutter="0" w:footer="0" w:header="0"/>
          <w:type w:val="continuous"/>
        </w:sectPr>
      </w:pPr>
    </w:p>
    <w:p>
      <w:pPr>
        <w:ind w:left="1720" w:right="1739"/>
        <w:spacing w:after="0" w:line="291" w:lineRule="auto"/>
        <w:rPr>
          <w:sz w:val="20"/>
          <w:szCs w:val="20"/>
          <w:color w:val="auto"/>
        </w:rPr>
      </w:pPr>
      <w:r>
        <w:rPr>
          <w:rFonts w:ascii="Times New Roman" w:cs="Times New Roman" w:eastAsia="Times New Roman" w:hAnsi="Times New Roman"/>
          <w:sz w:val="12"/>
          <w:szCs w:val="12"/>
          <w:color w:val="auto"/>
        </w:rPr>
        <w:t>There were no transfers between Level 1, Level 2 or Level 3 categories for the three months ended March 31, 2023 and 2024.</w:t>
      </w:r>
    </w:p>
    <w:p>
      <w:pPr>
        <w:spacing w:after="0" w:line="10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4. Marketable Securities</w:t>
      </w:r>
    </w:p>
    <w:p>
      <w:pPr>
        <w:spacing w:after="0" w:line="111" w:lineRule="exact"/>
        <w:rPr>
          <w:sz w:val="20"/>
          <w:szCs w:val="20"/>
          <w:color w:val="auto"/>
        </w:rPr>
      </w:pPr>
    </w:p>
    <w:p>
      <w:pPr>
        <w:ind w:left="1720" w:right="1739"/>
        <w:spacing w:after="0" w:line="291" w:lineRule="auto"/>
        <w:rPr>
          <w:sz w:val="20"/>
          <w:szCs w:val="20"/>
          <w:color w:val="auto"/>
        </w:rPr>
      </w:pPr>
      <w:r>
        <w:rPr>
          <w:rFonts w:ascii="Times New Roman" w:cs="Times New Roman" w:eastAsia="Times New Roman" w:hAnsi="Times New Roman"/>
          <w:sz w:val="12"/>
          <w:szCs w:val="12"/>
          <w:color w:val="auto"/>
        </w:rPr>
        <w:t>Marketable securities, which are classified as available-for-sale marketable securities, consisted of the following as of December 31, 2023 and March 31, 2024 (in thousands):</w:t>
      </w:r>
    </w:p>
    <w:p>
      <w:pPr>
        <w:spacing w:after="0" w:line="69"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15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Fair Value</w:t>
            </w:r>
          </w:p>
        </w:tc>
        <w:tc>
          <w:tcPr>
            <w:tcW w:w="40" w:type="dxa"/>
            <w:vAlign w:val="bottom"/>
          </w:tcPr>
          <w:p>
            <w:pPr>
              <w:spacing w:after="0"/>
              <w:rPr>
                <w:sz w:val="10"/>
                <w:szCs w:val="10"/>
                <w:color w:val="auto"/>
              </w:rPr>
            </w:pPr>
          </w:p>
        </w:tc>
      </w:tr>
      <w:tr>
        <w:trPr>
          <w:trHeight w:val="110"/>
        </w:trPr>
        <w:tc>
          <w:tcPr>
            <w:tcW w:w="15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6"/>
              </w:rPr>
              <w:t>Amortized</w:t>
            </w:r>
          </w:p>
        </w:tc>
        <w:tc>
          <w:tcPr>
            <w:tcW w:w="140" w:type="dxa"/>
            <w:vAlign w:val="bottom"/>
          </w:tcPr>
          <w:p>
            <w:pPr>
              <w:spacing w:after="0"/>
              <w:rPr>
                <w:sz w:val="9"/>
                <w:szCs w:val="9"/>
                <w:color w:val="auto"/>
              </w:rPr>
            </w:pPr>
          </w:p>
        </w:tc>
        <w:tc>
          <w:tcPr>
            <w:tcW w:w="4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Gross</w:t>
            </w:r>
          </w:p>
        </w:tc>
        <w:tc>
          <w:tcPr>
            <w:tcW w:w="140" w:type="dxa"/>
            <w:vAlign w:val="bottom"/>
          </w:tcPr>
          <w:p>
            <w:pPr>
              <w:spacing w:after="0"/>
              <w:rPr>
                <w:sz w:val="9"/>
                <w:szCs w:val="9"/>
                <w:color w:val="auto"/>
              </w:rPr>
            </w:pPr>
          </w:p>
        </w:tc>
        <w:tc>
          <w:tcPr>
            <w:tcW w:w="620" w:type="dxa"/>
            <w:vAlign w:val="bottom"/>
            <w:gridSpan w:val="2"/>
          </w:tcPr>
          <w:p>
            <w:pPr>
              <w:jc w:val="center"/>
              <w:ind w:right="180"/>
              <w:spacing w:after="0" w:line="110" w:lineRule="exact"/>
              <w:rPr>
                <w:sz w:val="20"/>
                <w:szCs w:val="20"/>
                <w:color w:val="auto"/>
              </w:rPr>
            </w:pPr>
            <w:r>
              <w:rPr>
                <w:rFonts w:ascii="Times New Roman" w:cs="Times New Roman" w:eastAsia="Times New Roman" w:hAnsi="Times New Roman"/>
                <w:sz w:val="10"/>
                <w:szCs w:val="10"/>
                <w:b w:val="1"/>
                <w:bCs w:val="1"/>
                <w:color w:val="auto"/>
                <w:w w:val="95"/>
              </w:rPr>
              <w:t>Gross</w:t>
            </w:r>
          </w:p>
        </w:tc>
        <w:tc>
          <w:tcPr>
            <w:tcW w:w="5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1"/>
              </w:rPr>
              <w:t>as of</w:t>
            </w:r>
          </w:p>
        </w:tc>
        <w:tc>
          <w:tcPr>
            <w:tcW w:w="40" w:type="dxa"/>
            <w:vAlign w:val="bottom"/>
          </w:tcPr>
          <w:p>
            <w:pPr>
              <w:spacing w:after="0"/>
              <w:rPr>
                <w:sz w:val="9"/>
                <w:szCs w:val="9"/>
                <w:color w:val="auto"/>
              </w:rPr>
            </w:pPr>
          </w:p>
        </w:tc>
      </w:tr>
      <w:tr>
        <w:trPr>
          <w:trHeight w:val="110"/>
        </w:trPr>
        <w:tc>
          <w:tcPr>
            <w:tcW w:w="15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Cost</w:t>
            </w:r>
          </w:p>
        </w:tc>
        <w:tc>
          <w:tcPr>
            <w:tcW w:w="140" w:type="dxa"/>
            <w:vAlign w:val="bottom"/>
          </w:tcPr>
          <w:p>
            <w:pPr>
              <w:spacing w:after="0"/>
              <w:rPr>
                <w:sz w:val="9"/>
                <w:szCs w:val="9"/>
                <w:color w:val="auto"/>
              </w:rPr>
            </w:pPr>
          </w:p>
        </w:tc>
        <w:tc>
          <w:tcPr>
            <w:tcW w:w="4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140" w:type="dxa"/>
            <w:vAlign w:val="bottom"/>
          </w:tcPr>
          <w:p>
            <w:pPr>
              <w:spacing w:after="0"/>
              <w:rPr>
                <w:sz w:val="9"/>
                <w:szCs w:val="9"/>
                <w:color w:val="auto"/>
              </w:rPr>
            </w:pPr>
          </w:p>
        </w:tc>
        <w:tc>
          <w:tcPr>
            <w:tcW w:w="620" w:type="dxa"/>
            <w:vAlign w:val="bottom"/>
            <w:gridSpan w:val="2"/>
          </w:tcPr>
          <w:p>
            <w:pPr>
              <w:jc w:val="center"/>
              <w:ind w:right="180"/>
              <w:spacing w:after="0" w:line="110"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5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40" w:type="dxa"/>
            <w:vAlign w:val="bottom"/>
          </w:tcPr>
          <w:p>
            <w:pPr>
              <w:spacing w:after="0"/>
              <w:rPr>
                <w:sz w:val="9"/>
                <w:szCs w:val="9"/>
                <w:color w:val="auto"/>
              </w:rPr>
            </w:pPr>
          </w:p>
        </w:tc>
      </w:tr>
      <w:tr>
        <w:trPr>
          <w:trHeight w:val="145"/>
        </w:trPr>
        <w:tc>
          <w:tcPr>
            <w:tcW w:w="15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100" w:type="dxa"/>
            <w:vAlign w:val="bottom"/>
            <w:gridSpan w:val="2"/>
          </w:tcPr>
          <w:p>
            <w:pPr>
              <w:ind w:left="152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Basis</w:t>
            </w:r>
          </w:p>
        </w:tc>
        <w:tc>
          <w:tcPr>
            <w:tcW w:w="60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Gains</w:t>
            </w:r>
          </w:p>
        </w:tc>
        <w:tc>
          <w:tcPr>
            <w:tcW w:w="76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Losses   </w:t>
            </w:r>
            <w:r>
              <w:rPr>
                <w:rFonts w:ascii="Times New Roman" w:cs="Times New Roman" w:eastAsia="Times New Roman" w:hAnsi="Times New Roman"/>
                <w:sz w:val="16"/>
                <w:szCs w:val="16"/>
                <w:b w:val="1"/>
                <w:bCs w:val="1"/>
                <w:color w:val="auto"/>
                <w:vertAlign w:val="subscript"/>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1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-5080</wp:posOffset>
            </wp:positionV>
            <wp:extent cx="3535680" cy="11620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Short-term marketable securities:</w:t>
      </w:r>
    </w:p>
    <w:p>
      <w:pPr>
        <w:spacing w:after="0" w:line="3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U.S. treasuries</w:t>
      </w:r>
    </w:p>
    <w:p>
      <w:pPr>
        <w:spacing w:after="0" w:line="6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Total short-term marketable securities</w:t>
      </w:r>
    </w:p>
    <w:p>
      <w:pPr>
        <w:spacing w:after="0" w:line="200" w:lineRule="exact"/>
        <w:rPr>
          <w:sz w:val="20"/>
          <w:szCs w:val="20"/>
          <w:color w:val="auto"/>
        </w:rPr>
      </w:pPr>
    </w:p>
    <w:p>
      <w:pPr>
        <w:spacing w:after="0" w:line="37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5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 ​ ​</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 ​​ ​</w:t>
            </w:r>
          </w:p>
        </w:tc>
        <w:tc>
          <w:tcPr>
            <w:tcW w:w="32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 ​ ​</w:t>
            </w:r>
          </w:p>
        </w:tc>
        <w:tc>
          <w:tcPr>
            <w:tcW w:w="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36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 ​​ ​</w:t>
            </w: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r>
      <w:tr>
        <w:trPr>
          <w:trHeight w:val="169"/>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$ 2,954</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2</w:t>
            </w:r>
          </w:p>
        </w:tc>
        <w:tc>
          <w:tcPr>
            <w:tcW w:w="10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w:t>
            </w:r>
          </w:p>
        </w:tc>
        <w:tc>
          <w:tcPr>
            <w:tcW w:w="36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2,956</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2"/>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$ 2,954</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 ​</w:t>
            </w:r>
          </w:p>
        </w:tc>
        <w:tc>
          <w:tcPr>
            <w:tcW w:w="320" w:type="dxa"/>
            <w:vAlign w:val="bottom"/>
            <w:gridSpan w:val="3"/>
          </w:tcPr>
          <w:p>
            <w:pPr>
              <w:ind w:left="80"/>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2</w:t>
            </w:r>
          </w:p>
        </w:tc>
        <w:tc>
          <w:tcPr>
            <w:tcW w:w="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300" w:type="dxa"/>
            <w:vAlign w:val="bottom"/>
            <w:gridSpan w:val="2"/>
          </w:tcPr>
          <w:p>
            <w:pPr>
              <w:ind w:left="40"/>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 —</w:t>
            </w:r>
          </w:p>
        </w:tc>
        <w:tc>
          <w:tcPr>
            <w:tcW w:w="36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2,956</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-144780</wp:posOffset>
            </wp:positionV>
            <wp:extent cx="3535680" cy="133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535680" cy="133985"/>
                    </a:xfrm>
                    <a:prstGeom prst="rect">
                      <a:avLst/>
                    </a:prstGeom>
                    <a:noFill/>
                  </pic:spPr>
                </pic:pic>
              </a:graphicData>
            </a:graphic>
          </wp:anchor>
        </w:drawing>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15"/>
        </w:trPr>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1"/>
              </w:rPr>
              <w:t>Fair Value</w:t>
            </w:r>
          </w:p>
        </w:tc>
      </w:tr>
      <w:tr>
        <w:trPr>
          <w:trHeight w:val="110"/>
        </w:trPr>
        <w:tc>
          <w:tcPr>
            <w:tcW w:w="120" w:type="dxa"/>
            <w:vAlign w:val="bottom"/>
          </w:tcPr>
          <w:p>
            <w:pPr>
              <w:spacing w:after="0"/>
              <w:rPr>
                <w:sz w:val="9"/>
                <w:szCs w:val="9"/>
                <w:color w:val="auto"/>
              </w:rPr>
            </w:pPr>
          </w:p>
        </w:tc>
        <w:tc>
          <w:tcPr>
            <w:tcW w:w="4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6"/>
              </w:rPr>
              <w:t>Amortized</w:t>
            </w:r>
          </w:p>
        </w:tc>
        <w:tc>
          <w:tcPr>
            <w:tcW w:w="140" w:type="dxa"/>
            <w:vAlign w:val="bottom"/>
          </w:tcPr>
          <w:p>
            <w:pPr>
              <w:spacing w:after="0"/>
              <w:rPr>
                <w:sz w:val="9"/>
                <w:szCs w:val="9"/>
                <w:color w:val="auto"/>
              </w:rPr>
            </w:pPr>
          </w:p>
        </w:tc>
        <w:tc>
          <w:tcPr>
            <w:tcW w:w="4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Gross</w:t>
            </w:r>
          </w:p>
        </w:tc>
        <w:tc>
          <w:tcPr>
            <w:tcW w:w="140" w:type="dxa"/>
            <w:vAlign w:val="bottom"/>
          </w:tcPr>
          <w:p>
            <w:pPr>
              <w:spacing w:after="0"/>
              <w:rPr>
                <w:sz w:val="9"/>
                <w:szCs w:val="9"/>
                <w:color w:val="auto"/>
              </w:rPr>
            </w:pPr>
          </w:p>
        </w:tc>
        <w:tc>
          <w:tcPr>
            <w:tcW w:w="48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7"/>
              </w:rPr>
              <w:t>Gross</w:t>
            </w:r>
          </w:p>
        </w:tc>
        <w:tc>
          <w:tcPr>
            <w:tcW w:w="140" w:type="dxa"/>
            <w:vAlign w:val="bottom"/>
          </w:tcPr>
          <w:p>
            <w:pPr>
              <w:spacing w:after="0"/>
              <w:rPr>
                <w:sz w:val="9"/>
                <w:szCs w:val="9"/>
                <w:color w:val="auto"/>
              </w:rPr>
            </w:pPr>
          </w:p>
        </w:tc>
        <w:tc>
          <w:tcPr>
            <w:tcW w:w="480" w:type="dxa"/>
            <w:vAlign w:val="bottom"/>
            <w:gridSpan w:val="2"/>
          </w:tcPr>
          <w:p>
            <w:pPr>
              <w:jc w:val="center"/>
              <w:ind w:right="60"/>
              <w:spacing w:after="0" w:line="110" w:lineRule="exact"/>
              <w:rPr>
                <w:sz w:val="20"/>
                <w:szCs w:val="20"/>
                <w:color w:val="auto"/>
              </w:rPr>
            </w:pPr>
            <w:r>
              <w:rPr>
                <w:rFonts w:ascii="Times New Roman" w:cs="Times New Roman" w:eastAsia="Times New Roman" w:hAnsi="Times New Roman"/>
                <w:sz w:val="10"/>
                <w:szCs w:val="10"/>
                <w:b w:val="1"/>
                <w:bCs w:val="1"/>
                <w:color w:val="auto"/>
                <w:w w:val="91"/>
              </w:rPr>
              <w:t>as of</w:t>
            </w:r>
          </w:p>
        </w:tc>
      </w:tr>
      <w:tr>
        <w:trPr>
          <w:trHeight w:val="110"/>
        </w:trPr>
        <w:tc>
          <w:tcPr>
            <w:tcW w:w="120" w:type="dxa"/>
            <w:vAlign w:val="bottom"/>
          </w:tcPr>
          <w:p>
            <w:pPr>
              <w:spacing w:after="0"/>
              <w:rPr>
                <w:sz w:val="9"/>
                <w:szCs w:val="9"/>
                <w:color w:val="auto"/>
              </w:rPr>
            </w:pPr>
          </w:p>
        </w:tc>
        <w:tc>
          <w:tcPr>
            <w:tcW w:w="4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Cost</w:t>
            </w:r>
          </w:p>
        </w:tc>
        <w:tc>
          <w:tcPr>
            <w:tcW w:w="140" w:type="dxa"/>
            <w:vAlign w:val="bottom"/>
          </w:tcPr>
          <w:p>
            <w:pPr>
              <w:spacing w:after="0"/>
              <w:rPr>
                <w:sz w:val="9"/>
                <w:szCs w:val="9"/>
                <w:color w:val="auto"/>
              </w:rPr>
            </w:pPr>
          </w:p>
        </w:tc>
        <w:tc>
          <w:tcPr>
            <w:tcW w:w="4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140" w:type="dxa"/>
            <w:vAlign w:val="bottom"/>
          </w:tcPr>
          <w:p>
            <w:pPr>
              <w:spacing w:after="0"/>
              <w:rPr>
                <w:sz w:val="9"/>
                <w:szCs w:val="9"/>
                <w:color w:val="auto"/>
              </w:rPr>
            </w:pPr>
          </w:p>
        </w:tc>
        <w:tc>
          <w:tcPr>
            <w:tcW w:w="48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9"/>
              </w:rPr>
              <w:t>Unrealized</w:t>
            </w:r>
          </w:p>
        </w:tc>
        <w:tc>
          <w:tcPr>
            <w:tcW w:w="140" w:type="dxa"/>
            <w:vAlign w:val="bottom"/>
          </w:tcPr>
          <w:p>
            <w:pPr>
              <w:spacing w:after="0"/>
              <w:rPr>
                <w:sz w:val="9"/>
                <w:szCs w:val="9"/>
                <w:color w:val="auto"/>
              </w:rPr>
            </w:pPr>
          </w:p>
        </w:tc>
        <w:tc>
          <w:tcPr>
            <w:tcW w:w="480" w:type="dxa"/>
            <w:vAlign w:val="bottom"/>
            <w:gridSpan w:val="2"/>
          </w:tcPr>
          <w:p>
            <w:pPr>
              <w:jc w:val="center"/>
              <w:ind w:right="60"/>
              <w:spacing w:after="0" w:line="110" w:lineRule="exact"/>
              <w:rPr>
                <w:sz w:val="20"/>
                <w:szCs w:val="20"/>
                <w:color w:val="auto"/>
              </w:rPr>
            </w:pPr>
            <w:r>
              <w:rPr>
                <w:rFonts w:ascii="Times New Roman" w:cs="Times New Roman" w:eastAsia="Times New Roman" w:hAnsi="Times New Roman"/>
                <w:sz w:val="10"/>
                <w:szCs w:val="10"/>
                <w:b w:val="1"/>
                <w:bCs w:val="1"/>
                <w:color w:val="auto"/>
                <w:w w:val="95"/>
              </w:rPr>
              <w:t>March 31,</w:t>
            </w:r>
          </w:p>
        </w:tc>
      </w:tr>
      <w:tr>
        <w:trPr>
          <w:trHeight w:val="145"/>
        </w:trPr>
        <w:tc>
          <w:tcPr>
            <w:tcW w:w="580" w:type="dxa"/>
            <w:vAlign w:val="bottom"/>
            <w:gridSpan w:val="2"/>
          </w:tcPr>
          <w:p>
            <w:pPr>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Basis</w:t>
            </w:r>
          </w:p>
        </w:tc>
        <w:tc>
          <w:tcPr>
            <w:tcW w:w="60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Gains</w:t>
            </w:r>
          </w:p>
        </w:tc>
        <w:tc>
          <w:tcPr>
            <w:tcW w:w="62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Losses</w:t>
            </w:r>
          </w:p>
        </w:tc>
        <w:tc>
          <w:tcPr>
            <w:tcW w:w="62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2024   </w:t>
            </w:r>
            <w:r>
              <w:rPr>
                <w:rFonts w:ascii="Times New Roman" w:cs="Times New Roman" w:eastAsia="Times New Roman" w:hAnsi="Times New Roman"/>
                <w:sz w:val="16"/>
                <w:szCs w:val="16"/>
                <w:b w:val="1"/>
                <w:bCs w:val="1"/>
                <w:color w:val="auto"/>
                <w:vertAlign w:val="subscript"/>
              </w:rPr>
              <w:t>​</w:t>
            </w: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-5080</wp:posOffset>
            </wp:positionV>
            <wp:extent cx="3535680" cy="11620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060" w:space="720"/>
            <w:col w:w="4239"/>
          </w:cols>
          <w:pgMar w:left="1440" w:top="106" w:right="1440" w:bottom="1440" w:gutter="0" w:footer="0" w:header="0"/>
          <w:type w:val="continuous"/>
        </w:sectPr>
      </w:pPr>
    </w:p>
    <w:tbl>
      <w:tblPr>
        <w:tblLayout w:type="fixed"/>
        <w:tblInd w:w="1720" w:type="dxa"/>
        <w:tblCellMar>
          <w:top w:w="0" w:type="dxa"/>
          <w:left w:w="0" w:type="dxa"/>
          <w:bottom w:w="0" w:type="dxa"/>
          <w:right w:w="0" w:type="dxa"/>
        </w:tblCellMar>
      </w:tblPr>
      <w:tr>
        <w:trPr>
          <w:trHeight w:val="183"/>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Short-term marketable securities:</w:t>
            </w:r>
          </w:p>
        </w:tc>
        <w:tc>
          <w:tcPr>
            <w:tcW w:w="110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 ​ ​ ​</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 ​​ ​</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 ​  ​</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 ​ ​</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3"/>
        </w:trPr>
        <w:tc>
          <w:tcPr>
            <w:tcW w:w="2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U.S. treasuries</w:t>
            </w:r>
          </w:p>
        </w:tc>
        <w:tc>
          <w:tcPr>
            <w:tcW w:w="1380" w:type="dxa"/>
            <w:vAlign w:val="bottom"/>
            <w:gridSpan w:val="3"/>
          </w:tcPr>
          <w:p>
            <w:pPr>
              <w:jc w:val="right"/>
              <w:ind w:right="39"/>
              <w:spacing w:after="0" w:line="184" w:lineRule="exact"/>
              <w:rPr>
                <w:sz w:val="20"/>
                <w:szCs w:val="20"/>
                <w:color w:val="auto"/>
              </w:rPr>
            </w:pPr>
            <w:r>
              <w:rPr>
                <w:rFonts w:ascii="Times New Roman" w:cs="Times New Roman" w:eastAsia="Times New Roman" w:hAnsi="Times New Roman"/>
                <w:sz w:val="21"/>
                <w:szCs w:val="21"/>
                <w:color w:val="auto"/>
                <w:vertAlign w:val="subscript"/>
              </w:rPr>
              <w:t>​ ​ ​</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 xml:space="preserve">21,657 </w:t>
            </w:r>
            <w:r>
              <w:rPr>
                <w:rFonts w:ascii="Times New Roman" w:cs="Times New Roman" w:eastAsia="Times New Roman" w:hAnsi="Times New Roman"/>
                <w:sz w:val="21"/>
                <w:szCs w:val="21"/>
                <w:color w:val="auto"/>
                <w:vertAlign w:val="subscript"/>
              </w:rPr>
              <w:t>​​ ​</w:t>
            </w:r>
          </w:p>
        </w:tc>
        <w:tc>
          <w:tcPr>
            <w:tcW w:w="240" w:type="dxa"/>
            <w:vAlign w:val="bottom"/>
          </w:tcPr>
          <w:p>
            <w:pPr>
              <w:spacing w:after="0" w:line="184" w:lineRule="exact"/>
              <w:rPr>
                <w:sz w:val="20"/>
                <w:szCs w:val="20"/>
                <w:color w:val="auto"/>
              </w:rPr>
            </w:pPr>
            <w:r>
              <w:rPr>
                <w:rFonts w:ascii="Times New Roman" w:cs="Times New Roman" w:eastAsia="Times New Roman" w:hAnsi="Times New Roman"/>
                <w:sz w:val="21"/>
                <w:szCs w:val="21"/>
                <w:color w:val="auto"/>
                <w:w w:val="99"/>
                <w:vertAlign w:val="subscript"/>
              </w:rPr>
              <w:t>​</w:t>
            </w:r>
            <w:r>
              <w:rPr>
                <w:rFonts w:ascii="Times New Roman" w:cs="Times New Roman" w:eastAsia="Times New Roman" w:hAnsi="Times New Roman"/>
                <w:sz w:val="11"/>
                <w:szCs w:val="11"/>
                <w:color w:val="auto"/>
                <w:w w:val="99"/>
              </w:rPr>
              <w:t>$  —</w:t>
            </w:r>
          </w:p>
        </w:tc>
        <w:tc>
          <w:tcPr>
            <w:tcW w:w="3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gridSpan w:val="3"/>
          </w:tcPr>
          <w:p>
            <w:pPr>
              <w:ind w:left="60"/>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(1)</w:t>
            </w:r>
          </w:p>
        </w:tc>
        <w:tc>
          <w:tcPr>
            <w:tcW w:w="680" w:type="dxa"/>
            <w:vAlign w:val="bottom"/>
            <w:gridSpan w:val="3"/>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bscript"/>
              </w:rPr>
              <w:t>​​ ​ ​</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 xml:space="preserve">21,656 </w:t>
            </w:r>
            <w:r>
              <w:rPr>
                <w:rFonts w:ascii="Times New Roman" w:cs="Times New Roman" w:eastAsia="Times New Roman" w:hAnsi="Times New Roman"/>
                <w:sz w:val="21"/>
                <w:szCs w:val="21"/>
                <w:color w:val="auto"/>
                <w:vertAlign w:val="subscript"/>
              </w:rPr>
              <w:t>​</w:t>
            </w:r>
          </w:p>
        </w:tc>
      </w:tr>
      <w:tr>
        <w:trPr>
          <w:trHeight w:val="20"/>
        </w:trPr>
        <w:tc>
          <w:tcPr>
            <w:tcW w:w="26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short-term marketable securities</w:t>
            </w:r>
          </w:p>
        </w:tc>
        <w:tc>
          <w:tcPr>
            <w:tcW w:w="1380" w:type="dxa"/>
            <w:vAlign w:val="bottom"/>
            <w:tcBorders>
              <w:right w:val="single" w:sz="8" w:color="CCEEFF"/>
            </w:tcBorders>
            <w:gridSpan w:val="3"/>
            <w:shd w:val="clear" w:color="auto" w:fill="CCEEFF"/>
          </w:tcPr>
          <w:p>
            <w:pPr>
              <w:jc w:val="right"/>
              <w:ind w:right="39"/>
              <w:spacing w:after="0" w:line="164" w:lineRule="exact"/>
              <w:rPr>
                <w:sz w:val="20"/>
                <w:szCs w:val="20"/>
                <w:color w:val="auto"/>
              </w:rPr>
            </w:pPr>
            <w:r>
              <w:rPr>
                <w:rFonts w:ascii="Times New Roman" w:cs="Times New Roman" w:eastAsia="Times New Roman" w:hAnsi="Times New Roman"/>
                <w:sz w:val="18"/>
                <w:szCs w:val="18"/>
                <w:color w:val="auto"/>
                <w:vertAlign w:val="subscript"/>
              </w:rPr>
              <w:t>​ ​ ​</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 xml:space="preserve">21,657 </w:t>
            </w:r>
            <w:r>
              <w:rPr>
                <w:rFonts w:ascii="Times New Roman" w:cs="Times New Roman" w:eastAsia="Times New Roman" w:hAnsi="Times New Roman"/>
                <w:sz w:val="18"/>
                <w:szCs w:val="18"/>
                <w:color w:val="auto"/>
                <w:vertAlign w:val="subscript"/>
              </w:rPr>
              <w:t>​​ ​</w:t>
            </w:r>
          </w:p>
        </w:tc>
        <w:tc>
          <w:tcPr>
            <w:tcW w:w="2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 —</w:t>
            </w:r>
          </w:p>
        </w:tc>
        <w:tc>
          <w:tcPr>
            <w:tcW w:w="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gridSpan w:val="3"/>
            <w:shd w:val="clear" w:color="auto" w:fill="CCEEFF"/>
          </w:tcPr>
          <w:p>
            <w:pPr>
              <w:ind w:left="60"/>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(1)</w:t>
            </w:r>
          </w:p>
        </w:tc>
        <w:tc>
          <w:tcPr>
            <w:tcW w:w="640" w:type="dxa"/>
            <w:vAlign w:val="bottom"/>
            <w:tcBorders>
              <w:right w:val="single" w:sz="8" w:color="CCEEFF"/>
            </w:tcBorders>
            <w:gridSpan w:val="2"/>
            <w:shd w:val="clear" w:color="auto" w:fill="CCEEFF"/>
          </w:tcPr>
          <w:p>
            <w:pPr>
              <w:ind w:left="40"/>
              <w:spacing w:after="0" w:line="164" w:lineRule="exact"/>
              <w:rPr>
                <w:sz w:val="20"/>
                <w:szCs w:val="20"/>
                <w:color w:val="auto"/>
              </w:rPr>
            </w:pPr>
            <w:r>
              <w:rPr>
                <w:rFonts w:ascii="Times New Roman" w:cs="Times New Roman" w:eastAsia="Times New Roman" w:hAnsi="Times New Roman"/>
                <w:sz w:val="18"/>
                <w:szCs w:val="18"/>
                <w:color w:val="auto"/>
                <w:vertAlign w:val="subscript"/>
              </w:rPr>
              <w:t>​​ ​ ​</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21,656</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37"/>
        </w:trPr>
        <w:tc>
          <w:tcPr>
            <w:tcW w:w="26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000000"/>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4610735</wp:posOffset>
            </wp:positionH>
            <wp:positionV relativeFrom="paragraph">
              <wp:posOffset>-144780</wp:posOffset>
            </wp:positionV>
            <wp:extent cx="17145" cy="57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-144780</wp:posOffset>
            </wp:positionV>
            <wp:extent cx="3262630" cy="57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262630" cy="5715"/>
                    </a:xfrm>
                    <a:prstGeom prst="rect">
                      <a:avLst/>
                    </a:prstGeom>
                    <a:noFill/>
                  </pic:spPr>
                </pic:pic>
              </a:graphicData>
            </a:graphic>
          </wp:anchor>
        </w:drawing>
      </w:r>
    </w:p>
    <w:p>
      <w:pPr>
        <w:spacing w:after="0" w:line="132"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All marketable securities held as of December 31, 2023 and March 31, 2024 had contractual maturities of less than one year.</w:t>
      </w:r>
    </w:p>
    <w:p>
      <w:pPr>
        <w:spacing w:after="0" w:line="50"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As of December 31, 2023 and March 31, 2024, no significant facts or circumstances were present to indicate a deterioration in the creditworthiness of the issuers of the marketable securities, and the Company has no requirement or intention to sell these securities before maturity or recovery of their amortized cost basis. The Company considered the current and expected future economic and market conditions and determined that its investments were not significantly impacted. For all securities with a fair value less than its amortized cost basis, the Company determined the decline in fair value below amortized cost basis to be immaterial and non-credit related, and therefore no allowance for losses has been recorded. During the three months ended March 31, 2023 and 2024, the Company did not recognize any impairment losses on its investments.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251" w:name="page252"/>
    <w:bookmarkEnd w:id="251"/>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 (Continued)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5. Balance Sheet Components</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Other Prepaid Expenses and Current Assets</w:t>
      </w:r>
    </w:p>
    <w:p>
      <w:pPr>
        <w:spacing w:after="0" w:line="1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Other prepaid expenses and current assets consist of the following (in thousands):</w:t>
      </w:r>
    </w:p>
    <w:p>
      <w:pPr>
        <w:spacing w:after="0" w:line="119"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gridSpan w:val="4"/>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81"/>
              </w:rPr>
              <w:t>March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460" w:type="dxa"/>
            <w:vAlign w:val="bottom"/>
            <w:tcBorders>
              <w:bottom w:val="single" w:sz="8" w:color="auto"/>
            </w:tcBorders>
            <w:gridSpan w:val="3"/>
          </w:tcPr>
          <w:p>
            <w:pPr>
              <w:jc w:val="center"/>
              <w:ind w:left="67"/>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40" w:type="dxa"/>
            <w:vAlign w:val="bottom"/>
            <w:tcBorders>
              <w:bottom w:val="single" w:sz="8" w:color="auto"/>
            </w:tcBorders>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6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Prepaid subscriptions</w:t>
            </w: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703</w:t>
            </w:r>
          </w:p>
        </w:tc>
        <w:tc>
          <w:tcPr>
            <w:tcW w:w="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 ​$</w:t>
            </w:r>
          </w:p>
        </w:tc>
        <w:tc>
          <w:tcPr>
            <w:tcW w:w="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798</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2720" w:type="dxa"/>
            <w:vAlign w:val="bottom"/>
          </w:tcPr>
          <w:p>
            <w:pPr>
              <w:spacing w:after="0"/>
              <w:rPr>
                <w:sz w:val="20"/>
                <w:szCs w:val="20"/>
                <w:color w:val="auto"/>
              </w:rPr>
            </w:pPr>
            <w:r>
              <w:rPr>
                <w:rFonts w:ascii="Times New Roman" w:cs="Times New Roman" w:eastAsia="Times New Roman" w:hAnsi="Times New Roman"/>
                <w:sz w:val="12"/>
                <w:szCs w:val="12"/>
                <w:color w:val="auto"/>
              </w:rPr>
              <w:t>Tax receivable</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614</w:t>
            </w:r>
          </w:p>
        </w:tc>
        <w:tc>
          <w:tcPr>
            <w:tcW w:w="34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xml:space="preserve">614 </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prepaid expenses</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gridSpan w:val="2"/>
            <w:shd w:val="clear" w:color="auto" w:fill="CCEEFF"/>
          </w:tcPr>
          <w:p>
            <w:pPr>
              <w:ind w:left="120"/>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314</w:t>
            </w:r>
          </w:p>
        </w:tc>
        <w:tc>
          <w:tcPr>
            <w:tcW w:w="340" w:type="dxa"/>
            <w:vAlign w:val="bottom"/>
            <w:gridSpan w:val="4"/>
            <w:shd w:val="clear" w:color="auto" w:fill="CCEEFF"/>
          </w:tcPr>
          <w:p>
            <w:pPr>
              <w:ind w:left="20"/>
              <w:spacing w:after="0" w:line="184" w:lineRule="exact"/>
              <w:rPr>
                <w:sz w:val="20"/>
                <w:szCs w:val="20"/>
                <w:color w:val="auto"/>
              </w:rPr>
            </w:pPr>
            <w:r>
              <w:rPr>
                <w:rFonts w:ascii="Times New Roman" w:cs="Times New Roman" w:eastAsia="Times New Roman" w:hAnsi="Times New Roman"/>
                <w:sz w:val="11"/>
                <w:szCs w:val="11"/>
                <w:color w:val="auto"/>
              </w:rPr>
              <w:t xml:space="preserve">​​ ​ ​ </w:t>
            </w:r>
            <w:r>
              <w:rPr>
                <w:rFonts w:ascii="Times New Roman" w:cs="Times New Roman" w:eastAsia="Times New Roman" w:hAnsi="Times New Roman"/>
                <w:sz w:val="21"/>
                <w:szCs w:val="21"/>
                <w:color w:val="auto"/>
                <w:vertAlign w:val="superscript"/>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384</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7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7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other prepaid expenses and current assets</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4"/>
          </w:tcPr>
          <w:p>
            <w:pPr>
              <w:jc w:val="right"/>
              <w:ind w:right="100"/>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1,631</w:t>
            </w:r>
          </w:p>
        </w:tc>
        <w:tc>
          <w:tcPr>
            <w:tcW w:w="640" w:type="dxa"/>
            <w:vAlign w:val="bottom"/>
            <w:gridSpan w:val="7"/>
          </w:tcPr>
          <w:p>
            <w:pPr>
              <w:jc w:val="right"/>
              <w:spacing w:after="0" w:line="164" w:lineRule="exact"/>
              <w:rPr>
                <w:sz w:val="20"/>
                <w:szCs w:val="20"/>
                <w:color w:val="auto"/>
              </w:rPr>
            </w:pPr>
            <w:r>
              <w:rPr>
                <w:rFonts w:ascii="Times New Roman" w:cs="Times New Roman" w:eastAsia="Times New Roman" w:hAnsi="Times New Roman"/>
                <w:sz w:val="18"/>
                <w:szCs w:val="18"/>
                <w:color w:val="auto"/>
                <w:vertAlign w:val="subscript"/>
              </w:rPr>
              <w:t>​​ ​ ​</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 xml:space="preserve">1,796 </w:t>
            </w:r>
            <w:r>
              <w:rPr>
                <w:rFonts w:ascii="Times New Roman" w:cs="Times New Roman" w:eastAsia="Times New Roman" w:hAnsi="Times New Roman"/>
                <w:sz w:val="18"/>
                <w:szCs w:val="18"/>
                <w:b w:val="1"/>
                <w:bCs w:val="1"/>
                <w:color w:val="auto"/>
                <w:vertAlign w:val="subscript"/>
              </w:rPr>
              <w:t>​</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i w:val="1"/>
                <w:iCs w:val="1"/>
                <w:color w:val="auto"/>
              </w:rPr>
              <w:t>Property and Equipment, net</w:t>
            </w: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Property and equipment, net consisted of the following (in thousands):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Estimated Useful Life</w:t>
            </w:r>
          </w:p>
        </w:tc>
        <w:tc>
          <w:tcPr>
            <w:tcW w:w="140" w:type="dxa"/>
            <w:vAlign w:val="bottom"/>
          </w:tcPr>
          <w:p>
            <w:pPr>
              <w:spacing w:after="0"/>
              <w:rPr>
                <w:sz w:val="18"/>
                <w:szCs w:val="18"/>
                <w:color w:val="auto"/>
              </w:rPr>
            </w:pPr>
          </w:p>
        </w:tc>
        <w:tc>
          <w:tcPr>
            <w:tcW w:w="56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4"/>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81"/>
              </w:rPr>
              <w:t>March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 ​</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(in years)</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460" w:type="dxa"/>
            <w:vAlign w:val="bottom"/>
            <w:tcBorders>
              <w:bottom w:val="single" w:sz="8" w:color="auto"/>
            </w:tcBorders>
            <w:gridSpan w:val="3"/>
          </w:tcPr>
          <w:p>
            <w:pPr>
              <w:jc w:val="center"/>
              <w:ind w:left="67"/>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40" w:type="dxa"/>
            <w:vAlign w:val="bottom"/>
            <w:tcBorders>
              <w:bottom w:val="single" w:sz="8" w:color="auto"/>
            </w:tcBorders>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-761365</wp:posOffset>
            </wp:positionV>
            <wp:extent cx="34925" cy="571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492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-1104265</wp:posOffset>
            </wp:positionV>
            <wp:extent cx="3256915" cy="57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25691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-5080</wp:posOffset>
            </wp:positionV>
            <wp:extent cx="3535680" cy="2095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535680" cy="20955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Leasehold improvements</w:t>
      </w:r>
    </w:p>
    <w:p>
      <w:pPr>
        <w:spacing w:after="0" w:line="4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Laboratory equipment</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Furniture and fixtures</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Computer equipment</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Capitalized software</w:t>
      </w:r>
    </w:p>
    <w:p>
      <w:pPr>
        <w:spacing w:after="0" w:line="5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Total property and equipment, gross</w:t>
      </w:r>
    </w:p>
    <w:p>
      <w:pPr>
        <w:spacing w:after="0" w:line="36" w:lineRule="exact"/>
        <w:rPr>
          <w:sz w:val="20"/>
          <w:szCs w:val="20"/>
          <w:color w:val="auto"/>
        </w:rPr>
      </w:pPr>
    </w:p>
    <w:p>
      <w:pPr>
        <w:ind w:left="1840" w:hanging="121"/>
        <w:spacing w:after="0" w:line="386" w:lineRule="auto"/>
        <w:rPr>
          <w:sz w:val="20"/>
          <w:szCs w:val="20"/>
          <w:color w:val="auto"/>
        </w:rPr>
      </w:pPr>
      <w:r>
        <w:rPr>
          <w:rFonts w:ascii="Times New Roman" w:cs="Times New Roman" w:eastAsia="Times New Roman" w:hAnsi="Times New Roman"/>
          <w:sz w:val="12"/>
          <w:szCs w:val="12"/>
          <w:color w:val="auto"/>
        </w:rPr>
        <w:t>Less: Accumulated depreciation and amortization Total property and equipment,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1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Shorter of useful life or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8"/>
        </w:trPr>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1240" w:type="dxa"/>
            <w:vAlign w:val="bottom"/>
          </w:tcPr>
          <w:p>
            <w:pPr>
              <w:jc w:val="right"/>
              <w:ind w:right="239"/>
              <w:spacing w:after="0"/>
              <w:rPr>
                <w:sz w:val="20"/>
                <w:szCs w:val="20"/>
                <w:color w:val="auto"/>
              </w:rPr>
            </w:pPr>
            <w:r>
              <w:rPr>
                <w:rFonts w:ascii="Times New Roman" w:cs="Times New Roman" w:eastAsia="Times New Roman" w:hAnsi="Times New Roman"/>
                <w:sz w:val="12"/>
                <w:szCs w:val="12"/>
                <w:color w:val="auto"/>
              </w:rPr>
              <w:t>lease term</w:t>
            </w: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​$17,592</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 xml:space="preserve">​​ ​ ​$17,592 </w:t>
            </w:r>
            <w:r>
              <w:rPr>
                <w:rFonts w:ascii="Times New Roman" w:cs="Times New Roman" w:eastAsia="Times New Roman" w:hAnsi="Times New Roman"/>
                <w:sz w:val="12"/>
                <w:szCs w:val="12"/>
                <w:b w:val="1"/>
                <w:bCs w:val="1"/>
                <w:color w:val="auto"/>
              </w:rPr>
              <w:t>​</w:t>
            </w:r>
          </w:p>
        </w:tc>
      </w:tr>
      <w:tr>
        <w:trPr>
          <w:trHeight w:val="189"/>
        </w:trPr>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1240" w:type="dxa"/>
            <w:vAlign w:val="bottom"/>
          </w:tcPr>
          <w:p>
            <w:pPr>
              <w:jc w:val="right"/>
              <w:ind w:right="539"/>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 3,577</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 xml:space="preserve">​​ ​ ​ ​ 3,985 </w:t>
            </w:r>
            <w:r>
              <w:rPr>
                <w:rFonts w:ascii="Times New Roman" w:cs="Times New Roman" w:eastAsia="Times New Roman" w:hAnsi="Times New Roman"/>
                <w:sz w:val="12"/>
                <w:szCs w:val="12"/>
                <w:b w:val="1"/>
                <w:bCs w:val="1"/>
                <w:color w:val="auto"/>
              </w:rPr>
              <w:t>​</w:t>
            </w:r>
          </w:p>
        </w:tc>
      </w:tr>
      <w:tr>
        <w:trPr>
          <w:trHeight w:val="174"/>
        </w:trPr>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1240" w:type="dxa"/>
            <w:vAlign w:val="bottom"/>
          </w:tcPr>
          <w:p>
            <w:pPr>
              <w:jc w:val="right"/>
              <w:ind w:right="539"/>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 1,709</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 xml:space="preserve">​​ ​ ​ ​ 1,709 </w:t>
            </w:r>
            <w:r>
              <w:rPr>
                <w:rFonts w:ascii="Times New Roman" w:cs="Times New Roman" w:eastAsia="Times New Roman" w:hAnsi="Times New Roman"/>
                <w:sz w:val="12"/>
                <w:szCs w:val="12"/>
                <w:b w:val="1"/>
                <w:bCs w:val="1"/>
                <w:color w:val="auto"/>
              </w:rPr>
              <w:t>​</w:t>
            </w:r>
          </w:p>
        </w:tc>
      </w:tr>
      <w:tr>
        <w:trPr>
          <w:trHeight w:val="174"/>
        </w:trPr>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1240" w:type="dxa"/>
            <w:vAlign w:val="bottom"/>
          </w:tcPr>
          <w:p>
            <w:pPr>
              <w:jc w:val="right"/>
              <w:ind w:right="539"/>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896</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 ​ ​</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xml:space="preserve">896 </w:t>
            </w:r>
            <w:r>
              <w:rPr>
                <w:rFonts w:ascii="Times New Roman" w:cs="Times New Roman" w:eastAsia="Times New Roman" w:hAnsi="Times New Roman"/>
                <w:sz w:val="12"/>
                <w:szCs w:val="12"/>
                <w:b w:val="1"/>
                <w:bCs w:val="1"/>
                <w:color w:val="auto"/>
              </w:rPr>
              <w:t>​</w:t>
            </w:r>
          </w:p>
        </w:tc>
      </w:tr>
      <w:tr>
        <w:trPr>
          <w:trHeight w:val="169"/>
        </w:trPr>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1240" w:type="dxa"/>
            <w:vAlign w:val="bottom"/>
          </w:tcPr>
          <w:p>
            <w:pPr>
              <w:jc w:val="right"/>
              <w:ind w:right="539"/>
              <w:spacing w:after="0"/>
              <w:rPr>
                <w:sz w:val="20"/>
                <w:szCs w:val="20"/>
                <w:color w:val="auto"/>
              </w:rPr>
            </w:pPr>
            <w:r>
              <w:rPr>
                <w:rFonts w:ascii="Times New Roman" w:cs="Times New Roman" w:eastAsia="Times New Roman" w:hAnsi="Times New Roman"/>
                <w:sz w:val="12"/>
                <w:szCs w:val="12"/>
                <w:color w:val="auto"/>
              </w:rPr>
              <w:t>3</w:t>
            </w:r>
          </w:p>
        </w:tc>
        <w:tc>
          <w:tcPr>
            <w:tcW w:w="38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0"/>
                <w:szCs w:val="10"/>
                <w:color w:val="auto"/>
              </w:rPr>
              <w:t xml:space="preserve">​ ​  ​ </w:t>
            </w:r>
            <w:r>
              <w:rPr>
                <w:rFonts w:ascii="Times New Roman" w:cs="Times New Roman" w:eastAsia="Times New Roman" w:hAnsi="Times New Roman"/>
                <w:sz w:val="19"/>
                <w:szCs w:val="19"/>
                <w:color w:val="auto"/>
                <w:vertAlign w:val="super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3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0"/>
                <w:szCs w:val="10"/>
                <w:color w:val="auto"/>
              </w:rPr>
              <w:t xml:space="preserve">​​ ​ ​ </w:t>
            </w:r>
            <w:r>
              <w:rPr>
                <w:rFonts w:ascii="Times New Roman" w:cs="Times New Roman" w:eastAsia="Times New Roman" w:hAnsi="Times New Roman"/>
                <w:sz w:val="19"/>
                <w:szCs w:val="19"/>
                <w:color w:val="auto"/>
                <w:vertAlign w:val="superscript"/>
              </w:rPr>
              <w:t>​</w:t>
            </w:r>
          </w:p>
        </w:tc>
        <w:tc>
          <w:tcPr>
            <w:tcW w:w="300" w:type="dxa"/>
            <w:vAlign w:val="bottom"/>
            <w:gridSpan w:val="3"/>
          </w:tcPr>
          <w:p>
            <w:pPr>
              <w:jc w:val="right"/>
              <w:spacing w:after="0" w:line="169" w:lineRule="exact"/>
              <w:rPr>
                <w:sz w:val="20"/>
                <w:szCs w:val="20"/>
                <w:color w:val="auto"/>
              </w:rPr>
            </w:pPr>
            <w:r>
              <w:rPr>
                <w:rFonts w:ascii="Times New Roman" w:cs="Times New Roman" w:eastAsia="Times New Roman" w:hAnsi="Times New Roman"/>
                <w:sz w:val="10"/>
                <w:szCs w:val="10"/>
                <w:color w:val="auto"/>
              </w:rPr>
              <w:t xml:space="preserve">75 </w:t>
            </w:r>
            <w:r>
              <w:rPr>
                <w:rFonts w:ascii="Times New Roman" w:cs="Times New Roman" w:eastAsia="Times New Roman" w:hAnsi="Times New Roman"/>
                <w:sz w:val="19"/>
                <w:szCs w:val="19"/>
                <w:b w:val="1"/>
                <w:bCs w:val="1"/>
                <w:color w:val="auto"/>
                <w:vertAlign w:val="subscript"/>
              </w:rPr>
              <w:t>​</w:t>
            </w:r>
          </w:p>
        </w:tc>
      </w:tr>
      <w:tr>
        <w:trPr>
          <w:trHeight w:val="20"/>
        </w:trPr>
        <w:tc>
          <w:tcPr>
            <w:tcW w:w="1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1240" w:type="dxa"/>
            <w:vAlign w:val="bottom"/>
          </w:tcPr>
          <w:p>
            <w:pPr>
              <w:jc w:val="right"/>
              <w:ind w:right="539"/>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​23,849</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 xml:space="preserve">​​ ​ ​ ​24,257 </w:t>
            </w:r>
            <w:r>
              <w:rPr>
                <w:rFonts w:ascii="Times New Roman" w:cs="Times New Roman" w:eastAsia="Times New Roman" w:hAnsi="Times New Roman"/>
                <w:sz w:val="12"/>
                <w:szCs w:val="12"/>
                <w:b w:val="1"/>
                <w:bCs w:val="1"/>
                <w:color w:val="auto"/>
              </w:rPr>
              <w:t>​</w:t>
            </w:r>
          </w:p>
        </w:tc>
      </w:tr>
      <w:tr>
        <w:trPr>
          <w:trHeight w:val="169"/>
        </w:trPr>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1240" w:type="dxa"/>
            <w:vAlign w:val="bottom"/>
          </w:tcPr>
          <w:p>
            <w:pPr>
              <w:jc w:val="right"/>
              <w:ind w:right="539"/>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​(1,408)</w:t>
            </w:r>
          </w:p>
        </w:tc>
        <w:tc>
          <w:tcPr>
            <w:tcW w:w="640" w:type="dxa"/>
            <w:vAlign w:val="bottom"/>
            <w:gridSpan w:val="5"/>
          </w:tcPr>
          <w:p>
            <w:pPr>
              <w:jc w:val="right"/>
              <w:spacing w:after="0" w:line="169" w:lineRule="exact"/>
              <w:rPr>
                <w:sz w:val="20"/>
                <w:szCs w:val="20"/>
                <w:color w:val="auto"/>
              </w:rPr>
            </w:pPr>
            <w:r>
              <w:rPr>
                <w:rFonts w:ascii="Times New Roman" w:cs="Times New Roman" w:eastAsia="Times New Roman" w:hAnsi="Times New Roman"/>
                <w:sz w:val="19"/>
                <w:szCs w:val="19"/>
                <w:color w:val="auto"/>
                <w:vertAlign w:val="subscript"/>
              </w:rPr>
              <w:t>​​ ​ ​</w:t>
            </w:r>
            <w:r>
              <w:rPr>
                <w:rFonts w:ascii="Times New Roman" w:cs="Times New Roman" w:eastAsia="Times New Roman" w:hAnsi="Times New Roman"/>
                <w:sz w:val="10"/>
                <w:szCs w:val="10"/>
                <w:color w:val="auto"/>
              </w:rPr>
              <w:t xml:space="preserve"> ​(2,166)</w:t>
            </w:r>
            <w:r>
              <w:rPr>
                <w:rFonts w:ascii="Times New Roman" w:cs="Times New Roman" w:eastAsia="Times New Roman" w:hAnsi="Times New Roman"/>
                <w:sz w:val="19"/>
                <w:szCs w:val="19"/>
                <w:b w:val="1"/>
                <w:bCs w:val="1"/>
                <w:color w:val="auto"/>
                <w:vertAlign w:val="subscript"/>
              </w:rPr>
              <w:t>​</w:t>
            </w:r>
          </w:p>
        </w:tc>
      </w:tr>
      <w:tr>
        <w:trPr>
          <w:trHeight w:val="20"/>
        </w:trPr>
        <w:tc>
          <w:tcPr>
            <w:tcW w:w="1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1240" w:type="dxa"/>
            <w:vAlign w:val="bottom"/>
          </w:tcPr>
          <w:p>
            <w:pPr>
              <w:jc w:val="right"/>
              <w:ind w:right="539"/>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22,441</w:t>
            </w:r>
          </w:p>
        </w:tc>
        <w:tc>
          <w:tcPr>
            <w:tcW w:w="640" w:type="dxa"/>
            <w:vAlign w:val="bottom"/>
            <w:gridSpan w:val="5"/>
          </w:tcPr>
          <w:p>
            <w:pPr>
              <w:jc w:val="right"/>
              <w:spacing w:after="0" w:line="164" w:lineRule="exact"/>
              <w:rPr>
                <w:sz w:val="20"/>
                <w:szCs w:val="20"/>
                <w:color w:val="auto"/>
              </w:rPr>
            </w:pPr>
            <w:r>
              <w:rPr>
                <w:rFonts w:ascii="Times New Roman" w:cs="Times New Roman" w:eastAsia="Times New Roman" w:hAnsi="Times New Roman"/>
                <w:sz w:val="18"/>
                <w:szCs w:val="18"/>
                <w:color w:val="auto"/>
                <w:vertAlign w:val="subscript"/>
              </w:rPr>
              <w:t>​​ ​ ​</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 xml:space="preserve">22,091 </w:t>
            </w:r>
            <w:r>
              <w:rPr>
                <w:rFonts w:ascii="Times New Roman" w:cs="Times New Roman" w:eastAsia="Times New Roman" w:hAnsi="Times New Roman"/>
                <w:sz w:val="18"/>
                <w:szCs w:val="18"/>
                <w:b w:val="1"/>
                <w:bCs w:val="1"/>
                <w:color w:val="auto"/>
                <w:vertAlign w:val="subscript"/>
              </w:rPr>
              <w:t>​</w:t>
            </w:r>
          </w:p>
        </w:tc>
      </w:tr>
      <w:tr>
        <w:trPr>
          <w:trHeight w:val="20"/>
        </w:trPr>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-1828165</wp:posOffset>
            </wp:positionH>
            <wp:positionV relativeFrom="paragraph">
              <wp:posOffset>-714375</wp:posOffset>
            </wp:positionV>
            <wp:extent cx="3535680" cy="1104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535680" cy="110490"/>
                    </a:xfrm>
                    <a:prstGeom prst="rect">
                      <a:avLst/>
                    </a:prstGeom>
                    <a:noFill/>
                  </pic:spPr>
                </pic:pic>
              </a:graphicData>
            </a:graphic>
          </wp:anchor>
        </w:drawing>
        <w:drawing>
          <wp:anchor simplePos="0" relativeHeight="251657728" behindDoc="1" locked="0" layoutInCell="0" allowOverlap="1">
            <wp:simplePos x="0" y="0"/>
            <wp:positionH relativeFrom="column">
              <wp:posOffset>-1828165</wp:posOffset>
            </wp:positionH>
            <wp:positionV relativeFrom="paragraph">
              <wp:posOffset>-260985</wp:posOffset>
            </wp:positionV>
            <wp:extent cx="3535680" cy="1219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535680" cy="121920"/>
                    </a:xfrm>
                    <a:prstGeom prst="rect">
                      <a:avLst/>
                    </a:prstGeom>
                    <a:noFill/>
                  </pic:spPr>
                </pic:pic>
              </a:graphicData>
            </a:graphic>
          </wp:anchor>
        </w:drawing>
        <w:drawing>
          <wp:anchor simplePos="0" relativeHeight="251657728" behindDoc="1" locked="0" layoutInCell="0" allowOverlap="1">
            <wp:simplePos x="0" y="0"/>
            <wp:positionH relativeFrom="column">
              <wp:posOffset>-1828165</wp:posOffset>
            </wp:positionH>
            <wp:positionV relativeFrom="paragraph">
              <wp:posOffset>-493395</wp:posOffset>
            </wp:positionV>
            <wp:extent cx="3535680" cy="1219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535680" cy="12192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4260" w:space="340"/>
            <w:col w:w="4419"/>
          </w:cols>
          <w:pgMar w:left="1440" w:top="106" w:right="1440" w:bottom="1440" w:gutter="0" w:footer="0" w:header="0"/>
          <w:type w:val="continuous"/>
        </w:sectPr>
      </w:pPr>
    </w:p>
    <w:p>
      <w:pPr>
        <w:ind w:left="1720" w:right="1739"/>
        <w:spacing w:after="0" w:line="291" w:lineRule="auto"/>
        <w:rPr>
          <w:sz w:val="20"/>
          <w:szCs w:val="20"/>
          <w:color w:val="auto"/>
        </w:rPr>
      </w:pPr>
      <w:r>
        <w:rPr>
          <w:rFonts w:ascii="Times New Roman" w:cs="Times New Roman" w:eastAsia="Times New Roman" w:hAnsi="Times New Roman"/>
          <w:sz w:val="12"/>
          <w:szCs w:val="12"/>
          <w:color w:val="auto"/>
        </w:rPr>
        <w:t>Depreciation and amortization expense was $0.1 million and $0.8 million for the three months ended March 31, 2023 and 2024, respectively.</w:t>
      </w:r>
    </w:p>
    <w:p>
      <w:pPr>
        <w:spacing w:after="0" w:line="10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Other Accrued Expenses and Current Liabilities</w:t>
      </w:r>
    </w:p>
    <w:p>
      <w:pPr>
        <w:spacing w:after="0" w:line="1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Other accrued expenses and current liabilities consist of the following (in thousands):</w:t>
      </w:r>
    </w:p>
    <w:p>
      <w:pPr>
        <w:spacing w:after="0" w:line="119"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1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140" w:type="dxa"/>
            <w:vAlign w:val="bottom"/>
          </w:tcPr>
          <w:p>
            <w:pPr>
              <w:spacing w:after="0"/>
              <w:rPr>
                <w:sz w:val="10"/>
                <w:szCs w:val="10"/>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March 31,</w:t>
            </w:r>
          </w:p>
        </w:tc>
      </w:tr>
      <w:tr>
        <w:trPr>
          <w:trHeight w:val="145"/>
        </w:trPr>
        <w:tc>
          <w:tcPr>
            <w:tcW w:w="2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240" w:type="dxa"/>
            <w:vAlign w:val="bottom"/>
          </w:tcPr>
          <w:p>
            <w:pPr>
              <w:ind w:left="2140"/>
              <w:spacing w:after="0"/>
              <w:rPr>
                <w:sz w:val="20"/>
                <w:szCs w:val="20"/>
                <w:color w:val="auto"/>
              </w:rPr>
            </w:pPr>
            <w:r>
              <w:rPr>
                <w:rFonts w:ascii="Times New Roman" w:cs="Times New Roman" w:eastAsia="Times New Roman" w:hAnsi="Times New Roman"/>
                <w:sz w:val="10"/>
                <w:szCs w:val="10"/>
                <w:b w:val="1"/>
                <w:bCs w:val="1"/>
                <w:color w:val="auto"/>
              </w:rPr>
              <w:t>​ ​</w:t>
            </w:r>
          </w:p>
        </w:tc>
        <w:tc>
          <w:tcPr>
            <w:tcW w:w="58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2023</w:t>
            </w:r>
          </w:p>
        </w:tc>
        <w:tc>
          <w:tcPr>
            <w:tcW w:w="62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2024   </w:t>
            </w:r>
            <w:r>
              <w:rPr>
                <w:rFonts w:ascii="Times New Roman" w:cs="Times New Roman" w:eastAsia="Times New Roman" w:hAnsi="Times New Roman"/>
                <w:sz w:val="16"/>
                <w:szCs w:val="16"/>
                <w:b w:val="1"/>
                <w:bCs w:val="1"/>
                <w:color w:val="auto"/>
                <w:vertAlign w:val="subscript"/>
              </w:rPr>
              <w:t>​</w:t>
            </w:r>
          </w:p>
        </w:tc>
      </w:tr>
      <w:tr>
        <w:trPr>
          <w:trHeight w:val="20"/>
        </w:trPr>
        <w:tc>
          <w:tcPr>
            <w:tcW w:w="2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-5080</wp:posOffset>
            </wp:positionV>
            <wp:extent cx="3535680" cy="11620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Accrued personnel and related expenses</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Accrued 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1219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535680" cy="12192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Accrued other expenses</w:t>
      </w:r>
    </w:p>
    <w:p>
      <w:pPr>
        <w:spacing w:after="0" w:line="6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2"/>
          <w:szCs w:val="12"/>
          <w:color w:val="auto"/>
        </w:rPr>
        <w:t>Total other accrued expenses and current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​$5,585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 ​$1,645</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2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 ​1,093</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xml:space="preserve">​​ ​ ​ ​1,907 </w:t>
            </w:r>
            <w:r>
              <w:rPr>
                <w:rFonts w:ascii="Times New Roman" w:cs="Times New Roman" w:eastAsia="Times New Roman" w:hAnsi="Times New Roman"/>
                <w:sz w:val="12"/>
                <w:szCs w:val="12"/>
                <w:b w:val="1"/>
                <w:bCs w:val="1"/>
                <w:color w:val="auto"/>
              </w:rPr>
              <w:t>​</w:t>
            </w:r>
          </w:p>
        </w:tc>
      </w:tr>
      <w:tr>
        <w:trPr>
          <w:trHeight w:val="169"/>
        </w:trPr>
        <w:tc>
          <w:tcPr>
            <w:tcW w:w="2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 409</w:t>
            </w:r>
          </w:p>
        </w:tc>
        <w:tc>
          <w:tcPr>
            <w:tcW w:w="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jc w:val="right"/>
              <w:spacing w:after="0" w:line="169"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 802</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6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2"/>
        </w:trPr>
        <w:tc>
          <w:tcPr>
            <w:tcW w:w="2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7,087</w:t>
            </w:r>
          </w:p>
        </w:tc>
        <w:tc>
          <w:tcPr>
            <w:tcW w:w="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4,354</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60" w:space="720"/>
            <w:col w:w="3039"/>
          </w:cols>
          <w:pgMar w:left="1440" w:top="106" w:right="1440"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252" w:name="page253"/>
    <w:bookmarkEnd w:id="25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 (Continued)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6. Related Party Transactions</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Foresite Labs Services Agreement</w:t>
      </w:r>
    </w:p>
    <w:p>
      <w:pPr>
        <w:spacing w:after="0" w:line="111"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Foresite Labs, LLC (“Foresite Labs”) is an affiliate of Foresite Capital Management, a stockholder of the Company. In January 2021, the Company entered into a services agreement with Foresite Labs, which was amended and restated in August 2021 and in December 2023, and expires in December 2026, unless terminated earlier by the parties. Thereafter, on each anniversary of the effective date, the agreement will automatically renew for an additional one year term, unless terminated earlier by the parties. Foresite Labs provides services to assist the Company in exploring specified immunology genetic targets. For the three months ended March 31, 2023 and 2024, the Company recognized $0.3 million and $0.4 million as research and development expenses under the service agreement, respectively. Accrued expenses under the service agreement were less than $0.1 million as of December 31, 2023 and were zero as of March 31, 2024.</w:t>
      </w:r>
    </w:p>
    <w:p>
      <w:pPr>
        <w:spacing w:after="0" w:line="12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7. Commitments and Contingent Liabilities</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Operating Leases</w:t>
      </w:r>
    </w:p>
    <w:p>
      <w:pPr>
        <w:spacing w:after="0" w:line="111"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In 2021, the Company entered into a lease agreement for 14,000 square feet of office space in South San Francisco, California, which commenced in August 2021 and had a contractual termination date of September 2024. In September 2023, the Company abandoned this right-of-use asset as it had moved to its new office space described below; the Company recognized a loss on this abandonment in the amount of $0.6 million.</w:t>
      </w:r>
    </w:p>
    <w:p>
      <w:pPr>
        <w:spacing w:after="0" w:line="215"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color w:val="auto"/>
        </w:rPr>
        <w:t>In January 2022, the Company entered into a lease agreement for 12,000 square feet of office and laboratory space in South San Francisco, California, that commenced in July 2022 and had a contractual termination date of July 2029. This lease contained an early termination option, allowing the Company to terminate this lease before the expiry of the lease term. The Company concluded the lease term for accounting purposes ended in August 2023. In April 2023, this lease was modified to reduce the contractual lease term to terminate in October 2023. The accounting impact of the modification was not material.</w:t>
      </w:r>
    </w:p>
    <w:p>
      <w:pPr>
        <w:spacing w:after="0" w:line="76"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In August 2022, the Company entered into a lease agreement for 55,000 square feet of additional office and laboratory space in South San Francisco, California, which commenced in January 2023 and has a contractual termination date in August 2033. The Company constructed leasehold improvements in the space, which were concluded to be lessee assets. The lessor provided the Company a tenant improvement allowance of $17.2 million, of which $16.7 million and $0 was received and was accounted for as a reduction to lease payments for the year ended December 31, 2023 and March 31, 2024, respectively. At the commencement date, future lease payments totaled $37.9 million, including $54.6 million in gross fixed payments less $16.7 million in lease incentives expected to be received during the first year of the lease. The lease liability at lease commencement was calculated to be $14.1 million, which is equal to the present value of the future lease payments, discounted at the incremental borrowing rate of 11.4%. Following the commencement date, the Company measured its lease liability and right-of-use asset in accordance with ASC 842-20-35-3. In accordance with this guidance, future lease payments increased as the $16.7 million incentive was received and future gross fixed payments were no longer offset by these incentives. The Company recorded the leasehold improvements in property and equipment, net in the condensed consolidated balance sheets as of December 31, 2023 and March 31, 2024. The lease agreement also includes a renewal option allowing the Company to extend this lease for an additional three years at the prevailing rental rate, which the Company was not reasonably certain to exercise.</w:t>
      </w:r>
    </w:p>
    <w:p>
      <w:pPr>
        <w:spacing w:after="0" w:line="228"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color w:val="auto"/>
        </w:rPr>
        <w:t>The Company maintains letters of credit on these leases in the amount of $1.1 million at December 31, 2023 and March 31, 2024. The lease letters of credit are reflected on the Company’s condensed consolidated balance sheets in restricted cash, current and restricted cash, noncurrent as of December 31, 2023 and March 31, 2024.</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53" w:name="page254"/>
    <w:bookmarkEnd w:id="253"/>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 (Continued)</w:t>
      </w:r>
    </w:p>
    <w:p>
      <w:pPr>
        <w:spacing w:after="0" w:line="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7. Commitments and Contingent Liabilities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Operating Leases (Continued)</w:t>
      </w:r>
    </w:p>
    <w:p>
      <w:pPr>
        <w:spacing w:after="0" w:line="15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The components of lease costs were as follows (in thousands):</w:t>
      </w:r>
    </w:p>
    <w:p>
      <w:pPr>
        <w:spacing w:after="0" w:line="128"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28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60" w:type="dxa"/>
            <w:vAlign w:val="bottom"/>
            <w:gridSpan w:val="5"/>
          </w:tcPr>
          <w:p>
            <w:pPr>
              <w:jc w:val="center"/>
              <w:ind w:right="3"/>
              <w:spacing w:after="0"/>
              <w:rPr>
                <w:sz w:val="20"/>
                <w:szCs w:val="20"/>
                <w:color w:val="auto"/>
              </w:rPr>
            </w:pPr>
            <w:r>
              <w:rPr>
                <w:rFonts w:ascii="Times New Roman" w:cs="Times New Roman" w:eastAsia="Times New Roman" w:hAnsi="Times New Roman"/>
                <w:sz w:val="10"/>
                <w:szCs w:val="10"/>
                <w:b w:val="1"/>
                <w:bCs w:val="1"/>
                <w:color w:val="auto"/>
                <w:w w:val="91"/>
              </w:rPr>
              <w:t>Three months ended</w:t>
            </w:r>
          </w:p>
        </w:tc>
      </w:tr>
      <w:tr>
        <w:trPr>
          <w:trHeight w:val="145"/>
        </w:trPr>
        <w:tc>
          <w:tcPr>
            <w:tcW w:w="28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900" w:type="dxa"/>
            <w:vAlign w:val="bottom"/>
          </w:tcPr>
          <w:p>
            <w:pPr>
              <w:ind w:left="1740"/>
              <w:spacing w:after="0"/>
              <w:rPr>
                <w:sz w:val="20"/>
                <w:szCs w:val="20"/>
                <w:color w:val="auto"/>
              </w:rPr>
            </w:pPr>
            <w:r>
              <w:rPr>
                <w:rFonts w:ascii="Times New Roman" w:cs="Times New Roman" w:eastAsia="Times New Roman" w:hAnsi="Times New Roman"/>
                <w:sz w:val="10"/>
                <w:szCs w:val="10"/>
                <w:b w:val="1"/>
                <w:bCs w:val="1"/>
                <w:color w:val="auto"/>
              </w:rPr>
              <w:t>​ ​</w:t>
            </w:r>
          </w:p>
        </w:tc>
        <w:tc>
          <w:tcPr>
            <w:tcW w:w="620" w:type="dxa"/>
            <w:vAlign w:val="bottom"/>
            <w:tcBorders>
              <w:bottom w:val="single" w:sz="8" w:color="auto"/>
            </w:tcBorders>
            <w:gridSpan w:val="3"/>
          </w:tcPr>
          <w:p>
            <w:pPr>
              <w:jc w:val="center"/>
              <w:ind w:left="148"/>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200" w:type="dxa"/>
            <w:vAlign w:val="bottom"/>
            <w:tcBorders>
              <w:bottom w:val="single" w:sz="8" w:color="auto"/>
            </w:tcBorders>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54"/>
        </w:trPr>
        <w:tc>
          <w:tcPr>
            <w:tcW w:w="28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900" w:type="dxa"/>
            <w:vAlign w:val="bottom"/>
          </w:tcPr>
          <w:p>
            <w:pPr>
              <w:ind w:left="1780"/>
              <w:spacing w:after="0"/>
              <w:rPr>
                <w:sz w:val="20"/>
                <w:szCs w:val="20"/>
                <w:color w:val="auto"/>
              </w:rPr>
            </w:pPr>
            <w:r>
              <w:rPr>
                <w:rFonts w:ascii="Times New Roman" w:cs="Times New Roman" w:eastAsia="Times New Roman" w:hAnsi="Times New Roman"/>
                <w:sz w:val="10"/>
                <w:szCs w:val="10"/>
                <w:b w:val="1"/>
                <w:bCs w:val="1"/>
                <w:color w:val="auto"/>
              </w:rPr>
              <w:t>​</w:t>
            </w:r>
          </w:p>
        </w:tc>
        <w:tc>
          <w:tcPr>
            <w:tcW w:w="480" w:type="dxa"/>
            <w:vAlign w:val="bottom"/>
            <w:gridSpan w:val="2"/>
          </w:tcPr>
          <w:p>
            <w:pPr>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 xml:space="preserve">  2023  </w:t>
            </w:r>
            <w:r>
              <w:rPr>
                <w:rFonts w:ascii="Times New Roman" w:cs="Times New Roman" w:eastAsia="Times New Roman" w:hAnsi="Times New Roman"/>
                <w:sz w:val="17"/>
                <w:szCs w:val="17"/>
                <w:b w:val="1"/>
                <w:bCs w:val="1"/>
                <w:color w:val="auto"/>
                <w:vertAlign w:val="subscript"/>
              </w:rPr>
              <w:t>​</w:t>
            </w:r>
          </w:p>
        </w:tc>
        <w:tc>
          <w:tcPr>
            <w:tcW w:w="380" w:type="dxa"/>
            <w:vAlign w:val="bottom"/>
            <w:gridSpan w:val="3"/>
          </w:tcPr>
          <w:p>
            <w:pPr>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 xml:space="preserve">  2024  </w:t>
            </w:r>
            <w:r>
              <w:rPr>
                <w:rFonts w:ascii="Times New Roman" w:cs="Times New Roman" w:eastAsia="Times New Roman" w:hAnsi="Times New Roman"/>
                <w:sz w:val="17"/>
                <w:szCs w:val="17"/>
                <w:b w:val="1"/>
                <w:bCs w:val="1"/>
                <w:color w:val="auto"/>
                <w:vertAlign w:val="subscript"/>
              </w:rPr>
              <w:t>​</w:t>
            </w:r>
          </w:p>
        </w:tc>
      </w:tr>
      <w:tr>
        <w:trPr>
          <w:trHeight w:val="20"/>
        </w:trPr>
        <w:tc>
          <w:tcPr>
            <w:tcW w:w="2840" w:type="dxa"/>
            <w:vAlign w:val="bottom"/>
            <w:shd w:val="clear" w:color="auto" w:fill="CCEEFF"/>
          </w:tcPr>
          <w:p>
            <w:pPr>
              <w:spacing w:after="0" w:line="20" w:lineRule="exact"/>
              <w:rPr>
                <w:sz w:val="1"/>
                <w:szCs w:val="1"/>
                <w:color w:val="auto"/>
              </w:rPr>
            </w:pPr>
          </w:p>
        </w:tc>
        <w:tc>
          <w:tcPr>
            <w:tcW w:w="190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costs</w:t>
            </w:r>
          </w:p>
        </w:tc>
        <w:tc>
          <w:tcPr>
            <w:tcW w:w="1900" w:type="dxa"/>
            <w:vAlign w:val="bottom"/>
            <w:tcBorders>
              <w:right w:val="single" w:sz="8" w:color="CCEEFF"/>
            </w:tcBorders>
            <w:shd w:val="clear" w:color="auto" w:fill="CCEEFF"/>
          </w:tcPr>
          <w:p>
            <w:pPr>
              <w:ind w:left="178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​​$1,272​​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876</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3"/>
        </w:trPr>
        <w:tc>
          <w:tcPr>
            <w:tcW w:w="2840" w:type="dxa"/>
            <w:vAlign w:val="bottom"/>
          </w:tcPr>
          <w:p>
            <w:pPr>
              <w:spacing w:after="0"/>
              <w:rPr>
                <w:sz w:val="20"/>
                <w:szCs w:val="20"/>
                <w:color w:val="auto"/>
              </w:rPr>
            </w:pPr>
            <w:r>
              <w:rPr>
                <w:rFonts w:ascii="Times New Roman" w:cs="Times New Roman" w:eastAsia="Times New Roman" w:hAnsi="Times New Roman"/>
                <w:sz w:val="12"/>
                <w:szCs w:val="12"/>
                <w:color w:val="auto"/>
              </w:rPr>
              <w:t>Variable lease costs</w:t>
            </w:r>
          </w:p>
        </w:tc>
        <w:tc>
          <w:tcPr>
            <w:tcW w:w="1900" w:type="dxa"/>
            <w:vAlign w:val="bottom"/>
          </w:tcPr>
          <w:p>
            <w:pPr>
              <w:ind w:left="178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  46</w:t>
            </w:r>
            <w:r>
              <w:rPr>
                <w:rFonts w:ascii="Times New Roman" w:cs="Times New Roman" w:eastAsia="Times New Roman" w:hAnsi="Times New Roman"/>
                <w:sz w:val="11"/>
                <w:szCs w:val="11"/>
                <w:color w:val="auto"/>
              </w:rPr>
              <w:t>​​</w:t>
            </w:r>
          </w:p>
        </w:tc>
        <w:tc>
          <w:tcPr>
            <w:tcW w:w="140" w:type="dxa"/>
            <w:vAlign w:val="bottom"/>
          </w:tcPr>
          <w:p>
            <w:pPr>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24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1"/>
                <w:szCs w:val="11"/>
                <w:color w:val="auto"/>
              </w:rPr>
              <w:t>330</w:t>
            </w:r>
            <w:r>
              <w:rPr>
                <w:rFonts w:ascii="Times New Roman" w:cs="Times New Roman" w:eastAsia="Times New Roman" w:hAnsi="Times New Roman"/>
                <w:sz w:val="21"/>
                <w:szCs w:val="21"/>
                <w:color w:val="auto"/>
                <w:vertAlign w:val="subscript"/>
              </w:rPr>
              <w:t>​</w:t>
            </w:r>
          </w:p>
        </w:tc>
      </w:tr>
      <w:tr>
        <w:trPr>
          <w:trHeight w:val="20"/>
        </w:trPr>
        <w:tc>
          <w:tcPr>
            <w:tcW w:w="2840" w:type="dxa"/>
            <w:vAlign w:val="bottom"/>
            <w:shd w:val="clear" w:color="auto" w:fill="CCEEFF"/>
          </w:tcPr>
          <w:p>
            <w:pPr>
              <w:spacing w:after="0" w:line="20" w:lineRule="exact"/>
              <w:rPr>
                <w:sz w:val="1"/>
                <w:szCs w:val="1"/>
                <w:color w:val="auto"/>
              </w:rPr>
            </w:pPr>
          </w:p>
        </w:tc>
        <w:tc>
          <w:tcPr>
            <w:tcW w:w="19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lease costs</w:t>
            </w:r>
          </w:p>
        </w:tc>
        <w:tc>
          <w:tcPr>
            <w:tcW w:w="1900" w:type="dxa"/>
            <w:vAlign w:val="bottom"/>
            <w:tcBorders>
              <w:right w:val="single" w:sz="8" w:color="CCEEFF"/>
            </w:tcBorders>
            <w:shd w:val="clear" w:color="auto" w:fill="CCEEFF"/>
          </w:tcPr>
          <w:p>
            <w:pPr>
              <w:ind w:left="178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right w:val="single" w:sz="8" w:color="CCEEFF"/>
            </w:tcBorders>
            <w:gridSpan w:val="2"/>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1,318</w:t>
            </w:r>
            <w:r>
              <w:rPr>
                <w:rFonts w:ascii="Times New Roman" w:cs="Times New Roman" w:eastAsia="Times New Roman" w:hAnsi="Times New Roman"/>
                <w:sz w:val="18"/>
                <w:szCs w:val="18"/>
                <w:color w:val="auto"/>
                <w:vertAlign w:val="subscript"/>
              </w:rPr>
              <w:t>​​</w:t>
            </w:r>
          </w:p>
        </w:tc>
        <w:tc>
          <w:tcPr>
            <w:tcW w:w="34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1,206</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37"/>
        </w:trPr>
        <w:tc>
          <w:tcPr>
            <w:tcW w:w="2840" w:type="dxa"/>
            <w:vAlign w:val="bottom"/>
            <w:shd w:val="clear" w:color="auto" w:fill="CCEEFF"/>
          </w:tcPr>
          <w:p>
            <w:pPr>
              <w:spacing w:after="0"/>
              <w:rPr>
                <w:sz w:val="3"/>
                <w:szCs w:val="3"/>
                <w:color w:val="auto"/>
              </w:rPr>
            </w:pPr>
          </w:p>
        </w:tc>
        <w:tc>
          <w:tcPr>
            <w:tcW w:w="190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-144780</wp:posOffset>
            </wp:positionV>
            <wp:extent cx="3320415" cy="57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32041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-377190</wp:posOffset>
            </wp:positionV>
            <wp:extent cx="3314700" cy="571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314700" cy="5715"/>
                    </a:xfrm>
                    <a:prstGeom prst="rect">
                      <a:avLst/>
                    </a:prstGeom>
                    <a:noFill/>
                  </pic:spPr>
                </pic:pic>
              </a:graphicData>
            </a:graphic>
          </wp:anchor>
        </w:drawing>
      </w:r>
    </w:p>
    <w:p>
      <w:pPr>
        <w:spacing w:after="0" w:line="12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Supplemental cash flow information related to the operating leases were as follows (in thousands):</w:t>
      </w:r>
    </w:p>
    <w:p>
      <w:pPr>
        <w:spacing w:after="0" w:line="119"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3"/>
              </w:rPr>
              <w:t>Three months ended</w:t>
            </w:r>
          </w:p>
        </w:tc>
        <w:tc>
          <w:tcPr>
            <w:tcW w:w="40" w:type="dxa"/>
            <w:vAlign w:val="bottom"/>
          </w:tcPr>
          <w:p>
            <w:pPr>
              <w:spacing w:after="0"/>
              <w:rPr>
                <w:sz w:val="10"/>
                <w:szCs w:val="10"/>
                <w:color w:val="auto"/>
              </w:rPr>
            </w:pPr>
          </w:p>
        </w:tc>
      </w:tr>
      <w:tr>
        <w:trPr>
          <w:trHeight w:val="145"/>
        </w:trPr>
        <w:tc>
          <w:tcPr>
            <w:tcW w:w="4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10"/>
                <w:szCs w:val="10"/>
                <w:b w:val="1"/>
                <w:bCs w:val="1"/>
                <w:color w:val="auto"/>
              </w:rPr>
              <w:t>​ ​</w:t>
            </w: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54"/>
        </w:trPr>
        <w:tc>
          <w:tcPr>
            <w:tcW w:w="4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Pr>
          <w:p>
            <w:pPr>
              <w:ind w:left="460"/>
              <w:spacing w:after="0"/>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gridSpan w:val="3"/>
          </w:tcPr>
          <w:p>
            <w:pPr>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 xml:space="preserve">  2023  </w:t>
            </w:r>
            <w:r>
              <w:rPr>
                <w:rFonts w:ascii="Times New Roman" w:cs="Times New Roman" w:eastAsia="Times New Roman" w:hAnsi="Times New Roman"/>
                <w:sz w:val="17"/>
                <w:szCs w:val="17"/>
                <w:b w:val="1"/>
                <w:bCs w:val="1"/>
                <w:color w:val="auto"/>
                <w:vertAlign w:val="subscript"/>
              </w:rPr>
              <w:t>​ ​</w:t>
            </w:r>
            <w:r>
              <w:rPr>
                <w:rFonts w:ascii="Times New Roman" w:cs="Times New Roman" w:eastAsia="Times New Roman" w:hAnsi="Times New Roman"/>
                <w:sz w:val="9"/>
                <w:szCs w:val="9"/>
                <w:b w:val="1"/>
                <w:bCs w:val="1"/>
                <w:color w:val="auto"/>
              </w:rPr>
              <w:t xml:space="preserve">  2024</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41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payments included in the measurement of operating lease liabilities</w:t>
            </w:r>
          </w:p>
        </w:tc>
        <w:tc>
          <w:tcPr>
            <w:tcW w:w="560" w:type="dxa"/>
            <w:vAlign w:val="bottom"/>
            <w:tcBorders>
              <w:right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shd w:val="clear" w:color="auto" w:fill="CCEEFF"/>
          </w:tcPr>
          <w:p>
            <w:pPr>
              <w:spacing w:after="0" w:line="173" w:lineRule="exact"/>
              <w:rPr>
                <w:sz w:val="20"/>
                <w:szCs w:val="20"/>
                <w:color w:val="auto"/>
              </w:rPr>
            </w:pP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10"/>
                <w:szCs w:val="10"/>
                <w:color w:val="auto"/>
              </w:rPr>
              <w:t xml:space="preserve">$426 </w:t>
            </w:r>
            <w:r>
              <w:rPr>
                <w:rFonts w:ascii="Times New Roman" w:cs="Times New Roman" w:eastAsia="Times New Roman" w:hAnsi="Times New Roman"/>
                <w:sz w:val="19"/>
                <w:szCs w:val="19"/>
                <w:color w:val="auto"/>
                <w:vertAlign w:val="subscript"/>
              </w:rPr>
              <w:t>​​ ​ ​</w:t>
            </w:r>
            <w:r>
              <w:rPr>
                <w:rFonts w:ascii="Times New Roman" w:cs="Times New Roman" w:eastAsia="Times New Roman" w:hAnsi="Times New Roman"/>
                <w:sz w:val="10"/>
                <w:szCs w:val="10"/>
                <w:color w:val="auto"/>
              </w:rPr>
              <w:t>$1,350</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-121285</wp:posOffset>
            </wp:positionV>
            <wp:extent cx="3285490" cy="571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285490" cy="5715"/>
                    </a:xfrm>
                    <a:prstGeom prst="rect">
                      <a:avLst/>
                    </a:prstGeom>
                    <a:noFill/>
                  </pic:spPr>
                </pic:pic>
              </a:graphicData>
            </a:graphic>
          </wp:anchor>
        </w:drawing>
      </w:r>
    </w:p>
    <w:p>
      <w:pPr>
        <w:spacing w:after="0" w:line="59" w:lineRule="exact"/>
        <w:rPr>
          <w:sz w:val="20"/>
          <w:szCs w:val="20"/>
          <w:color w:val="auto"/>
        </w:rPr>
      </w:pPr>
    </w:p>
    <w:p>
      <w:pPr>
        <w:ind w:left="1720" w:right="1739"/>
        <w:spacing w:after="0" w:line="265" w:lineRule="auto"/>
        <w:rPr>
          <w:sz w:val="20"/>
          <w:szCs w:val="20"/>
          <w:color w:val="auto"/>
        </w:rPr>
      </w:pPr>
      <w:r>
        <w:rPr>
          <w:rFonts w:ascii="Times New Roman" w:cs="Times New Roman" w:eastAsia="Times New Roman" w:hAnsi="Times New Roman"/>
          <w:sz w:val="12"/>
          <w:szCs w:val="12"/>
          <w:color w:val="auto"/>
        </w:rPr>
        <w:t>Weighted-average remaining lease term and incremental borrowing rate for the operating leases were as follows:</w:t>
      </w:r>
    </w:p>
    <w:p>
      <w:pPr>
        <w:spacing w:after="0" w:line="242"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89"/>
              </w:rPr>
              <w:t>December 31,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1"/>
              </w:rPr>
              <w:t>March 31,</w:t>
            </w:r>
          </w:p>
        </w:tc>
        <w:tc>
          <w:tcPr>
            <w:tcW w:w="40" w:type="dxa"/>
            <w:vAlign w:val="bottom"/>
          </w:tcPr>
          <w:p>
            <w:pPr>
              <w:spacing w:after="0"/>
              <w:rPr>
                <w:sz w:val="10"/>
                <w:szCs w:val="10"/>
                <w:color w:val="auto"/>
              </w:rPr>
            </w:pPr>
          </w:p>
        </w:tc>
      </w:tr>
      <w:tr>
        <w:trPr>
          <w:trHeight w:val="145"/>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0"/>
                <w:szCs w:val="10"/>
                <w:b w:val="1"/>
                <w:bCs w:val="1"/>
                <w:color w:val="auto"/>
              </w:rPr>
              <w:t>​ ​</w:t>
            </w:r>
          </w:p>
        </w:tc>
        <w:tc>
          <w:tcPr>
            <w:tcW w:w="5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4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remaining lease term (years)</w:t>
            </w:r>
          </w:p>
        </w:tc>
        <w:tc>
          <w:tcPr>
            <w:tcW w:w="10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9.5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 9.3</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2"/>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incremental borrowing rate</w:t>
            </w:r>
          </w:p>
        </w:tc>
        <w:tc>
          <w:tcPr>
            <w:tcW w:w="106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-237490</wp:posOffset>
            </wp:positionV>
            <wp:extent cx="3256915" cy="571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256915" cy="5715"/>
                    </a:xfrm>
                    <a:prstGeom prst="rect">
                      <a:avLst/>
                    </a:prstGeom>
                    <a:noFill/>
                  </pic:spPr>
                </pic:pic>
              </a:graphicData>
            </a:graphic>
          </wp:anchor>
        </w:drawing>
      </w:r>
    </w:p>
    <w:p>
      <w:pPr>
        <w:spacing w:after="0" w:line="50" w:lineRule="exact"/>
        <w:rPr>
          <w:sz w:val="20"/>
          <w:szCs w:val="20"/>
          <w:color w:val="auto"/>
        </w:rPr>
      </w:pPr>
    </w:p>
    <w:p>
      <w:pPr>
        <w:ind w:left="1720" w:right="1739"/>
        <w:spacing w:after="0" w:line="275" w:lineRule="auto"/>
        <w:rPr>
          <w:sz w:val="20"/>
          <w:szCs w:val="20"/>
          <w:color w:val="auto"/>
        </w:rPr>
      </w:pPr>
      <w:r>
        <w:rPr>
          <w:rFonts w:ascii="Times New Roman" w:cs="Times New Roman" w:eastAsia="Times New Roman" w:hAnsi="Times New Roman"/>
          <w:sz w:val="12"/>
          <w:szCs w:val="12"/>
          <w:color w:val="auto"/>
        </w:rPr>
        <w:t>Future minimum lease payments under non-cancelable leases as of March 31, 2024, were as detailed below (in thousands):</w:t>
      </w:r>
    </w:p>
    <w:p>
      <w:pPr>
        <w:sectPr>
          <w:pgSz w:w="11900" w:h="16838" w:orient="portrait"/>
          <w:cols w:equalWidth="0" w:num="1">
            <w:col w:w="9019"/>
          </w:cols>
          <w:pgMar w:left="1440" w:top="106" w:right="1440" w:bottom="1440" w:gutter="0" w:footer="0" w:header="0"/>
        </w:sectPr>
      </w:pPr>
    </w:p>
    <w:p>
      <w:pPr>
        <w:spacing w:after="0" w:line="7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2024​ (remainder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-73025</wp:posOffset>
            </wp:positionV>
            <wp:extent cx="3535680" cy="8128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535680" cy="81280"/>
                    </a:xfrm>
                    <a:prstGeom prst="rect">
                      <a:avLst/>
                    </a:prstGeom>
                    <a:noFill/>
                  </pic:spPr>
                </pic:pic>
              </a:graphicData>
            </a:graphic>
          </wp:anchor>
        </w:drawing>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535680" cy="1104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535680" cy="11049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2026​</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535680" cy="1104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535680" cy="11049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2028​</w:t>
      </w:r>
    </w:p>
    <w:p>
      <w:pPr>
        <w:ind w:left="1720"/>
        <w:spacing w:after="0" w:line="190" w:lineRule="auto"/>
        <w:rPr>
          <w:sz w:val="20"/>
          <w:szCs w:val="20"/>
          <w:color w:val="auto"/>
        </w:rPr>
      </w:pPr>
      <w:r>
        <w:rPr>
          <w:rFonts w:ascii="Times New Roman" w:cs="Times New Roman" w:eastAsia="Times New Roman" w:hAnsi="Times New Roman"/>
          <w:sz w:val="12"/>
          <w:szCs w:val="12"/>
          <w:color w:val="auto"/>
        </w:rPr>
        <w:t>Thereafter</w:t>
      </w:r>
      <w:r>
        <w:rPr>
          <w:rFonts w:ascii="Times New Roman" w:cs="Times New Roman" w:eastAsia="Times New Roman" w:hAnsi="Times New Roman"/>
          <w:sz w:val="24"/>
          <w:szCs w:val="24"/>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-10160</wp:posOffset>
            </wp:positionV>
            <wp:extent cx="3535680" cy="11620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2"/>
          <w:szCs w:val="12"/>
          <w:color w:val="auto"/>
        </w:rPr>
        <w:t>Total​ undiscounted lease payments</w:t>
      </w:r>
    </w:p>
    <w:p>
      <w:pPr>
        <w:ind w:left="1720"/>
        <w:spacing w:after="0" w:line="193" w:lineRule="auto"/>
        <w:rPr>
          <w:sz w:val="20"/>
          <w:szCs w:val="20"/>
          <w:color w:val="auto"/>
        </w:rPr>
      </w:pPr>
      <w:r>
        <w:rPr>
          <w:rFonts w:ascii="Times New Roman" w:cs="Times New Roman" w:eastAsia="Times New Roman" w:hAnsi="Times New Roman"/>
          <w:sz w:val="12"/>
          <w:szCs w:val="12"/>
          <w:color w:val="auto"/>
        </w:rPr>
        <w:t>Less:</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color w:val="auto"/>
        </w:rPr>
        <w:t xml:space="preserve">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-10160</wp:posOffset>
            </wp:positionV>
            <wp:extent cx="3535680" cy="133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535680" cy="133985"/>
                    </a:xfrm>
                    <a:prstGeom prst="rect">
                      <a:avLst/>
                    </a:prstGeom>
                    <a:noFill/>
                  </pic:spPr>
                </pic:pic>
              </a:graphicData>
            </a:graphic>
          </wp:anchor>
        </w:drawing>
      </w:r>
    </w:p>
    <w:p>
      <w:pPr>
        <w:ind w:left="1720"/>
        <w:spacing w:after="0" w:line="183" w:lineRule="auto"/>
        <w:rPr>
          <w:sz w:val="20"/>
          <w:szCs w:val="20"/>
          <w:color w:val="auto"/>
        </w:rPr>
      </w:pPr>
      <w:r>
        <w:rPr>
          <w:rFonts w:ascii="Times New Roman" w:cs="Times New Roman" w:eastAsia="Times New Roman" w:hAnsi="Times New Roman"/>
          <w:sz w:val="12"/>
          <w:szCs w:val="12"/>
          <w:color w:val="auto"/>
        </w:rPr>
        <w:t>Total</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color w:val="auto"/>
        </w:rPr>
        <w:t xml:space="preserve"> operating lease liabilities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2"/>
          <w:szCs w:val="12"/>
          <w:color w:val="auto"/>
        </w:rPr>
        <w:t>​ ​​$</w:t>
        <w:tab/>
        <w:t>3,919​</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 ​  4,962​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 ​  5,128​</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 ​  5,299​</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 ​  5,477​</w:t>
      </w:r>
    </w:p>
    <w:p>
      <w:pPr>
        <w:spacing w:after="0" w:line="190" w:lineRule="auto"/>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24"/>
          <w:szCs w:val="24"/>
          <w:u w:val="single" w:color="auto"/>
          <w:color w:val="auto"/>
          <w:vertAlign w:val="subscript"/>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 27,526</w:t>
      </w:r>
      <w:r>
        <w:rPr>
          <w:rFonts w:ascii="Times New Roman" w:cs="Times New Roman" w:eastAsia="Times New Roman" w:hAnsi="Times New Roman"/>
          <w:sz w:val="24"/>
          <w:szCs w:val="24"/>
          <w:color w:val="auto"/>
          <w:vertAlign w:val="subscript"/>
        </w:rPr>
        <w: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 ​ 52,311​</w:t>
      </w:r>
    </w:p>
    <w:p>
      <w:pPr>
        <w:ind w:left="80" w:hanging="70"/>
        <w:spacing w:after="0" w:line="193" w:lineRule="auto"/>
        <w:tabs>
          <w:tab w:leader="none" w:pos="80" w:val="left"/>
        </w:tabs>
        <w:numPr>
          <w:ilvl w:val="0"/>
          <w:numId w:val="138"/>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24"/>
          <w:szCs w:val="24"/>
          <w:u w:val="single" w:color="auto"/>
          <w:color w:val="auto"/>
          <w:vertAlign w:val="subscript"/>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​(20,235</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color w:val="auto"/>
        </w:rPr>
        <w:t>)</w:t>
      </w:r>
    </w:p>
    <w:p>
      <w:pPr>
        <w:ind w:left="80" w:hanging="70"/>
        <w:spacing w:after="0" w:line="183" w:lineRule="auto"/>
        <w:tabs>
          <w:tab w:leader="none" w:pos="80" w:val="left"/>
        </w:tabs>
        <w:numPr>
          <w:ilvl w:val="0"/>
          <w:numId w:val="138"/>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24"/>
          <w:szCs w:val="24"/>
          <w:u w:val="single" w:color="auto"/>
          <w:color w:val="auto"/>
          <w:vertAlign w:val="subscript"/>
        </w:rPr>
        <w:t>​</w:t>
      </w:r>
      <w:r>
        <w:rPr>
          <w:rFonts w:ascii="Times New Roman" w:cs="Times New Roman" w:eastAsia="Times New Roman" w:hAnsi="Times New Roman"/>
          <w:sz w:val="12"/>
          <w:szCs w:val="12"/>
          <w:u w:val="single" w:color="auto"/>
          <w:color w:val="auto"/>
        </w:rPr>
        <w:t>$ 32,076</w:t>
      </w:r>
      <w:r>
        <w:rPr>
          <w:rFonts w:ascii="Times New Roman" w:cs="Times New Roman" w:eastAsia="Times New Roman" w:hAnsi="Times New Roman"/>
          <w:sz w:val="24"/>
          <w:szCs w:val="24"/>
          <w:color w:val="auto"/>
          <w:vertAlign w:val="subscript"/>
        </w:rPr>
        <w:t>​</w:t>
      </w:r>
    </w:p>
    <w:p>
      <w:pPr>
        <w:spacing w:after="0" w:line="169" w:lineRule="exact"/>
        <w:rPr>
          <w:sz w:val="20"/>
          <w:szCs w:val="20"/>
          <w:color w:val="auto"/>
        </w:rPr>
      </w:pPr>
    </w:p>
    <w:p>
      <w:pPr>
        <w:sectPr>
          <w:pgSz w:w="11900" w:h="16838" w:orient="portrait"/>
          <w:cols w:equalWidth="0" w:num="2">
            <w:col w:w="6000" w:space="720"/>
            <w:col w:w="2299"/>
          </w:cols>
          <w:pgMar w:left="1440" w:top="106" w:right="1440"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FronThera Contingent Consideration</w:t>
      </w:r>
    </w:p>
    <w:p>
      <w:pPr>
        <w:spacing w:after="0" w:line="111" w:lineRule="exact"/>
        <w:rPr>
          <w:sz w:val="20"/>
          <w:szCs w:val="20"/>
          <w:color w:val="auto"/>
        </w:rPr>
      </w:pPr>
    </w:p>
    <w:p>
      <w:pPr>
        <w:jc w:val="both"/>
        <w:ind w:left="1720" w:right="1739"/>
        <w:spacing w:after="0" w:line="248" w:lineRule="auto"/>
        <w:rPr>
          <w:sz w:val="20"/>
          <w:szCs w:val="20"/>
          <w:color w:val="auto"/>
        </w:rPr>
      </w:pPr>
      <w:r>
        <w:rPr>
          <w:rFonts w:ascii="Times New Roman" w:cs="Times New Roman" w:eastAsia="Times New Roman" w:hAnsi="Times New Roman"/>
          <w:sz w:val="12"/>
          <w:szCs w:val="12"/>
          <w:color w:val="auto"/>
        </w:rPr>
        <w:t>In March, 2021, the Company entered into a stock purchase agreement to acquire FronThera U.S. Holdings, Inc. and its wholly owned subsidiary, FronThera U.S. Pharmaceuticals LLC., and the transaction was accounted for as an asset acquisition. Under the stock purchase agreement, the Company is obligated to pay contingent consideration of up to an aggregate of $120.0 million based on the achievement of specified clinical and approval milestones, for up to an aggregate of $70.0 million payable for clinical milestones, and for up to an aggregate of $50.0 million payable for approval milestones, all related to technology acquired under the agreement. The Company incurred and paid a $37.0 million milestone in 2022 for the first administration of</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254" w:name="page255"/>
    <w:bookmarkEnd w:id="25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 (Continued)</w:t>
      </w:r>
    </w:p>
    <w:p>
      <w:pPr>
        <w:spacing w:after="0" w:line="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7. Commitments and Contingent Liabilities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FronThera Contingent Consideration (Continued)</w:t>
      </w:r>
    </w:p>
    <w:p>
      <w:pPr>
        <w:spacing w:after="0" w:line="157" w:lineRule="exact"/>
        <w:rPr>
          <w:sz w:val="20"/>
          <w:szCs w:val="20"/>
          <w:color w:val="auto"/>
        </w:rPr>
      </w:pPr>
    </w:p>
    <w:p>
      <w:pPr>
        <w:jc w:val="both"/>
        <w:ind w:left="1720" w:right="1739"/>
        <w:spacing w:after="0" w:line="255" w:lineRule="auto"/>
        <w:rPr>
          <w:sz w:val="20"/>
          <w:szCs w:val="20"/>
          <w:color w:val="auto"/>
        </w:rPr>
      </w:pPr>
      <w:r>
        <w:rPr>
          <w:rFonts w:ascii="Times New Roman" w:cs="Times New Roman" w:eastAsia="Times New Roman" w:hAnsi="Times New Roman"/>
          <w:sz w:val="12"/>
          <w:szCs w:val="12"/>
          <w:color w:val="auto"/>
        </w:rPr>
        <w:t>ESK-001 to a patient enrolled in a Phase 2 clinical trial of ESK-001, which was recorded as research and development expense in the consolidated statement of operations and comprehensive loss for the year ended December 31, 2022. The Company will be obligated to pay a $23.0 million milestone payment in connection with the first administration of ESK-001 to a patient enrolled in a Phase 3 clinical trial of ESK-001. No remaining milestones were achieved or probable as of December 31, 2023 and March 31, 2024.</w:t>
      </w:r>
    </w:p>
    <w:p>
      <w:pPr>
        <w:spacing w:after="0" w:line="1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Agreements</w:t>
      </w:r>
    </w:p>
    <w:p>
      <w:pPr>
        <w:spacing w:after="0" w:line="111"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The Company enters into various agreements in the ordinary course of business, such as those with suppliers, CROs, CMOs and clinical trial sites. These agreements provide for termination at the request of either party, generally with less than one-year notice and are, therefore, cancellable contracts and, if cancelled, are not anticipated to have a material effect on the Company’s condensed consolidated financial condition, results of operations, or cash flows.</w:t>
      </w:r>
    </w:p>
    <w:p>
      <w:pPr>
        <w:spacing w:after="0" w:line="1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Legal Contingencies</w:t>
      </w:r>
    </w:p>
    <w:p>
      <w:pPr>
        <w:spacing w:after="0" w:line="111" w:lineRule="exact"/>
        <w:rPr>
          <w:sz w:val="20"/>
          <w:szCs w:val="20"/>
          <w:color w:val="auto"/>
        </w:rPr>
      </w:pPr>
    </w:p>
    <w:p>
      <w:pPr>
        <w:jc w:val="both"/>
        <w:ind w:left="1720" w:right="1739"/>
        <w:spacing w:after="0" w:line="253" w:lineRule="auto"/>
        <w:rPr>
          <w:sz w:val="20"/>
          <w:szCs w:val="20"/>
          <w:color w:val="auto"/>
        </w:rPr>
      </w:pPr>
      <w:r>
        <w:rPr>
          <w:rFonts w:ascii="Times New Roman" w:cs="Times New Roman" w:eastAsia="Times New Roman" w:hAnsi="Times New Roman"/>
          <w:sz w:val="12"/>
          <w:szCs w:val="12"/>
          <w:color w:val="auto"/>
        </w:rPr>
        <w:t>From time to time, the Company may become involved in legal proceedings arising from the ordinary course of business. The Company records a liability for such matters when it is probable that future losses will be incurred and that such losses can be reasonably estimated. Significant judgment by the Company is required to determine both probability and the estimated amount. Management is currently not aware of any legal matters that could have a material adverse effect on the Company’s financial position, results of operations or cash flows.</w:t>
      </w:r>
    </w:p>
    <w:p>
      <w:pPr>
        <w:spacing w:after="0" w:line="26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Guarantees and Indemnifications</w:t>
      </w:r>
    </w:p>
    <w:p>
      <w:pPr>
        <w:spacing w:after="0" w:line="111"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In the normal course of business, the Company enters into agreements that contain a variety of representations and provide for general indemnification. Its exposure under these agreements is unknown because it involves claims that may be made against the Company in the future. To the extent permitted under Delaware law, the Company has agreed to indemnify its directors and officers for certain events or occurrences while the director or officer is, or was serving, at a request in such capacity. To date, the Company has not paid any claims or been required to defend any action related to its indemnification obligations. As of December 31, 2023 and March 31, 2024, the Company did not have any material indemnification claims that were probable or reasonably possible and consequently has not recorded related liabilities.</w:t>
      </w:r>
    </w:p>
    <w:p>
      <w:pPr>
        <w:spacing w:after="0" w:line="26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8. Redeemable Convertible Preferred Stock</w:t>
      </w:r>
    </w:p>
    <w:p>
      <w:pPr>
        <w:spacing w:after="0" w:line="111" w:lineRule="exact"/>
        <w:rPr>
          <w:sz w:val="20"/>
          <w:szCs w:val="20"/>
          <w:color w:val="auto"/>
        </w:rPr>
      </w:pPr>
    </w:p>
    <w:p>
      <w:pPr>
        <w:jc w:val="both"/>
        <w:ind w:left="1720" w:right="1739"/>
        <w:spacing w:after="0" w:line="246" w:lineRule="auto"/>
        <w:rPr>
          <w:sz w:val="20"/>
          <w:szCs w:val="20"/>
          <w:color w:val="auto"/>
        </w:rPr>
      </w:pPr>
      <w:r>
        <w:rPr>
          <w:rFonts w:ascii="Times New Roman" w:cs="Times New Roman" w:eastAsia="Times New Roman" w:hAnsi="Times New Roman"/>
          <w:sz w:val="12"/>
          <w:szCs w:val="12"/>
          <w:color w:val="auto"/>
        </w:rPr>
        <w:t>In March 2024, the Company issued and sold an aggregate of 41,264,891 shares of Series C redeemable convertible preferred stock for gross cash proceeds of $129.5 million and incurred $0.4 million of issuance costs. The purchase price for Series C redeemable convertible preferred stock was $3.13826 per share. Under the Series C stock purchase agreement, any time prior to the earliest of (i) December 31, 2024, (ii) the execution of a letter of intent for the sale of the Company, or (iii) the closing date of the Company’s initial public offering, at the discretion of the Company’s board of directors, the Company is obligated to sell and each Series C purchaser is obligated to purchase additional shares of Series C redeemable convertible preferred stock with the amount equal to the purchaser’s aggregate purchase price in the first tranche Series C closing less any previous payments by the purchaser as part of the Put Right (as defined below) exercise. If the purchaser does not purchase its full share in the Second Tranche Series C Closing, all of its existing shares of Series C redeemable convertible stock and Series C-1 redeemable convertible preferred stock convert into common stock at a 10 -to-1 basis. Additionally, a purchaser has a right to purchase shares of Series C-1 redeemable convertible preferred stock at a purchase price of $4.00 per share beginning from the earlier of</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55" w:name="page256"/>
    <w:bookmarkEnd w:id="255"/>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 (Continued)</w:t>
      </w:r>
    </w:p>
    <w:p>
      <w:pPr>
        <w:spacing w:after="0" w:line="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8. Redeemable Convertible Preferred Stock (Continued)</w:t>
      </w:r>
    </w:p>
    <w:p>
      <w:pPr>
        <w:spacing w:after="0" w:line="157" w:lineRule="exact"/>
        <w:rPr>
          <w:sz w:val="20"/>
          <w:szCs w:val="20"/>
          <w:color w:val="auto"/>
        </w:rPr>
      </w:pPr>
    </w:p>
    <w:p>
      <w:pPr>
        <w:jc w:val="both"/>
        <w:ind w:left="1720" w:right="1739"/>
        <w:spacing w:after="0" w:line="262" w:lineRule="auto"/>
        <w:tabs>
          <w:tab w:leader="none" w:pos="1909"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September 4, 2024 or (b) the date of a significant partnering or collaboration agreement and expiring upon the earlier of (a) December 31, 2024, (b) the public filing of a registration statement on Form S-1 for the initial public offering, (c) the Second Tranche Series C Closing and (d) the execution of a letter of intent for the sale of the Company (the “Put Right”). The Put Right can only be exercised once. The Company determined that the Second Tranche Series C Closing and the Put Right are two freestanding financial instruments and estimated their fair value of $8.9 million at the issuance date.</w:t>
      </w:r>
    </w:p>
    <w:p>
      <w:pPr>
        <w:spacing w:after="0" w:line="76"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The Series Seed and Series A redeemable convertible preferred stock are collectively referred to as the “Junior Redeemable Convertible Preferred Stock”. The Series B, Series B-1, Series B-2, Series B-2A, Series C and Series C-1 redeemable convertible preferred stock are collectively referred to as the “Senior Redeemable Convertible Preferred Stock”.</w:t>
      </w:r>
    </w:p>
    <w:p>
      <w:pPr>
        <w:spacing w:after="0" w:line="7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The Company’s redeemable convertible preferred stock as of each period, consisted of the following:</w:t>
      </w:r>
    </w:p>
    <w:p>
      <w:pPr>
        <w:spacing w:after="0" w:line="115" w:lineRule="exact"/>
        <w:rPr>
          <w:sz w:val="20"/>
          <w:szCs w:val="20"/>
          <w:color w:val="auto"/>
        </w:rPr>
      </w:pPr>
    </w:p>
    <w:tbl>
      <w:tblPr>
        <w:tblLayout w:type="fixed"/>
        <w:tblInd w:w="860" w:type="dxa"/>
        <w:tblCellMar>
          <w:top w:w="0" w:type="dxa"/>
          <w:left w:w="0" w:type="dxa"/>
          <w:bottom w:w="0" w:type="dxa"/>
          <w:right w:w="0" w:type="dxa"/>
        </w:tblCellMar>
      </w:tblPr>
      <w:tr>
        <w:trPr>
          <w:trHeight w:val="154"/>
        </w:trPr>
        <w:tc>
          <w:tcPr>
            <w:tcW w:w="860" w:type="dxa"/>
            <w:vAlign w:val="bottom"/>
          </w:tcPr>
          <w:p>
            <w:pPr>
              <w:spacing w:after="0"/>
              <w:rPr>
                <w:sz w:val="13"/>
                <w:szCs w:val="13"/>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Pr>
          <w:p>
            <w:pPr>
              <w:jc w:val="right"/>
              <w:ind w:right="764"/>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10"/>
        </w:trPr>
        <w:tc>
          <w:tcPr>
            <w:tcW w:w="8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Shares Issued</w:t>
            </w:r>
          </w:p>
        </w:tc>
        <w:tc>
          <w:tcPr>
            <w:tcW w:w="140" w:type="dxa"/>
            <w:vAlign w:val="bottom"/>
          </w:tcPr>
          <w:p>
            <w:pPr>
              <w:spacing w:after="0"/>
              <w:rPr>
                <w:sz w:val="9"/>
                <w:szCs w:val="9"/>
                <w:color w:val="auto"/>
              </w:rPr>
            </w:pPr>
          </w:p>
        </w:tc>
        <w:tc>
          <w:tcPr>
            <w:tcW w:w="500" w:type="dxa"/>
            <w:vAlign w:val="bottom"/>
            <w:gridSpan w:val="3"/>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1"/>
              </w:rPr>
              <w:t>Aggregate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10"/>
        </w:trPr>
        <w:tc>
          <w:tcPr>
            <w:tcW w:w="8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ind w:left="140"/>
              <w:spacing w:after="0" w:line="110" w:lineRule="exact"/>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9"/>
                <w:szCs w:val="9"/>
                <w:color w:val="auto"/>
              </w:rPr>
            </w:pPr>
          </w:p>
        </w:tc>
        <w:tc>
          <w:tcPr>
            <w:tcW w:w="56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8"/>
              </w:rPr>
              <w:t>and</w:t>
            </w:r>
          </w:p>
        </w:tc>
        <w:tc>
          <w:tcPr>
            <w:tcW w:w="640" w:type="dxa"/>
            <w:vAlign w:val="bottom"/>
            <w:gridSpan w:val="4"/>
          </w:tcPr>
          <w:p>
            <w:pPr>
              <w:jc w:val="center"/>
              <w:ind w:left="74"/>
              <w:spacing w:after="0" w:line="110" w:lineRule="exact"/>
              <w:rPr>
                <w:sz w:val="20"/>
                <w:szCs w:val="20"/>
                <w:color w:val="auto"/>
              </w:rPr>
            </w:pPr>
            <w:r>
              <w:rPr>
                <w:rFonts w:ascii="Times New Roman" w:cs="Times New Roman" w:eastAsia="Times New Roman" w:hAnsi="Times New Roman"/>
                <w:sz w:val="10"/>
                <w:szCs w:val="10"/>
                <w:b w:val="1"/>
                <w:bCs w:val="1"/>
                <w:color w:val="auto"/>
                <w:w w:val="94"/>
              </w:rPr>
              <w:t>Liquidation</w:t>
            </w:r>
          </w:p>
        </w:tc>
        <w:tc>
          <w:tcPr>
            <w:tcW w:w="200" w:type="dxa"/>
            <w:vAlign w:val="bottom"/>
          </w:tcPr>
          <w:p>
            <w:pPr>
              <w:spacing w:after="0"/>
              <w:rPr>
                <w:sz w:val="9"/>
                <w:szCs w:val="9"/>
                <w:color w:val="auto"/>
              </w:rPr>
            </w:pPr>
          </w:p>
        </w:tc>
        <w:tc>
          <w:tcPr>
            <w:tcW w:w="50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4"/>
              </w:rPr>
              <w:t>Net Carrying</w:t>
            </w:r>
          </w:p>
        </w:tc>
        <w:tc>
          <w:tcPr>
            <w:tcW w:w="860" w:type="dxa"/>
            <w:vAlign w:val="bottom"/>
          </w:tcPr>
          <w:p>
            <w:pPr>
              <w:spacing w:after="0"/>
              <w:rPr>
                <w:sz w:val="9"/>
                <w:szCs w:val="9"/>
                <w:color w:val="auto"/>
              </w:rPr>
            </w:pPr>
          </w:p>
        </w:tc>
      </w:tr>
      <w:tr>
        <w:trPr>
          <w:trHeight w:val="145"/>
        </w:trPr>
        <w:tc>
          <w:tcPr>
            <w:tcW w:w="860" w:type="dxa"/>
            <w:vAlign w:val="bottom"/>
          </w:tcPr>
          <w:p>
            <w:pPr>
              <w:spacing w:after="0"/>
              <w:rPr>
                <w:sz w:val="12"/>
                <w:szCs w:val="12"/>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34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2"/>
                <w:szCs w:val="12"/>
                <w:color w:val="auto"/>
              </w:rPr>
            </w:pPr>
          </w:p>
        </w:tc>
        <w:tc>
          <w:tcPr>
            <w:tcW w:w="560" w:type="dxa"/>
            <w:vAlign w:val="bottom"/>
          </w:tcPr>
          <w:p>
            <w:pPr>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 Authorized</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Outstanding</w:t>
            </w:r>
          </w:p>
        </w:tc>
        <w:tc>
          <w:tcPr>
            <w:tcW w:w="64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Preference</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0"/>
                <w:szCs w:val="10"/>
                <w:b w:val="1"/>
                <w:bCs w:val="1"/>
                <w:color w:val="auto"/>
              </w:rPr>
              <w:t>​ ​</w:t>
            </w:r>
          </w:p>
        </w:tc>
        <w:tc>
          <w:tcPr>
            <w:tcW w:w="100" w:type="dxa"/>
            <w:vAlign w:val="bottom"/>
          </w:tcPr>
          <w:p>
            <w:pPr>
              <w:spacing w:after="0"/>
              <w:rPr>
                <w:sz w:val="12"/>
                <w:szCs w:val="12"/>
                <w:color w:val="auto"/>
              </w:rPr>
            </w:pPr>
          </w:p>
        </w:tc>
        <w:tc>
          <w:tcPr>
            <w:tcW w:w="400" w:type="dxa"/>
            <w:vAlign w:val="bottom"/>
          </w:tcPr>
          <w:p>
            <w:pPr>
              <w:jc w:val="center"/>
              <w:ind w:right="83"/>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860" w:type="dxa"/>
            <w:vAlign w:val="bottom"/>
          </w:tcPr>
          <w:p>
            <w:pPr>
              <w:jc w:val="right"/>
              <w:ind w:right="764"/>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54"/>
        </w:trPr>
        <w:tc>
          <w:tcPr>
            <w:tcW w:w="860" w:type="dxa"/>
            <w:vAlign w:val="bottom"/>
          </w:tcPr>
          <w:p>
            <w:pPr>
              <w:spacing w:after="0"/>
              <w:rPr>
                <w:sz w:val="13"/>
                <w:szCs w:val="13"/>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7"/>
          </w:tcPr>
          <w:p>
            <w:pPr>
              <w:jc w:val="right"/>
              <w:ind w:right="1"/>
              <w:spacing w:after="0"/>
              <w:rPr>
                <w:sz w:val="20"/>
                <w:szCs w:val="20"/>
                <w:color w:val="auto"/>
              </w:rPr>
            </w:pPr>
            <w:r>
              <w:rPr>
                <w:rFonts w:ascii="Times New Roman" w:cs="Times New Roman" w:eastAsia="Times New Roman" w:hAnsi="Times New Roman"/>
                <w:sz w:val="10"/>
                <w:szCs w:val="10"/>
                <w:b w:val="1"/>
                <w:bCs w:val="1"/>
                <w:color w:val="auto"/>
                <w:w w:val="93"/>
              </w:rPr>
              <w:t>(in thousands, except share amounts)</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60" w:type="dxa"/>
            <w:vAlign w:val="bottom"/>
          </w:tcPr>
          <w:p>
            <w:pPr>
              <w:jc w:val="right"/>
              <w:ind w:right="764"/>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4"/>
        </w:trPr>
        <w:tc>
          <w:tcPr>
            <w:tcW w:w="860" w:type="dxa"/>
            <w:vAlign w:val="bottom"/>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Seed redeemable convertible preferred stock</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5"/>
                <w:szCs w:val="15"/>
                <w:color w:val="auto"/>
              </w:rPr>
            </w:pPr>
          </w:p>
        </w:tc>
        <w:tc>
          <w:tcPr>
            <w:tcW w:w="1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​​10,500,000​​ ​​10,500,000​​ ​​$</w:t>
            </w:r>
          </w:p>
        </w:tc>
        <w:tc>
          <w:tcPr>
            <w:tcW w:w="60" w:type="dxa"/>
            <w:vAlign w:val="bottom"/>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10,500</w:t>
            </w:r>
          </w:p>
        </w:tc>
        <w:tc>
          <w:tcPr>
            <w:tcW w:w="20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10,480</w:t>
            </w:r>
          </w:p>
        </w:tc>
        <w:tc>
          <w:tcPr>
            <w:tcW w:w="860" w:type="dxa"/>
            <w:vAlign w:val="bottom"/>
          </w:tcPr>
          <w:p>
            <w:pPr>
              <w:jc w:val="right"/>
              <w:ind w:right="764"/>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86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2"/>
                <w:szCs w:val="12"/>
                <w:color w:val="auto"/>
              </w:rPr>
              <w:t>A redeemable convertible preferred stock</w:t>
            </w:r>
          </w:p>
        </w:tc>
        <w:tc>
          <w:tcPr>
            <w:tcW w:w="34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 7,500,000​​ ​​ 7,500,000​​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30,000</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 ​</w:t>
            </w:r>
          </w:p>
        </w:tc>
        <w:tc>
          <w:tcPr>
            <w:tcW w:w="1360" w:type="dxa"/>
            <w:vAlign w:val="bottom"/>
            <w:gridSpan w:val="3"/>
          </w:tcPr>
          <w:p>
            <w:pPr>
              <w:jc w:val="right"/>
              <w:ind w:right="764"/>
              <w:spacing w:after="0"/>
              <w:rPr>
                <w:sz w:val="20"/>
                <w:szCs w:val="20"/>
                <w:color w:val="auto"/>
              </w:rPr>
            </w:pPr>
            <w:r>
              <w:rPr>
                <w:rFonts w:ascii="Times New Roman" w:cs="Times New Roman" w:eastAsia="Times New Roman" w:hAnsi="Times New Roman"/>
                <w:sz w:val="12"/>
                <w:szCs w:val="12"/>
                <w:color w:val="auto"/>
              </w:rPr>
              <w:t xml:space="preserve">​ ​ 29,972 </w:t>
            </w:r>
            <w:r>
              <w:rPr>
                <w:rFonts w:ascii="Times New Roman" w:cs="Times New Roman" w:eastAsia="Times New Roman" w:hAnsi="Times New Roman"/>
                <w:sz w:val="12"/>
                <w:szCs w:val="12"/>
                <w:b w:val="1"/>
                <w:bCs w:val="1"/>
                <w:color w:val="auto"/>
              </w:rPr>
              <w:t>​</w:t>
            </w:r>
          </w:p>
        </w:tc>
      </w:tr>
      <w:tr>
        <w:trPr>
          <w:trHeight w:val="174"/>
        </w:trPr>
        <w:tc>
          <w:tcPr>
            <w:tcW w:w="860" w:type="dxa"/>
            <w:vAlign w:val="bottom"/>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 redeemable convertible preferred stock</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5"/>
                <w:szCs w:val="15"/>
                <w:color w:val="auto"/>
              </w:rPr>
            </w:pPr>
          </w:p>
        </w:tc>
        <w:tc>
          <w:tcPr>
            <w:tcW w:w="15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​​40,200,000​​ ​​40,200,000​​ ​​</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​201,000</w:t>
            </w:r>
          </w:p>
        </w:tc>
        <w:tc>
          <w:tcPr>
            <w:tcW w:w="20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​200,711</w:t>
            </w:r>
          </w:p>
        </w:tc>
        <w:tc>
          <w:tcPr>
            <w:tcW w:w="860" w:type="dxa"/>
            <w:vAlign w:val="bottom"/>
          </w:tcPr>
          <w:p>
            <w:pPr>
              <w:jc w:val="right"/>
              <w:ind w:right="764"/>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86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2"/>
                <w:szCs w:val="12"/>
                <w:color w:val="auto"/>
              </w:rPr>
              <w:t>B-1 redeemable convertible preferred stock</w:t>
            </w:r>
          </w:p>
        </w:tc>
        <w:tc>
          <w:tcPr>
            <w:tcW w:w="34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 9,760,088​​ ​​ 9,760,088​​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39,040</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 ​</w:t>
            </w:r>
          </w:p>
        </w:tc>
        <w:tc>
          <w:tcPr>
            <w:tcW w:w="1360" w:type="dxa"/>
            <w:vAlign w:val="bottom"/>
            <w:gridSpan w:val="3"/>
          </w:tcPr>
          <w:p>
            <w:pPr>
              <w:jc w:val="right"/>
              <w:ind w:right="764"/>
              <w:spacing w:after="0"/>
              <w:rPr>
                <w:sz w:val="20"/>
                <w:szCs w:val="20"/>
                <w:color w:val="auto"/>
              </w:rPr>
            </w:pPr>
            <w:r>
              <w:rPr>
                <w:rFonts w:ascii="Times New Roman" w:cs="Times New Roman" w:eastAsia="Times New Roman" w:hAnsi="Times New Roman"/>
                <w:sz w:val="12"/>
                <w:szCs w:val="12"/>
                <w:color w:val="auto"/>
              </w:rPr>
              <w:t xml:space="preserve">​ ​ 44,310 </w:t>
            </w:r>
            <w:r>
              <w:rPr>
                <w:rFonts w:ascii="Times New Roman" w:cs="Times New Roman" w:eastAsia="Times New Roman" w:hAnsi="Times New Roman"/>
                <w:sz w:val="12"/>
                <w:szCs w:val="12"/>
                <w:b w:val="1"/>
                <w:bCs w:val="1"/>
                <w:color w:val="auto"/>
              </w:rPr>
              <w:t>​</w:t>
            </w:r>
          </w:p>
        </w:tc>
      </w:tr>
      <w:tr>
        <w:trPr>
          <w:trHeight w:val="174"/>
        </w:trPr>
        <w:tc>
          <w:tcPr>
            <w:tcW w:w="860" w:type="dxa"/>
            <w:vAlign w:val="bottom"/>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B-2 redeemable convertible preferred stock</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5"/>
                <w:szCs w:val="15"/>
                <w:color w:val="auto"/>
              </w:rPr>
            </w:pPr>
          </w:p>
        </w:tc>
        <w:tc>
          <w:tcPr>
            <w:tcW w:w="15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​​18,000,000​​ ​​16,221,170​​ ​​</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81,106</w:t>
            </w:r>
          </w:p>
        </w:tc>
        <w:tc>
          <w:tcPr>
            <w:tcW w:w="20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 80,969</w:t>
            </w:r>
          </w:p>
        </w:tc>
        <w:tc>
          <w:tcPr>
            <w:tcW w:w="860" w:type="dxa"/>
            <w:vAlign w:val="bottom"/>
          </w:tcPr>
          <w:p>
            <w:pPr>
              <w:jc w:val="right"/>
              <w:ind w:right="764"/>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86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2"/>
                <w:szCs w:val="12"/>
                <w:color w:val="auto"/>
              </w:rPr>
              <w:t>B-2A redeemable convertible preferred stock</w:t>
            </w:r>
          </w:p>
        </w:tc>
        <w:tc>
          <w:tcPr>
            <w:tcW w:w="34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1500" w:type="dxa"/>
            <w:vAlign w:val="bottom"/>
            <w:gridSpan w:val="5"/>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3,056,490</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1"/>
                <w:szCs w:val="11"/>
                <w:color w:val="auto"/>
              </w:rPr>
              <w:t>​ 1,778,830</w:t>
            </w:r>
            <w:r>
              <w:rPr>
                <w:rFonts w:ascii="Times New Roman" w:cs="Times New Roman" w:eastAsia="Times New Roman" w:hAnsi="Times New Roman"/>
                <w:sz w:val="21"/>
                <w:szCs w:val="21"/>
                <w:color w:val="auto"/>
                <w:vertAlign w:val="subscript"/>
              </w:rPr>
              <w:t>​​ ​ ​</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8,894</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8,928</w:t>
            </w:r>
          </w:p>
        </w:tc>
        <w:tc>
          <w:tcPr>
            <w:tcW w:w="860" w:type="dxa"/>
            <w:vAlign w:val="bottom"/>
          </w:tcPr>
          <w:p>
            <w:pPr>
              <w:jc w:val="right"/>
              <w:ind w:right="764"/>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860" w:type="dxa"/>
            <w:vAlign w:val="bottom"/>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gridSpan w:val="3"/>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redeemable convertible preferred stock</w:t>
            </w: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6"/>
                <w:szCs w:val="16"/>
                <w:color w:val="auto"/>
              </w:rPr>
            </w:pPr>
          </w:p>
        </w:tc>
        <w:tc>
          <w:tcPr>
            <w:tcW w:w="1920" w:type="dxa"/>
            <w:vAlign w:val="bottom"/>
            <w:tcBorders>
              <w:right w:val="single" w:sz="8" w:color="CCEEFF"/>
            </w:tcBorders>
            <w:gridSpan w:val="7"/>
            <w:shd w:val="clear" w:color="auto" w:fill="CCEEFF"/>
          </w:tcPr>
          <w:p>
            <w:pPr>
              <w:jc w:val="right"/>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​89,016,578</w:t>
            </w: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0"/>
                <w:szCs w:val="10"/>
                <w:color w:val="auto"/>
              </w:rPr>
              <w:t>​85,960,088</w:t>
            </w:r>
            <w:r>
              <w:rPr>
                <w:rFonts w:ascii="Times New Roman" w:cs="Times New Roman" w:eastAsia="Times New Roman" w:hAnsi="Times New Roman"/>
                <w:sz w:val="18"/>
                <w:szCs w:val="18"/>
                <w:color w:val="auto"/>
                <w:vertAlign w:val="subscript"/>
              </w:rPr>
              <w:t>​​ ​ ​</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 xml:space="preserve"> 370,540</w:t>
            </w:r>
          </w:p>
        </w:tc>
        <w:tc>
          <w:tcPr>
            <w:tcW w:w="20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right w:val="single" w:sz="8" w:color="CCEEFF"/>
            </w:tcBorders>
            <w:gridSpan w:val="2"/>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375,370</w:t>
            </w:r>
          </w:p>
        </w:tc>
        <w:tc>
          <w:tcPr>
            <w:tcW w:w="860" w:type="dxa"/>
            <w:vAlign w:val="bottom"/>
          </w:tcPr>
          <w:p>
            <w:pPr>
              <w:jc w:val="right"/>
              <w:ind w:right="764"/>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11"/>
        </w:trPr>
        <w:tc>
          <w:tcPr>
            <w:tcW w:w="860" w:type="dxa"/>
            <w:vAlign w:val="bottom"/>
          </w:tcPr>
          <w:p>
            <w:pPr>
              <w:spacing w:after="0"/>
              <w:rPr>
                <w:sz w:val="24"/>
                <w:szCs w:val="24"/>
                <w:color w:val="auto"/>
              </w:rPr>
            </w:pPr>
          </w:p>
        </w:tc>
        <w:tc>
          <w:tcPr>
            <w:tcW w:w="2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 ​</w:t>
            </w:r>
          </w:p>
        </w:tc>
        <w:tc>
          <w:tcPr>
            <w:tcW w:w="8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gridSpan w:val="4"/>
          </w:tcPr>
          <w:p>
            <w:pPr>
              <w:ind w:left="220"/>
              <w:spacing w:after="0"/>
              <w:rPr>
                <w:sz w:val="20"/>
                <w:szCs w:val="20"/>
                <w:color w:val="auto"/>
              </w:rPr>
            </w:pPr>
            <w:r>
              <w:rPr>
                <w:rFonts w:ascii="Times New Roman" w:cs="Times New Roman" w:eastAsia="Times New Roman" w:hAnsi="Times New Roman"/>
                <w:sz w:val="10"/>
                <w:szCs w:val="10"/>
                <w:b w:val="1"/>
                <w:bCs w:val="1"/>
                <w:color w:val="auto"/>
                <w:w w:val="90"/>
              </w:rPr>
              <w:t>March 31, 2024</w:t>
            </w:r>
          </w:p>
        </w:tc>
        <w:tc>
          <w:tcPr>
            <w:tcW w:w="3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Pr>
          <w:p>
            <w:pPr>
              <w:jc w:val="right"/>
              <w:ind w:right="764"/>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10"/>
        </w:trPr>
        <w:tc>
          <w:tcPr>
            <w:tcW w:w="8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center"/>
              <w:ind w:right="8"/>
              <w:spacing w:after="0" w:line="110" w:lineRule="exact"/>
              <w:rPr>
                <w:sz w:val="20"/>
                <w:szCs w:val="20"/>
                <w:color w:val="auto"/>
              </w:rPr>
            </w:pPr>
            <w:r>
              <w:rPr>
                <w:rFonts w:ascii="Times New Roman" w:cs="Times New Roman" w:eastAsia="Times New Roman" w:hAnsi="Times New Roman"/>
                <w:sz w:val="10"/>
                <w:szCs w:val="10"/>
                <w:b w:val="1"/>
                <w:bCs w:val="1"/>
                <w:color w:val="auto"/>
                <w:w w:val="85"/>
              </w:rPr>
              <w:t>Shares Issued</w:t>
            </w: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3"/>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1"/>
              </w:rPr>
              <w:t>Aggregate</w:t>
            </w: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60" w:type="dxa"/>
            <w:vAlign w:val="bottom"/>
          </w:tcPr>
          <w:p>
            <w:pPr>
              <w:spacing w:after="0"/>
              <w:rPr>
                <w:sz w:val="9"/>
                <w:szCs w:val="9"/>
                <w:color w:val="auto"/>
              </w:rPr>
            </w:pPr>
          </w:p>
        </w:tc>
      </w:tr>
      <w:tr>
        <w:trPr>
          <w:trHeight w:val="110"/>
        </w:trPr>
        <w:tc>
          <w:tcPr>
            <w:tcW w:w="8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ind w:left="40"/>
              <w:spacing w:after="0" w:line="110" w:lineRule="exact"/>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9"/>
                <w:szCs w:val="9"/>
                <w:color w:val="auto"/>
              </w:rPr>
            </w:pPr>
          </w:p>
        </w:tc>
        <w:tc>
          <w:tcPr>
            <w:tcW w:w="560" w:type="dxa"/>
            <w:vAlign w:val="bottom"/>
          </w:tcPr>
          <w:p>
            <w:pPr>
              <w:jc w:val="center"/>
              <w:ind w:right="48"/>
              <w:spacing w:after="0" w:line="110" w:lineRule="exact"/>
              <w:rPr>
                <w:sz w:val="20"/>
                <w:szCs w:val="20"/>
                <w:color w:val="auto"/>
              </w:rPr>
            </w:pPr>
            <w:r>
              <w:rPr>
                <w:rFonts w:ascii="Times New Roman" w:cs="Times New Roman" w:eastAsia="Times New Roman" w:hAnsi="Times New Roman"/>
                <w:sz w:val="10"/>
                <w:szCs w:val="10"/>
                <w:b w:val="1"/>
                <w:bCs w:val="1"/>
                <w:color w:val="auto"/>
                <w:w w:val="86"/>
              </w:rPr>
              <w:t>and</w:t>
            </w:r>
          </w:p>
        </w:tc>
        <w:tc>
          <w:tcPr>
            <w:tcW w:w="640" w:type="dxa"/>
            <w:vAlign w:val="bottom"/>
            <w:gridSpan w:val="4"/>
          </w:tcPr>
          <w:p>
            <w:pPr>
              <w:jc w:val="center"/>
              <w:ind w:left="74"/>
              <w:spacing w:after="0" w:line="110" w:lineRule="exact"/>
              <w:rPr>
                <w:sz w:val="20"/>
                <w:szCs w:val="20"/>
                <w:color w:val="auto"/>
              </w:rPr>
            </w:pPr>
            <w:r>
              <w:rPr>
                <w:rFonts w:ascii="Times New Roman" w:cs="Times New Roman" w:eastAsia="Times New Roman" w:hAnsi="Times New Roman"/>
                <w:sz w:val="10"/>
                <w:szCs w:val="10"/>
                <w:b w:val="1"/>
                <w:bCs w:val="1"/>
                <w:color w:val="auto"/>
                <w:w w:val="94"/>
              </w:rPr>
              <w:t>Liquidation</w:t>
            </w:r>
          </w:p>
        </w:tc>
        <w:tc>
          <w:tcPr>
            <w:tcW w:w="200" w:type="dxa"/>
            <w:vAlign w:val="bottom"/>
          </w:tcPr>
          <w:p>
            <w:pPr>
              <w:spacing w:after="0"/>
              <w:rPr>
                <w:sz w:val="9"/>
                <w:szCs w:val="9"/>
                <w:color w:val="auto"/>
              </w:rPr>
            </w:pPr>
          </w:p>
        </w:tc>
        <w:tc>
          <w:tcPr>
            <w:tcW w:w="50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4"/>
              </w:rPr>
              <w:t>Net Carrying</w:t>
            </w:r>
          </w:p>
        </w:tc>
        <w:tc>
          <w:tcPr>
            <w:tcW w:w="860" w:type="dxa"/>
            <w:vAlign w:val="bottom"/>
          </w:tcPr>
          <w:p>
            <w:pPr>
              <w:spacing w:after="0"/>
              <w:rPr>
                <w:sz w:val="9"/>
                <w:szCs w:val="9"/>
                <w:color w:val="auto"/>
              </w:rPr>
            </w:pPr>
          </w:p>
        </w:tc>
      </w:tr>
      <w:tr>
        <w:trPr>
          <w:trHeight w:val="145"/>
        </w:trPr>
        <w:tc>
          <w:tcPr>
            <w:tcW w:w="860" w:type="dxa"/>
            <w:vAlign w:val="bottom"/>
          </w:tcPr>
          <w:p>
            <w:pPr>
              <w:spacing w:after="0"/>
              <w:rPr>
                <w:sz w:val="12"/>
                <w:szCs w:val="12"/>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Authorized</w:t>
            </w:r>
          </w:p>
        </w:tc>
        <w:tc>
          <w:tcPr>
            <w:tcW w:w="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 ​</w:t>
            </w:r>
          </w:p>
        </w:tc>
        <w:tc>
          <w:tcPr>
            <w:tcW w:w="5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w w:val="93"/>
              </w:rPr>
              <w:t>Outstanding</w:t>
            </w:r>
          </w:p>
        </w:tc>
        <w:tc>
          <w:tcPr>
            <w:tcW w:w="640" w:type="dxa"/>
            <w:vAlign w:val="bottom"/>
            <w:tcBorders>
              <w:bottom w:val="single" w:sz="8" w:color="auto"/>
            </w:tcBorders>
            <w:gridSpan w:val="4"/>
          </w:tcPr>
          <w:p>
            <w:pPr>
              <w:jc w:val="right"/>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Preference</w:t>
            </w:r>
          </w:p>
        </w:tc>
        <w:tc>
          <w:tcPr>
            <w:tcW w:w="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0"/>
                <w:szCs w:val="10"/>
                <w:b w:val="1"/>
                <w:bCs w:val="1"/>
                <w:color w:val="auto"/>
              </w:rPr>
              <w:t>​ ​</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860" w:type="dxa"/>
            <w:vAlign w:val="bottom"/>
          </w:tcPr>
          <w:p>
            <w:pPr>
              <w:jc w:val="right"/>
              <w:ind w:right="764"/>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54"/>
        </w:trPr>
        <w:tc>
          <w:tcPr>
            <w:tcW w:w="860" w:type="dxa"/>
            <w:vAlign w:val="bottom"/>
          </w:tcPr>
          <w:p>
            <w:pPr>
              <w:spacing w:after="0"/>
              <w:rPr>
                <w:sz w:val="13"/>
                <w:szCs w:val="13"/>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 ​</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60" w:type="dxa"/>
            <w:vAlign w:val="bottom"/>
            <w:gridSpan w:val="7"/>
          </w:tcPr>
          <w:p>
            <w:pPr>
              <w:jc w:val="right"/>
              <w:ind w:right="61"/>
              <w:spacing w:after="0"/>
              <w:rPr>
                <w:sz w:val="20"/>
                <w:szCs w:val="20"/>
                <w:color w:val="auto"/>
              </w:rPr>
            </w:pPr>
            <w:r>
              <w:rPr>
                <w:rFonts w:ascii="Times New Roman" w:cs="Times New Roman" w:eastAsia="Times New Roman" w:hAnsi="Times New Roman"/>
                <w:sz w:val="10"/>
                <w:szCs w:val="10"/>
                <w:b w:val="1"/>
                <w:bCs w:val="1"/>
                <w:color w:val="auto"/>
                <w:w w:val="89"/>
              </w:rPr>
              <w:t>(in thousands, except share amounts)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ind w:right="764"/>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4"/>
        </w:trPr>
        <w:tc>
          <w:tcPr>
            <w:tcW w:w="860" w:type="dxa"/>
            <w:vAlign w:val="bottom"/>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Seed redeemable convertible preferred stock</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Borders>
              <w:right w:val="single" w:sz="8" w:color="CCEEFF"/>
            </w:tcBorders>
            <w:shd w:val="clear" w:color="auto" w:fill="CCEEFF"/>
          </w:tcPr>
          <w:p>
            <w:pPr>
              <w:spacing w:after="0"/>
              <w:rPr>
                <w:sz w:val="15"/>
                <w:szCs w:val="15"/>
                <w:color w:val="auto"/>
              </w:rPr>
            </w:pPr>
          </w:p>
        </w:tc>
        <w:tc>
          <w:tcPr>
            <w:tcW w:w="1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10,500,000​​ ​​ 10,500,000​​ ​​$</w:t>
            </w:r>
          </w:p>
        </w:tc>
        <w:tc>
          <w:tcPr>
            <w:tcW w:w="60" w:type="dxa"/>
            <w:vAlign w:val="bottom"/>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10,500</w:t>
            </w:r>
          </w:p>
        </w:tc>
        <w:tc>
          <w:tcPr>
            <w:tcW w:w="20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10,480</w:t>
            </w:r>
          </w:p>
        </w:tc>
        <w:tc>
          <w:tcPr>
            <w:tcW w:w="860" w:type="dxa"/>
            <w:vAlign w:val="bottom"/>
          </w:tcPr>
          <w:p>
            <w:pPr>
              <w:jc w:val="right"/>
              <w:ind w:right="764"/>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86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2"/>
                <w:szCs w:val="12"/>
                <w:color w:val="auto"/>
              </w:rPr>
              <w:t>A redeemable convertible preferred stock</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7,500,000​​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7,500,000​​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30,000</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 ​</w:t>
            </w:r>
          </w:p>
        </w:tc>
        <w:tc>
          <w:tcPr>
            <w:tcW w:w="1360" w:type="dxa"/>
            <w:vAlign w:val="bottom"/>
            <w:gridSpan w:val="3"/>
          </w:tcPr>
          <w:p>
            <w:pPr>
              <w:jc w:val="right"/>
              <w:ind w:right="764"/>
              <w:spacing w:after="0"/>
              <w:rPr>
                <w:sz w:val="20"/>
                <w:szCs w:val="20"/>
                <w:color w:val="auto"/>
              </w:rPr>
            </w:pPr>
            <w:r>
              <w:rPr>
                <w:rFonts w:ascii="Times New Roman" w:cs="Times New Roman" w:eastAsia="Times New Roman" w:hAnsi="Times New Roman"/>
                <w:sz w:val="12"/>
                <w:szCs w:val="12"/>
                <w:color w:val="auto"/>
              </w:rPr>
              <w:t xml:space="preserve">​ ​ 29,972 </w:t>
            </w:r>
            <w:r>
              <w:rPr>
                <w:rFonts w:ascii="Times New Roman" w:cs="Times New Roman" w:eastAsia="Times New Roman" w:hAnsi="Times New Roman"/>
                <w:sz w:val="12"/>
                <w:szCs w:val="12"/>
                <w:b w:val="1"/>
                <w:bCs w:val="1"/>
                <w:color w:val="auto"/>
              </w:rPr>
              <w:t>​</w:t>
            </w:r>
          </w:p>
        </w:tc>
      </w:tr>
      <w:tr>
        <w:trPr>
          <w:trHeight w:val="174"/>
        </w:trPr>
        <w:tc>
          <w:tcPr>
            <w:tcW w:w="860" w:type="dxa"/>
            <w:vAlign w:val="bottom"/>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 redeemable convertible preferred stock</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Borders>
              <w:right w:val="single" w:sz="8" w:color="CCEEFF"/>
            </w:tcBorders>
            <w:shd w:val="clear" w:color="auto" w:fill="CCEEFF"/>
          </w:tcPr>
          <w:p>
            <w:pPr>
              <w:spacing w:after="0"/>
              <w:rPr>
                <w:sz w:val="15"/>
                <w:szCs w:val="15"/>
                <w:color w:val="auto"/>
              </w:rPr>
            </w:pPr>
          </w:p>
        </w:tc>
        <w:tc>
          <w:tcPr>
            <w:tcW w:w="15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40,200,000​​ ​​ 40,200,000​​ ​​</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​201,000</w:t>
            </w:r>
          </w:p>
        </w:tc>
        <w:tc>
          <w:tcPr>
            <w:tcW w:w="20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​200,711</w:t>
            </w:r>
          </w:p>
        </w:tc>
        <w:tc>
          <w:tcPr>
            <w:tcW w:w="860" w:type="dxa"/>
            <w:vAlign w:val="bottom"/>
          </w:tcPr>
          <w:p>
            <w:pPr>
              <w:jc w:val="right"/>
              <w:ind w:right="764"/>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86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2"/>
                <w:szCs w:val="12"/>
                <w:color w:val="auto"/>
              </w:rPr>
              <w:t>B-1 redeemable convertible preferred stock</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9,760,088​​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9,760,088​​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39,040</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 ​</w:t>
            </w:r>
          </w:p>
        </w:tc>
        <w:tc>
          <w:tcPr>
            <w:tcW w:w="1360" w:type="dxa"/>
            <w:vAlign w:val="bottom"/>
            <w:gridSpan w:val="3"/>
          </w:tcPr>
          <w:p>
            <w:pPr>
              <w:jc w:val="right"/>
              <w:ind w:right="764"/>
              <w:spacing w:after="0"/>
              <w:rPr>
                <w:sz w:val="20"/>
                <w:szCs w:val="20"/>
                <w:color w:val="auto"/>
              </w:rPr>
            </w:pPr>
            <w:r>
              <w:rPr>
                <w:rFonts w:ascii="Times New Roman" w:cs="Times New Roman" w:eastAsia="Times New Roman" w:hAnsi="Times New Roman"/>
                <w:sz w:val="12"/>
                <w:szCs w:val="12"/>
                <w:color w:val="auto"/>
              </w:rPr>
              <w:t xml:space="preserve">​ ​ 44,310 </w:t>
            </w:r>
            <w:r>
              <w:rPr>
                <w:rFonts w:ascii="Times New Roman" w:cs="Times New Roman" w:eastAsia="Times New Roman" w:hAnsi="Times New Roman"/>
                <w:sz w:val="12"/>
                <w:szCs w:val="12"/>
                <w:b w:val="1"/>
                <w:bCs w:val="1"/>
                <w:color w:val="auto"/>
              </w:rPr>
              <w:t>​</w:t>
            </w:r>
          </w:p>
        </w:tc>
      </w:tr>
      <w:tr>
        <w:trPr>
          <w:trHeight w:val="174"/>
        </w:trPr>
        <w:tc>
          <w:tcPr>
            <w:tcW w:w="860" w:type="dxa"/>
            <w:vAlign w:val="bottom"/>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B-2 redeemable convertible preferred stock</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Borders>
              <w:right w:val="single" w:sz="8" w:color="CCEEFF"/>
            </w:tcBorders>
            <w:shd w:val="clear" w:color="auto" w:fill="CCEEFF"/>
          </w:tcPr>
          <w:p>
            <w:pPr>
              <w:spacing w:after="0"/>
              <w:rPr>
                <w:sz w:val="15"/>
                <w:szCs w:val="15"/>
                <w:color w:val="auto"/>
              </w:rPr>
            </w:pPr>
          </w:p>
        </w:tc>
        <w:tc>
          <w:tcPr>
            <w:tcW w:w="15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18,000,000​​ ​​ 16,221,170​​ ​​</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81,106</w:t>
            </w:r>
          </w:p>
        </w:tc>
        <w:tc>
          <w:tcPr>
            <w:tcW w:w="20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 80,969</w:t>
            </w:r>
          </w:p>
        </w:tc>
        <w:tc>
          <w:tcPr>
            <w:tcW w:w="860" w:type="dxa"/>
            <w:vAlign w:val="bottom"/>
          </w:tcPr>
          <w:p>
            <w:pPr>
              <w:jc w:val="right"/>
              <w:ind w:right="764"/>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4"/>
        </w:trPr>
        <w:tc>
          <w:tcPr>
            <w:tcW w:w="86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2"/>
                <w:szCs w:val="12"/>
                <w:color w:val="auto"/>
              </w:rPr>
              <w:t>B-2A redeemable convertible preferred stock</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1,778,830​​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1,778,830​​ ​​</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8,894</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260" w:type="dxa"/>
            <w:vAlign w:val="bottom"/>
            <w:gridSpan w:val="2"/>
          </w:tcPr>
          <w:p>
            <w:pPr>
              <w:jc w:val="right"/>
              <w:ind w:right="764"/>
              <w:spacing w:after="0"/>
              <w:rPr>
                <w:sz w:val="20"/>
                <w:szCs w:val="20"/>
                <w:color w:val="auto"/>
              </w:rPr>
            </w:pPr>
            <w:r>
              <w:rPr>
                <w:rFonts w:ascii="Times New Roman" w:cs="Times New Roman" w:eastAsia="Times New Roman" w:hAnsi="Times New Roman"/>
                <w:sz w:val="12"/>
                <w:szCs w:val="12"/>
                <w:color w:val="auto"/>
              </w:rPr>
              <w:t xml:space="preserve">8,928 </w:t>
            </w:r>
            <w:r>
              <w:rPr>
                <w:rFonts w:ascii="Times New Roman" w:cs="Times New Roman" w:eastAsia="Times New Roman" w:hAnsi="Times New Roman"/>
                <w:sz w:val="12"/>
                <w:szCs w:val="12"/>
                <w:b w:val="1"/>
                <w:bCs w:val="1"/>
                <w:color w:val="auto"/>
              </w:rPr>
              <w:t>​</w:t>
            </w:r>
          </w:p>
        </w:tc>
      </w:tr>
      <w:tr>
        <w:trPr>
          <w:trHeight w:val="174"/>
        </w:trPr>
        <w:tc>
          <w:tcPr>
            <w:tcW w:w="860" w:type="dxa"/>
            <w:vAlign w:val="bottom"/>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 redeemable convertible preferred stock</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Borders>
              <w:right w:val="single" w:sz="8" w:color="CCEEFF"/>
            </w:tcBorders>
            <w:shd w:val="clear" w:color="auto" w:fill="CCEEFF"/>
          </w:tcPr>
          <w:p>
            <w:pPr>
              <w:spacing w:after="0"/>
              <w:rPr>
                <w:sz w:val="15"/>
                <w:szCs w:val="15"/>
                <w:color w:val="auto"/>
              </w:rPr>
            </w:pPr>
          </w:p>
        </w:tc>
        <w:tc>
          <w:tcPr>
            <w:tcW w:w="15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82,529,809​​ ​​ 41,264,891​​ ​​</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​129,500</w:t>
            </w:r>
          </w:p>
        </w:tc>
        <w:tc>
          <w:tcPr>
            <w:tcW w:w="20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​120,205</w:t>
            </w:r>
          </w:p>
        </w:tc>
        <w:tc>
          <w:tcPr>
            <w:tcW w:w="860" w:type="dxa"/>
            <w:vAlign w:val="bottom"/>
          </w:tcPr>
          <w:p>
            <w:pPr>
              <w:jc w:val="right"/>
              <w:ind w:right="764"/>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86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2"/>
                <w:szCs w:val="12"/>
                <w:color w:val="auto"/>
              </w:rPr>
              <w:t>C-1 redeemable convertible preferred stock</w:t>
            </w:r>
          </w:p>
        </w:tc>
        <w:tc>
          <w:tcPr>
            <w:tcW w:w="38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80" w:type="dxa"/>
            <w:vAlign w:val="bottom"/>
          </w:tcPr>
          <w:p>
            <w:pPr>
              <w:spacing w:after="0"/>
              <w:rPr>
                <w:sz w:val="15"/>
                <w:szCs w:val="15"/>
                <w:color w:val="auto"/>
              </w:rPr>
            </w:pPr>
          </w:p>
        </w:tc>
        <w:tc>
          <w:tcPr>
            <w:tcW w:w="72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1"/>
                <w:szCs w:val="11"/>
                <w:color w:val="auto"/>
              </w:rPr>
              <w:t>32,375,000</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1"/>
                <w:szCs w:val="11"/>
                <w:color w:val="auto"/>
              </w:rPr>
              <w:t>​</w:t>
            </w:r>
          </w:p>
        </w:tc>
        <w:tc>
          <w:tcPr>
            <w:tcW w:w="780" w:type="dxa"/>
            <w:vAlign w:val="bottom"/>
            <w:gridSpan w:val="3"/>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line="184"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1260" w:type="dxa"/>
            <w:vAlign w:val="bottom"/>
            <w:gridSpan w:val="2"/>
          </w:tcPr>
          <w:p>
            <w:pPr>
              <w:jc w:val="right"/>
              <w:ind w:right="764"/>
              <w:spacing w:after="0" w:line="184"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b w:val="1"/>
                <w:bCs w:val="1"/>
                <w:color w:val="auto"/>
              </w:rPr>
              <w:t xml:space="preserve"> ​</w:t>
            </w:r>
          </w:p>
        </w:tc>
      </w:tr>
      <w:tr>
        <w:trPr>
          <w:trHeight w:val="20"/>
        </w:trPr>
        <w:tc>
          <w:tcPr>
            <w:tcW w:w="860" w:type="dxa"/>
            <w:vAlign w:val="bottom"/>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gridSpan w:val="3"/>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2"/>
        </w:trPr>
        <w:tc>
          <w:tcPr>
            <w:tcW w:w="86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redeemable convertible preferred stock</w:t>
            </w:r>
          </w:p>
        </w:tc>
        <w:tc>
          <w:tcPr>
            <w:tcW w:w="2380" w:type="dxa"/>
            <w:vAlign w:val="bottom"/>
            <w:tcBorders>
              <w:right w:val="single" w:sz="8" w:color="CCEEFF"/>
            </w:tcBorders>
            <w:gridSpan w:val="10"/>
            <w:shd w:val="clear" w:color="auto" w:fill="CCEEFF"/>
          </w:tcPr>
          <w:p>
            <w:pPr>
              <w:jc w:val="right"/>
              <w:spacing w:after="0" w:line="163" w:lineRule="exact"/>
              <w:rPr>
                <w:sz w:val="20"/>
                <w:szCs w:val="20"/>
                <w:color w:val="auto"/>
              </w:rPr>
            </w:pP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0"/>
                <w:szCs w:val="10"/>
                <w:color w:val="auto"/>
              </w:rPr>
              <w:t>​202,643,727</w:t>
            </w: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0"/>
                <w:szCs w:val="10"/>
                <w:color w:val="auto"/>
              </w:rPr>
              <w:t>​127,224,979</w:t>
            </w:r>
            <w:r>
              <w:rPr>
                <w:rFonts w:ascii="Times New Roman" w:cs="Times New Roman" w:eastAsia="Times New Roman" w:hAnsi="Times New Roman"/>
                <w:sz w:val="18"/>
                <w:szCs w:val="18"/>
                <w:color w:val="auto"/>
                <w:vertAlign w:val="subscript"/>
              </w:rPr>
              <w:t>​​ ​ ​</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 xml:space="preserve"> 500,040</w:t>
            </w:r>
          </w:p>
        </w:tc>
        <w:tc>
          <w:tcPr>
            <w:tcW w:w="700" w:type="dxa"/>
            <w:vAlign w:val="bottom"/>
            <w:tcBorders>
              <w:right w:val="single" w:sz="8" w:color="CCEEFF"/>
            </w:tcBorders>
            <w:gridSpan w:val="3"/>
            <w:shd w:val="clear" w:color="auto" w:fill="CCEEFF"/>
          </w:tcPr>
          <w:p>
            <w:pPr>
              <w:jc w:val="right"/>
              <w:spacing w:after="0" w:line="163" w:lineRule="exact"/>
              <w:rPr>
                <w:sz w:val="20"/>
                <w:szCs w:val="20"/>
                <w:color w:val="auto"/>
              </w:rPr>
            </w:pPr>
            <w:r>
              <w:rPr>
                <w:rFonts w:ascii="Times New Roman" w:cs="Times New Roman" w:eastAsia="Times New Roman" w:hAnsi="Times New Roman"/>
                <w:sz w:val="18"/>
                <w:szCs w:val="18"/>
                <w:color w:val="auto"/>
                <w:vertAlign w:val="subscript"/>
              </w:rPr>
              <w:t>​​ ​ ​</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495,575</w:t>
            </w:r>
          </w:p>
        </w:tc>
        <w:tc>
          <w:tcPr>
            <w:tcW w:w="860" w:type="dxa"/>
            <w:vAlign w:val="bottom"/>
          </w:tcPr>
          <w:p>
            <w:pPr>
              <w:jc w:val="right"/>
              <w:ind w:right="764"/>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7"/>
        </w:trPr>
        <w:tc>
          <w:tcPr>
            <w:tcW w:w="860" w:type="dxa"/>
            <w:vAlign w:val="bottom"/>
          </w:tcPr>
          <w:p>
            <w:pPr>
              <w:spacing w:after="0"/>
              <w:rPr>
                <w:sz w:val="3"/>
                <w:szCs w:val="3"/>
                <w:color w:val="auto"/>
              </w:rPr>
            </w:pPr>
          </w:p>
        </w:tc>
        <w:tc>
          <w:tcPr>
            <w:tcW w:w="2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tcBorders>
              <w:right w:val="single" w:sz="8" w:color="auto"/>
            </w:tcBorders>
            <w:gridSpan w:val="2"/>
            <w:shd w:val="clear" w:color="auto" w:fill="000000"/>
          </w:tcPr>
          <w:p>
            <w:pPr>
              <w:spacing w:after="0"/>
              <w:rPr>
                <w:sz w:val="3"/>
                <w:szCs w:val="3"/>
                <w:color w:val="auto"/>
              </w:rPr>
            </w:pPr>
          </w:p>
        </w:tc>
        <w:tc>
          <w:tcPr>
            <w:tcW w:w="560" w:type="dxa"/>
            <w:vAlign w:val="bottom"/>
            <w:tcBorders>
              <w:right w:val="single" w:sz="8" w:color="CCEEFF"/>
            </w:tcBorders>
            <w:shd w:val="clear" w:color="auto" w:fill="000000"/>
          </w:tcPr>
          <w:p>
            <w:pPr>
              <w:spacing w:after="0"/>
              <w:rPr>
                <w:sz w:val="3"/>
                <w:szCs w:val="3"/>
                <w:color w:val="auto"/>
              </w:rPr>
            </w:pPr>
          </w:p>
        </w:tc>
        <w:tc>
          <w:tcPr>
            <w:tcW w:w="160" w:type="dxa"/>
            <w:vAlign w:val="bottom"/>
            <w:tcBorders>
              <w:right w:val="single" w:sz="8" w:color="auto"/>
            </w:tcBorders>
            <w:shd w:val="clear" w:color="auto" w:fill="CCEEFF"/>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60" w:type="dxa"/>
            <w:vAlign w:val="bottom"/>
            <w:tcBorders>
              <w:right w:val="single" w:sz="8" w:color="CCEEFF"/>
            </w:tcBorders>
            <w:shd w:val="clear" w:color="auto" w:fill="000000"/>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0" w:type="dxa"/>
            <w:vAlign w:val="bottom"/>
            <w:tcBorders>
              <w:right w:val="single" w:sz="8" w:color="CCEEFF"/>
            </w:tcBorders>
            <w:shd w:val="clear" w:color="auto" w:fill="000000"/>
          </w:tcPr>
          <w:p>
            <w:pPr>
              <w:spacing w:after="0"/>
              <w:rPr>
                <w:sz w:val="3"/>
                <w:szCs w:val="3"/>
                <w:color w:val="auto"/>
              </w:rPr>
            </w:pPr>
          </w:p>
        </w:tc>
        <w:tc>
          <w:tcPr>
            <w:tcW w:w="860" w:type="dxa"/>
            <w:vAlign w:val="bottom"/>
          </w:tcPr>
          <w:p>
            <w:pPr>
              <w:spacing w:after="0"/>
              <w:rPr>
                <w:sz w:val="3"/>
                <w:szCs w:val="3"/>
                <w:color w:val="auto"/>
              </w:rPr>
            </w:pPr>
          </w:p>
        </w:tc>
      </w:tr>
      <w:tr>
        <w:trPr>
          <w:trHeight w:val="521"/>
        </w:trPr>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0" w:type="dxa"/>
            <w:vAlign w:val="bottom"/>
            <w:gridSpan w:val="3"/>
          </w:tcPr>
          <w:p>
            <w:pPr>
              <w:jc w:val="right"/>
              <w:ind w:right="11"/>
              <w:spacing w:after="0"/>
              <w:rPr>
                <w:sz w:val="20"/>
                <w:szCs w:val="20"/>
                <w:color w:val="auto"/>
              </w:rPr>
            </w:pPr>
            <w:r>
              <w:rPr>
                <w:rFonts w:ascii="Times New Roman" w:cs="Times New Roman" w:eastAsia="Times New Roman" w:hAnsi="Times New Roman"/>
                <w:sz w:val="12"/>
                <w:szCs w:val="12"/>
                <w:color w:val="auto"/>
              </w:rPr>
              <w:t>F-49</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6"/>
        </w:trPr>
        <w:tc>
          <w:tcPr>
            <w:tcW w:w="860" w:type="dxa"/>
            <w:vAlign w:val="bottom"/>
            <w:tcBorders>
              <w:bottom w:val="single" w:sz="8" w:color="9A9A9A"/>
            </w:tcBorders>
          </w:tcPr>
          <w:p>
            <w:pPr>
              <w:spacing w:after="0"/>
              <w:rPr>
                <w:sz w:val="23"/>
                <w:szCs w:val="23"/>
                <w:color w:val="auto"/>
              </w:rPr>
            </w:pPr>
          </w:p>
        </w:tc>
        <w:tc>
          <w:tcPr>
            <w:tcW w:w="248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56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56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4598670</wp:posOffset>
            </wp:positionH>
            <wp:positionV relativeFrom="paragraph">
              <wp:posOffset>-2244090</wp:posOffset>
            </wp:positionV>
            <wp:extent cx="29210" cy="57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9210" cy="571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-2244090</wp:posOffset>
            </wp:positionV>
            <wp:extent cx="133985" cy="57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33985" cy="5715"/>
                    </a:xfrm>
                    <a:prstGeom prst="rect">
                      <a:avLst/>
                    </a:prstGeom>
                    <a:noFill/>
                  </pic:spPr>
                </pic:pic>
              </a:graphicData>
            </a:graphic>
          </wp:anchor>
        </w:drawing>
        <w:drawing>
          <wp:anchor simplePos="0" relativeHeight="251657728" behindDoc="1" locked="0" layoutInCell="0" allowOverlap="1">
            <wp:simplePos x="0" y="0"/>
            <wp:positionH relativeFrom="column">
              <wp:posOffset>3767455</wp:posOffset>
            </wp:positionH>
            <wp:positionV relativeFrom="paragraph">
              <wp:posOffset>-2244090</wp:posOffset>
            </wp:positionV>
            <wp:extent cx="99060" cy="57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9906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-2244090</wp:posOffset>
            </wp:positionV>
            <wp:extent cx="2320290" cy="57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320290" cy="571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-3023235</wp:posOffset>
            </wp:positionV>
            <wp:extent cx="93345" cy="571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3767455</wp:posOffset>
            </wp:positionH>
            <wp:positionV relativeFrom="paragraph">
              <wp:posOffset>-3023235</wp:posOffset>
            </wp:positionV>
            <wp:extent cx="93345" cy="571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-3023235</wp:posOffset>
            </wp:positionV>
            <wp:extent cx="93345" cy="571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-656590</wp:posOffset>
            </wp:positionV>
            <wp:extent cx="29210" cy="57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9210" cy="571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-656590</wp:posOffset>
            </wp:positionV>
            <wp:extent cx="133985" cy="571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33985" cy="5715"/>
                    </a:xfrm>
                    <a:prstGeom prst="rect">
                      <a:avLst/>
                    </a:prstGeom>
                    <a:noFill/>
                  </pic:spPr>
                </pic:pic>
              </a:graphicData>
            </a:graphic>
          </wp:anchor>
        </w:drawing>
        <w:drawing>
          <wp:anchor simplePos="0" relativeHeight="251657728" behindDoc="1" locked="0" layoutInCell="0" allowOverlap="1">
            <wp:simplePos x="0" y="0"/>
            <wp:positionH relativeFrom="column">
              <wp:posOffset>3767455</wp:posOffset>
            </wp:positionH>
            <wp:positionV relativeFrom="paragraph">
              <wp:posOffset>-656590</wp:posOffset>
            </wp:positionV>
            <wp:extent cx="99060"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9906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-656590</wp:posOffset>
            </wp:positionV>
            <wp:extent cx="2285365"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285365" cy="571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-1656715</wp:posOffset>
            </wp:positionV>
            <wp:extent cx="93345" cy="57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3767455</wp:posOffset>
            </wp:positionH>
            <wp:positionV relativeFrom="paragraph">
              <wp:posOffset>-1656715</wp:posOffset>
            </wp:positionV>
            <wp:extent cx="93345" cy="57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3278505</wp:posOffset>
            </wp:positionH>
            <wp:positionV relativeFrom="paragraph">
              <wp:posOffset>-1656715</wp:posOffset>
            </wp:positionV>
            <wp:extent cx="93345" cy="57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93345" cy="571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-23495</wp:posOffset>
            </wp:positionV>
            <wp:extent cx="31115" cy="3683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538480</wp:posOffset>
            </wp:positionH>
            <wp:positionV relativeFrom="paragraph">
              <wp:posOffset>-23495</wp:posOffset>
            </wp:positionV>
            <wp:extent cx="31115" cy="3683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56" w:name="page257"/>
    <w:bookmarkEnd w:id="256"/>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 (Continued)</w:t>
      </w:r>
    </w:p>
    <w:p>
      <w:pPr>
        <w:spacing w:after="0" w:line="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8. Redeemable Convertible Preferred Stock (Continued)</w:t>
      </w:r>
    </w:p>
    <w:p>
      <w:pPr>
        <w:spacing w:after="0" w:line="157"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The significant rights and obligations of the Company’s redeemable convertible preferred stock are as follows:</w:t>
      </w:r>
    </w:p>
    <w:p>
      <w:pPr>
        <w:spacing w:after="0" w:line="28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Liquidation Preference</w:t>
      </w:r>
    </w:p>
    <w:p>
      <w:pPr>
        <w:spacing w:after="0" w:line="111"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In the event of the liquidation, dissolution or winding up of the Company, or a deemed liquidation event, including a merger or consolidation, or a sale or other disposition of all or substantially all of the Company’s assets, the holders of shares of the Senior Redeemable Convertible Preferred Stock are entitled to receive, before any payments are made to the holders of the Junior Redeemable Convertible Preferred Stock and holders of common stock, an amount per share equal to the greater of (i) the Series B, Series B-1, Series B- 2, Series B -2A, Series C and Series C-1 original issuance price of $5.00, $4.00, $ 5.00, $5.00, $3.13826 and $4.00, respectively, plus any dividends declared but unpaid, or (ii) such amount per share as would have been payable had all shares of the applicable series of Senior Redeemable Convertible Preferred Stock been converted into common stock immediately prior to such liquidation, dissolution, winding up or deemed liquidation. If the proceeds are insufficient to pay the holders of shares of Senior Redeemable Convertible Preferred Stock their full liquidation preference, then the proceeds available for distribution are payable ratably among the holders of the Senior Redeemable Convertible Preferred Stock in proportion to the full preferential amount that each such holder is entitled to receive.</w:t>
      </w:r>
    </w:p>
    <w:p>
      <w:pPr>
        <w:spacing w:after="0" w:line="77"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After the distributions to the holders of the Senior Redeemable Convertible Preferred Stock have been paid in full, the holder of shares of Junior Redeemable Convertible Preferred Stock will be entitled to receive, prior to and in preference to any distributions of the assets of the Company to the holders of common stock, an amount equal to the greater of (i) the Series Seed and Series A original issuance price of $1.00 and $4.00, respectively, plus any dividends declared but unpaid, or (ii) such amount per share as would have been payable had all shares of such series of Junior Redeemable Convertible Preferred Stock been converted into common stock immediately prior to such liquidation, dissolution, winding up or deemed liquidation. If the proceeds are insufficient to pay the holder of share of Junior Redeemable Convertible Preferred Stock their full liquidation preference, then the proceeds available for distribution are payable ratably among the holders of the Junior Redeemable Convertible Preferred Stock in proportion to the full preferential amount that each such holder is entitled to receive.</w:t>
      </w:r>
    </w:p>
    <w:p>
      <w:pPr>
        <w:spacing w:after="0" w:line="219"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After the distributions described above have been paid in full, the remaining assets of the Company available for distribution to its stockholders will be distributed among the holders of shares of common stock, pro rata based on the number of shares held by each such holder.</w:t>
      </w:r>
    </w:p>
    <w:p>
      <w:pPr>
        <w:spacing w:after="0" w:line="1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Conversion</w:t>
      </w:r>
    </w:p>
    <w:p>
      <w:pPr>
        <w:spacing w:after="0" w:line="111"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Each share of Series B-2 redeemable convertible preferred stock is convertible at the option of a holder into one share of Series B-2A redeemable convertible preferred stock.</w:t>
      </w:r>
    </w:p>
    <w:p>
      <w:pPr>
        <w:spacing w:after="0" w:line="59"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Each share of Series B-2A redeemable convertible preferred stock is convertible at the option of a holder into one share of Series B-2 redeemable convertible preferred stock.</w:t>
      </w:r>
    </w:p>
    <w:p>
      <w:pPr>
        <w:spacing w:after="0" w:line="59" w:lineRule="exact"/>
        <w:rPr>
          <w:sz w:val="20"/>
          <w:szCs w:val="20"/>
          <w:color w:val="auto"/>
        </w:rPr>
      </w:pPr>
    </w:p>
    <w:p>
      <w:pPr>
        <w:jc w:val="both"/>
        <w:ind w:left="1720" w:right="1739"/>
        <w:spacing w:after="0" w:line="249" w:lineRule="auto"/>
        <w:rPr>
          <w:sz w:val="20"/>
          <w:szCs w:val="20"/>
          <w:color w:val="auto"/>
        </w:rPr>
      </w:pPr>
      <w:r>
        <w:rPr>
          <w:rFonts w:ascii="Times New Roman" w:cs="Times New Roman" w:eastAsia="Times New Roman" w:hAnsi="Times New Roman"/>
          <w:sz w:val="12"/>
          <w:szCs w:val="12"/>
          <w:color w:val="auto"/>
        </w:rPr>
        <w:t>Each share of redeemable convertible preferred stock is convertible at the option of a holder into shares of Class A common stock or Class B common stock at a conversion rate, which is the redeemable convertible preferred stock original issuance price per share divided by the conversion price in effect at the time of conversion. No shares of Series C and Series C-1 redeemable convertible preferred stock may be converted into shares of common stock at any time during the period commencing on March 4, 2024 and ending on the first to occur of (i) the Second Tranche Series C Closing, (ii) the day after December 31, 2024, (iii) a termination event as specified in the Series C stock purchase agreement and (iv) such other time as determined by the board of directors in its good faith judgment. The conversion price is initially equal to the redeemable convertible preferred stock original issuance price, and is subject to adjustments for recapitalization, dilutive issuances, stock dividends, stock splits, and other distributions. No adjustment in the conversion price of any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57" w:name="page258"/>
    <w:bookmarkEnd w:id="25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 (Continued)</w:t>
      </w:r>
    </w:p>
    <w:p>
      <w:pPr>
        <w:spacing w:after="0" w:line="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8. Redeemable Convertible Preferred Stock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Conversion (Continued)</w:t>
      </w:r>
    </w:p>
    <w:p>
      <w:pPr>
        <w:spacing w:after="0" w:line="157"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series of redeemable convertible preferred stock will be made as the result of the issuance or deemed issuance of additional shares of common stock if the Company receives written notice from a majority of the then outstanding shares of such series of redeemable convertible preferred stock agreeing that no such adjustment will be made as the result of the issuance or deemed issuance of such additional shares of common stock. As of December 31, 2023 and March 31, 2024, the conversion price as adjusted for the reverse stock split was $4.68 per share for the Series Seed redeemable convertible preferred stock, $14.67 per share for the Series C redeemable convertible preferred stock, $18.70 per share for the Series A redeemable convertible preferred stock, Series B-1 redeemable convertible preferred stock and Series C-1 redeemable convertible preferred stock, and $23.38 per share for the Series B redeemable convertible preferred stock, Series B-2 redeemable convertible preferred stock and Series B-2A redeemable convertible preferred stock.</w:t>
      </w:r>
    </w:p>
    <w:p>
      <w:pPr>
        <w:spacing w:after="0" w:line="229"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All outstanding shares of redeemable convertible preferred stock are automatically converted into shares of Class A common stock, provided that, a holder of shares of redeemable convertible preferred stock may elect, upon written notice to the Company at least seven days prior to a qualified public offering, to have all or a portion of its shares of redeemable convertible preferred stock automatically convert into shares of Class B common stock at the then effective conversion rate, upon the earlier of: (i) the closing of the sale of shares of common stock to the public at a price of at least $17.61, in a firm-commitment underwritten public offering pursuant to an effective registration statement under the Securities Act of 1933, as amended, resulting in at least $75.0 million of proceeds to the Company, net of underwriting discount and commissions, and in connection with such offering the common stock is listed for trading on the Nasdaq Stock Market’s National Market, the New York Stock Exchange or another exchange or marketplace approved by the board of directors, or (ii) the date and time, or the occurrence of an event, specified by a vote or a written consent of (a) the holders of a majority of outstanding shares of redeemable convertible preferred stock, voting together as a single class and on an as-converted basis, and (b) the holders of a majority of Series C and Series C-1 redeemable convertible preferred stock, voting together as a single class and on an as-converted basis.</w:t>
      </w:r>
    </w:p>
    <w:p>
      <w:pPr>
        <w:spacing w:after="0" w:line="2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Dividend Rights</w:t>
      </w:r>
    </w:p>
    <w:p>
      <w:pPr>
        <w:spacing w:after="0" w:line="111"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The Company cannot declare, pay or set aside any dividends on shares of any other class or series of capital stock of the Company (other than dividends on shares of common stock payable in shares of common stock), unless the holders of the redeemable convertible preferred stock then outstanding will first receive, or simultaneously receive, a dividend on each outstanding share of redeemable convertible preferred stock in an amount at least equal to (i) in the case of a dividend on common stock or any class or series that is convertible into common stock, the product of (a) the dividend payable on each share of such series determined as if all shares of such series had been converted into common stock and (b) the number of shares of common stock issuable upon conversion of a share of redeemable convertible preferred stock, calculated on the record date for determination of holders entitled to receive such dividend or (ii) in the case of a dividend on any class or series that is not convertible into common stock, at a rate per share of redeemable convertible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applicable original issue price. If the Company declares, pays or sets aside, on the same date, a dividend on shares of more than one class or series of capital stock of the Company, the dividend payable to the holders of redeemable convertible preferred stock will be calculated based upon the dividend on the class or series of capital stock that would result in the highest redeemable convertible preferred stock dividend. No dividends were declared and paid or payable for the year ended December 31, 2023 and for the three months ended March 31, 2024.</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58" w:name="page259"/>
    <w:bookmarkEnd w:id="25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 (Continued)</w:t>
      </w:r>
    </w:p>
    <w:p>
      <w:pPr>
        <w:spacing w:after="0" w:line="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8. Redeemable Convertible Preferred Stock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Voting Rights</w:t>
      </w:r>
    </w:p>
    <w:p>
      <w:pPr>
        <w:spacing w:after="0" w:line="111" w:lineRule="exact"/>
        <w:rPr>
          <w:sz w:val="20"/>
          <w:szCs w:val="20"/>
          <w:color w:val="auto"/>
        </w:rPr>
      </w:pPr>
    </w:p>
    <w:p>
      <w:pPr>
        <w:jc w:val="both"/>
        <w:ind w:left="1720" w:right="1739"/>
        <w:spacing w:after="0" w:line="263" w:lineRule="auto"/>
        <w:rPr>
          <w:sz w:val="20"/>
          <w:szCs w:val="20"/>
          <w:color w:val="auto"/>
        </w:rPr>
      </w:pPr>
      <w:r>
        <w:rPr>
          <w:rFonts w:ascii="Times New Roman" w:cs="Times New Roman" w:eastAsia="Times New Roman" w:hAnsi="Times New Roman"/>
          <w:sz w:val="12"/>
          <w:szCs w:val="12"/>
          <w:color w:val="auto"/>
        </w:rPr>
        <w:t>Each holder of outstanding shares of redeemable convertible preferred stock is entitled to cast the number of votes equal to the number of whole shares of common stock into which the shares of redeemable convertible preferred stock held by such holder are convertible. Holders of redeemable convertible preferred stock vote together with the holders of common stock as a single class and on an as-converted to common stock basis. Holders of Series B-2A redeemable convertible preferred stock have no voting rights for election of directors or for the size of the board.</w:t>
      </w:r>
    </w:p>
    <w:p>
      <w:pPr>
        <w:spacing w:after="0" w:line="26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Election of Directors</w:t>
      </w:r>
    </w:p>
    <w:p>
      <w:pPr>
        <w:spacing w:after="0" w:line="111"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At any time when at least 1,875,000 shares of Series A redeemable convertible preferred stock are outstanding, the holders of the shares of Series A redeemable convertible preferred stock, voting as a separate class on an as-converted to common stock basis, are entitled to elect one director of the Company.</w:t>
      </w:r>
    </w:p>
    <w:p>
      <w:pPr>
        <w:spacing w:after="0" w:line="62"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At any time when at least 10,050,000 shares of Series B, Series B-1 and Series B-2 redeemable convertible preferred stock are outstanding, the holders of the shares of Series B, Series B-1 and Series B-2 redeemable convertible preferred stock, voting as a separate class on an as-converted to common stock basis, are entitled to elect two directors of the Company.</w:t>
      </w:r>
    </w:p>
    <w:p>
      <w:pPr>
        <w:spacing w:after="0" w:line="75"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color w:val="auto"/>
        </w:rPr>
        <w:t>At any time when at least 10,316,222 shares of Series C and Series C-1 redeemable convertible preferred stock are outstanding, the holders of the shares of Series C and Series C-1 redeemable convertible preferred stock, voting as a separate class on an as-converted to common stock basis, are entitled to elect two directors of the Company.</w:t>
      </w:r>
    </w:p>
    <w:p>
      <w:pPr>
        <w:spacing w:after="0" w:line="221"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The holders of the shares of common stock, voting as a separate class, are entitled to elect one director of the Company.</w:t>
      </w:r>
    </w:p>
    <w:p>
      <w:pPr>
        <w:spacing w:after="0" w:line="50"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The holders of common stock and voting redeemable convertible preferred stock, voting together as a single class on an as-converted basis, are entitled to elect all remaining members of the board of directors, if any.</w:t>
      </w:r>
    </w:p>
    <w:p>
      <w:pPr>
        <w:spacing w:after="0" w:line="10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Redemption</w:t>
      </w:r>
    </w:p>
    <w:p>
      <w:pPr>
        <w:spacing w:after="0" w:line="111" w:lineRule="exact"/>
        <w:rPr>
          <w:sz w:val="20"/>
          <w:szCs w:val="20"/>
          <w:color w:val="auto"/>
        </w:rPr>
      </w:pPr>
    </w:p>
    <w:p>
      <w:pPr>
        <w:jc w:val="both"/>
        <w:ind w:left="1720" w:right="1739"/>
        <w:spacing w:after="0" w:line="270" w:lineRule="auto"/>
        <w:rPr>
          <w:sz w:val="20"/>
          <w:szCs w:val="20"/>
          <w:color w:val="auto"/>
        </w:rPr>
      </w:pPr>
      <w:r>
        <w:rPr>
          <w:rFonts w:ascii="Times New Roman" w:cs="Times New Roman" w:eastAsia="Times New Roman" w:hAnsi="Times New Roman"/>
          <w:sz w:val="12"/>
          <w:szCs w:val="12"/>
          <w:color w:val="auto"/>
        </w:rPr>
        <w:t>The redeemable convertible preferred stock is recorded in mezzanine equity because while it is not mandatorily redeemable, it will become redeemable at the option of the preferred stockholders upon the occurrence of certain deemed liquidation events that are considered not solely within the Company’s control.</w:t>
      </w:r>
    </w:p>
    <w:p>
      <w:pPr>
        <w:spacing w:after="0" w:line="26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9. Common Stock</w:t>
      </w:r>
    </w:p>
    <w:p>
      <w:pPr>
        <w:spacing w:after="0" w:line="111"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As of March 31, 2024, the Company was authorized to issue 225,000,000 shares of Class A common stock and 168,489,897 shares of Class B common stock, both with par values of $0.0001 per share (Class A common stock and Class B common stock, collectively referred to as “common stock”). As of December 31, 2023 and March 31, 2024, there were no shares of Class B common stock outstanding.</w:t>
      </w:r>
    </w:p>
    <w:p>
      <w:pPr>
        <w:spacing w:after="0" w:line="66"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The rights, powers and preferences of the holders of the Class A common stock and Class B common stock are subject to and qualified by the rights, powers and preferences of the holders of the redeemable convertible preferred stock. The holders of Class A and Class B common stock have the same rights except that Class B common stock do not have voting rights, except as may be required by law. Each holder of Class B common stock has a right to convert each share of Class B common stock to one share of Class A common stock. The Company cannot issue shares of Class B common stock other than upon conversion of redeemable convertible preferred stock. At any time following the Company’s registration of any class of equity securities under the Securities Exchange Act of 1934, as amended (the “Exchange Act”), the holders of shares of Class B common</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59" w:name="page260"/>
    <w:bookmarkEnd w:id="25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 (Continued)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9. Common Stock (Continued)</w:t>
      </w:r>
    </w:p>
    <w:p>
      <w:pPr>
        <w:spacing w:after="0" w:line="157"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stock may not convert a number of shares of Class B common stock into shares of Class A common stock in excess of that number of shares of Class B common stock which would cause the holder thereof to beneficially own (for purposes of Section 13(d) of the Exchange Act), in excess of 4.99% of the total number of issued and outstanding shares of Class A common stock (including shares of Class A common stock issuable upon conversion of the redeemable convertible preferred stock). Such maximum percentage may be increased or decreased to such other percentage as any holder of outstanding shares of Class B common stock may designate in writing upon 61 days’ prior written notice.</w:t>
      </w:r>
    </w:p>
    <w:p>
      <w:pPr>
        <w:spacing w:after="0" w:line="8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Common  stock  reserved  for  issuance,  on  an  as-converted  basis,  consisted  of  the  following  as  of</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December 31, 2023 and March 31, 2024:</w:t>
      </w:r>
    </w:p>
    <w:p>
      <w:pPr>
        <w:sectPr>
          <w:pgSz w:w="11900" w:h="16838" w:orient="portrait"/>
          <w:cols w:equalWidth="0" w:num="1">
            <w:col w:w="9019"/>
          </w:cols>
          <w:pgMar w:left="1440" w:top="106" w:right="1440" w:bottom="1440" w:gutter="0" w:footer="0" w:header="0"/>
        </w:sectPr>
      </w:pPr>
    </w:p>
    <w:p>
      <w:pPr>
        <w:spacing w:after="0" w:line="24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6985</wp:posOffset>
            </wp:positionV>
            <wp:extent cx="3535680" cy="11620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15" w:lineRule="exact"/>
        <w:rPr>
          <w:sz w:val="20"/>
          <w:szCs w:val="20"/>
          <w:color w:val="auto"/>
        </w:rPr>
      </w:pPr>
    </w:p>
    <w:p>
      <w:pPr>
        <w:ind w:left="1720" w:right="220"/>
        <w:spacing w:after="0" w:line="318" w:lineRule="auto"/>
        <w:rPr>
          <w:sz w:val="20"/>
          <w:szCs w:val="20"/>
          <w:color w:val="auto"/>
        </w:rPr>
      </w:pPr>
      <w:r>
        <w:rPr>
          <w:rFonts w:ascii="Times New Roman" w:cs="Times New Roman" w:eastAsia="Times New Roman" w:hAnsi="Times New Roman"/>
          <w:sz w:val="12"/>
          <w:szCs w:val="12"/>
          <w:color w:val="auto"/>
        </w:rPr>
        <w:t>Redeemable convertible preferred stock issued and outstanding Outstanding and issued common stock options Shares available for grant under 2021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-135890</wp:posOffset>
            </wp:positionV>
            <wp:extent cx="3535680" cy="1219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535680" cy="12192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2"/>
          <w:szCs w:val="12"/>
          <w:color w:val="auto"/>
        </w:rPr>
        <w:t>Total</w:t>
      </w:r>
    </w:p>
    <w:p>
      <w:pPr>
        <w:spacing w:after="0" w:line="25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Common Stock Issued to Executives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December 31,</w:t>
            </w:r>
          </w:p>
        </w:tc>
        <w:tc>
          <w:tcPr>
            <w:tcW w:w="14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March 31,</w:t>
            </w:r>
          </w:p>
        </w:tc>
        <w:tc>
          <w:tcPr>
            <w:tcW w:w="40" w:type="dxa"/>
            <w:vAlign w:val="bottom"/>
          </w:tcPr>
          <w:p>
            <w:pPr>
              <w:spacing w:after="0"/>
              <w:rPr>
                <w:sz w:val="10"/>
                <w:szCs w:val="10"/>
                <w:color w:val="auto"/>
              </w:rPr>
            </w:pPr>
          </w:p>
        </w:tc>
      </w:tr>
      <w:tr>
        <w:trPr>
          <w:trHeight w:val="145"/>
        </w:trPr>
        <w:tc>
          <w:tcPr>
            <w:tcW w:w="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​​18,387,168​​ ​​27,213,865​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 5,096,086​​ ​​ 5,565,543​</w:t>
      </w:r>
    </w:p>
    <w:p>
      <w:pPr>
        <w:spacing w:after="0" w:line="190" w:lineRule="auto"/>
        <w:tabs>
          <w:tab w:leader="none" w:pos="240" w:val="left"/>
          <w:tab w:leader="none" w:pos="980" w:val="left"/>
        </w:tabs>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24"/>
          <w:szCs w:val="24"/>
          <w:u w:val="single" w:color="auto"/>
          <w:color w:val="auto"/>
          <w:vertAlign w:val="subscript"/>
        </w:rPr>
        <w:t>​</w:t>
      </w:r>
      <w:r>
        <w:rPr>
          <w:rFonts w:ascii="Times New Roman" w:cs="Times New Roman" w:eastAsia="Times New Roman" w:hAnsi="Times New Roman"/>
          <w:sz w:val="12"/>
          <w:szCs w:val="12"/>
          <w:u w:val="single" w:color="auto"/>
          <w:color w:val="auto"/>
        </w:rPr>
        <w:t>​</w:t>
      </w:r>
      <w:r>
        <w:rPr>
          <w:sz w:val="20"/>
          <w:szCs w:val="20"/>
          <w:color w:val="auto"/>
        </w:rPr>
        <w:tab/>
      </w:r>
      <w:r>
        <w:rPr>
          <w:rFonts w:ascii="Times New Roman" w:cs="Times New Roman" w:eastAsia="Times New Roman" w:hAnsi="Times New Roman"/>
          <w:sz w:val="12"/>
          <w:szCs w:val="12"/>
          <w:u w:val="single" w:color="auto"/>
          <w:color w:val="auto"/>
        </w:rPr>
        <w:t>296,189</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24"/>
          <w:szCs w:val="24"/>
          <w:u w:val="single" w:color="auto"/>
          <w:color w:val="auto"/>
          <w:vertAlign w:val="subscript"/>
        </w:rPr>
        <w:t>​</w:t>
      </w:r>
      <w:r>
        <w:rPr>
          <w:rFonts w:ascii="Times New Roman" w:cs="Times New Roman" w:eastAsia="Times New Roman" w:hAnsi="Times New Roman"/>
          <w:sz w:val="12"/>
          <w:szCs w:val="12"/>
          <w:u w:val="single" w:color="auto"/>
          <w:color w:val="auto"/>
        </w:rPr>
        <w:t>​</w:t>
        <w:tab/>
        <w:t>631,885</w:t>
      </w:r>
      <w:r>
        <w:rPr>
          <w:rFonts w:ascii="Times New Roman" w:cs="Times New Roman" w:eastAsia="Times New Roman" w:hAnsi="Times New Roman"/>
          <w:sz w:val="24"/>
          <w:szCs w:val="24"/>
          <w:color w:val="auto"/>
          <w:vertAlign w:val="subscript"/>
        </w:rPr>
        <w:t>​</w:t>
      </w:r>
    </w:p>
    <w:p>
      <w:pPr>
        <w:spacing w:after="0" w:line="183" w:lineRule="auto"/>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24"/>
          <w:szCs w:val="24"/>
          <w:u w:val="single" w:color="auto"/>
          <w:color w:val="auto"/>
          <w:vertAlign w:val="subscript"/>
        </w:rPr>
        <w:t>​</w:t>
      </w:r>
      <w:r>
        <w:rPr>
          <w:rFonts w:ascii="Times New Roman" w:cs="Times New Roman" w:eastAsia="Times New Roman" w:hAnsi="Times New Roman"/>
          <w:sz w:val="12"/>
          <w:szCs w:val="12"/>
          <w:u w:val="single" w:color="auto"/>
          <w:color w:val="auto"/>
        </w:rPr>
        <w:t>​23,779,443</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24"/>
          <w:szCs w:val="24"/>
          <w:u w:val="single" w:color="auto"/>
          <w:color w:val="auto"/>
          <w:vertAlign w:val="subscript"/>
        </w:rPr>
        <w:t>​</w:t>
      </w:r>
      <w:r>
        <w:rPr>
          <w:rFonts w:ascii="Times New Roman" w:cs="Times New Roman" w:eastAsia="Times New Roman" w:hAnsi="Times New Roman"/>
          <w:sz w:val="12"/>
          <w:szCs w:val="12"/>
          <w:u w:val="single" w:color="auto"/>
          <w:color w:val="auto"/>
        </w:rPr>
        <w:t>​33,411,293</w:t>
      </w:r>
      <w:r>
        <w:rPr>
          <w:rFonts w:ascii="Times New Roman" w:cs="Times New Roman" w:eastAsia="Times New Roman" w:hAnsi="Times New Roman"/>
          <w:sz w:val="24"/>
          <w:szCs w:val="24"/>
          <w:color w:val="auto"/>
          <w:vertAlign w:val="subscript"/>
        </w:rPr>
        <w:t>​</w:t>
      </w:r>
    </w:p>
    <w:p>
      <w:pPr>
        <w:spacing w:after="0" w:line="446" w:lineRule="exact"/>
        <w:rPr>
          <w:sz w:val="20"/>
          <w:szCs w:val="20"/>
          <w:color w:val="auto"/>
        </w:rPr>
      </w:pPr>
    </w:p>
    <w:p>
      <w:pPr>
        <w:sectPr>
          <w:pgSz w:w="11900" w:h="16838" w:orient="portrait"/>
          <w:cols w:equalWidth="0" w:num="2">
            <w:col w:w="5180" w:space="720"/>
            <w:col w:w="3119"/>
          </w:cols>
          <w:pgMar w:left="1440" w:top="106" w:right="1440" w:bottom="1440" w:gutter="0" w:footer="0" w:header="0"/>
          <w:type w:val="continuous"/>
        </w:sect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In February 2021, the Company issued 100,532 shares of common stock to two executives at a purchase price of $0.94 per share. The shares vest over a four-year period with a one-year cliff. The holders have voting and dividends rights. The Company has the right to repurchase unvested shares at the price paid by the holder in the event of termination of the holder’s continuous status as a service provider. The Company estimated the fair value of the restricted stock awards based on the fair value of common stock at the grant dates. The expense is recognized ratably over the vesting terms. The Company recognized less than $0.1 million of stock-based compensation expense for the three months ended March 31, 2023 and 2024.</w:t>
      </w:r>
    </w:p>
    <w:p>
      <w:pPr>
        <w:spacing w:after="0" w:line="71"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The following table summarizes the activity for the Company’s restricted common stock for the three months ended March 31, 2024:</w:t>
      </w:r>
    </w:p>
    <w:p>
      <w:pPr>
        <w:spacing w:after="0" w:line="78"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0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40" w:type="dxa"/>
            <w:vAlign w:val="bottom"/>
          </w:tcPr>
          <w:p>
            <w:pPr>
              <w:spacing w:after="0"/>
              <w:rPr>
                <w:sz w:val="10"/>
                <w:szCs w:val="10"/>
                <w:color w:val="auto"/>
              </w:rPr>
            </w:pPr>
          </w:p>
        </w:tc>
      </w:tr>
      <w:tr>
        <w:trPr>
          <w:trHeight w:val="110"/>
        </w:trPr>
        <w:tc>
          <w:tcPr>
            <w:tcW w:w="30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40" w:type="dxa"/>
            <w:vAlign w:val="bottom"/>
          </w:tcPr>
          <w:p>
            <w:pPr>
              <w:spacing w:after="0"/>
              <w:rPr>
                <w:sz w:val="9"/>
                <w:szCs w:val="9"/>
                <w:color w:val="auto"/>
              </w:rPr>
            </w:pPr>
          </w:p>
        </w:tc>
      </w:tr>
      <w:tr>
        <w:trPr>
          <w:trHeight w:val="110"/>
        </w:trPr>
        <w:tc>
          <w:tcPr>
            <w:tcW w:w="30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0" w:type="dxa"/>
            <w:vAlign w:val="bottom"/>
          </w:tcPr>
          <w:p>
            <w:pPr>
              <w:spacing w:after="0" w:line="110" w:lineRule="exact"/>
              <w:rPr>
                <w:sz w:val="20"/>
                <w:szCs w:val="20"/>
                <w:color w:val="auto"/>
              </w:rPr>
            </w:pPr>
            <w:r>
              <w:rPr>
                <w:rFonts w:ascii="Times New Roman" w:cs="Times New Roman" w:eastAsia="Times New Roman" w:hAnsi="Times New Roman"/>
                <w:sz w:val="10"/>
                <w:szCs w:val="10"/>
                <w:b w:val="1"/>
                <w:bCs w:val="1"/>
                <w:color w:val="auto"/>
                <w:w w:val="77"/>
              </w:rPr>
              <w:t>Number of</w:t>
            </w:r>
          </w:p>
        </w:tc>
        <w:tc>
          <w:tcPr>
            <w:tcW w:w="140" w:type="dxa"/>
            <w:vAlign w:val="bottom"/>
          </w:tcPr>
          <w:p>
            <w:pPr>
              <w:spacing w:after="0"/>
              <w:rPr>
                <w:sz w:val="9"/>
                <w:szCs w:val="9"/>
                <w:color w:val="auto"/>
              </w:rPr>
            </w:pPr>
          </w:p>
        </w:tc>
        <w:tc>
          <w:tcPr>
            <w:tcW w:w="48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Grant Date</w:t>
            </w:r>
          </w:p>
        </w:tc>
        <w:tc>
          <w:tcPr>
            <w:tcW w:w="40" w:type="dxa"/>
            <w:vAlign w:val="bottom"/>
          </w:tcPr>
          <w:p>
            <w:pPr>
              <w:spacing w:after="0"/>
              <w:rPr>
                <w:sz w:val="9"/>
                <w:szCs w:val="9"/>
                <w:color w:val="auto"/>
              </w:rPr>
            </w:pPr>
          </w:p>
        </w:tc>
      </w:tr>
      <w:tr>
        <w:trPr>
          <w:trHeight w:val="145"/>
        </w:trPr>
        <w:tc>
          <w:tcPr>
            <w:tcW w:w="30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860" w:type="dxa"/>
            <w:vAlign w:val="bottom"/>
            <w:gridSpan w:val="2"/>
          </w:tcPr>
          <w:p>
            <w:pPr>
              <w:ind w:left="128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Shares</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5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9"/>
                <w:szCs w:val="9"/>
                <w:b w:val="1"/>
                <w:bCs w:val="1"/>
                <w:color w:val="auto"/>
              </w:rPr>
              <w:t xml:space="preserve">Fair Value </w:t>
            </w:r>
            <w:r>
              <w:rPr>
                <w:rFonts w:ascii="Times New Roman" w:cs="Times New Roman" w:eastAsia="Times New Roman" w:hAnsi="Times New Roman"/>
                <w:sz w:val="16"/>
                <w:szCs w:val="16"/>
                <w:b w:val="1"/>
                <w:bCs w:val="1"/>
                <w:color w:val="auto"/>
                <w:vertAlign w:val="subscript"/>
              </w:rPr>
              <w:t>​</w:t>
            </w:r>
          </w:p>
        </w:tc>
      </w:tr>
      <w:tr>
        <w:trPr>
          <w:trHeight w:val="20"/>
        </w:trPr>
        <w:tc>
          <w:tcPr>
            <w:tcW w:w="3080" w:type="dxa"/>
            <w:vAlign w:val="bottom"/>
            <w:shd w:val="clear" w:color="auto" w:fill="CCEEFF"/>
          </w:tcPr>
          <w:p>
            <w:pPr>
              <w:spacing w:after="0" w:line="20" w:lineRule="exact"/>
              <w:rPr>
                <w:sz w:val="1"/>
                <w:szCs w:val="1"/>
                <w:color w:val="auto"/>
              </w:rPr>
            </w:pPr>
          </w:p>
        </w:tc>
        <w:tc>
          <w:tcPr>
            <w:tcW w:w="146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Unvested as of December 31, 2023</w:t>
            </w:r>
          </w:p>
        </w:tc>
        <w:tc>
          <w:tcPr>
            <w:tcW w:w="1860" w:type="dxa"/>
            <w:vAlign w:val="bottom"/>
            <w:tcBorders>
              <w:right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2"/>
                <w:szCs w:val="12"/>
                <w:color w:val="auto"/>
              </w:rPr>
              <w:t>​ ​ ​29,322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​$2.90</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Vested</w:t>
            </w:r>
          </w:p>
        </w:tc>
        <w:tc>
          <w:tcPr>
            <w:tcW w:w="2000" w:type="dxa"/>
            <w:vAlign w:val="bottom"/>
            <w:gridSpan w:val="3"/>
          </w:tcPr>
          <w:p>
            <w:pPr>
              <w:jc w:val="right"/>
              <w:spacing w:after="0" w:line="184" w:lineRule="exact"/>
              <w:rPr>
                <w:sz w:val="20"/>
                <w:szCs w:val="20"/>
                <w:color w:val="auto"/>
              </w:rPr>
            </w:pPr>
            <w:r>
              <w:rPr>
                <w:rFonts w:ascii="Times New Roman" w:cs="Times New Roman" w:eastAsia="Times New Roman" w:hAnsi="Times New Roman"/>
                <w:sz w:val="21"/>
                <w:szCs w:val="21"/>
                <w:color w:val="auto"/>
                <w:vertAlign w:val="subscript"/>
              </w:rPr>
              <w:t>​ ​ ​</w:t>
            </w:r>
            <w:r>
              <w:rPr>
                <w:rFonts w:ascii="Times New Roman" w:cs="Times New Roman" w:eastAsia="Times New Roman" w:hAnsi="Times New Roman"/>
                <w:sz w:val="11"/>
                <w:szCs w:val="11"/>
                <w:color w:val="auto"/>
              </w:rPr>
              <w:t xml:space="preserve">​(6,283) </w:t>
            </w:r>
            <w:r>
              <w:rPr>
                <w:rFonts w:ascii="Times New Roman" w:cs="Times New Roman" w:eastAsia="Times New Roman" w:hAnsi="Times New Roman"/>
                <w:sz w:val="21"/>
                <w:szCs w:val="21"/>
                <w:color w:val="auto"/>
                <w:vertAlign w:val="subscript"/>
              </w:rPr>
              <w:t>​​ ​</w:t>
            </w:r>
          </w:p>
        </w:tc>
        <w:tc>
          <w:tcPr>
            <w:tcW w:w="480" w:type="dxa"/>
            <w:vAlign w:val="bottom"/>
          </w:tcPr>
          <w:p>
            <w:pPr>
              <w:jc w:val="cente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$2.90</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3080" w:type="dxa"/>
            <w:vAlign w:val="bottom"/>
            <w:shd w:val="clear" w:color="auto" w:fill="CCEEFF"/>
          </w:tcPr>
          <w:p>
            <w:pPr>
              <w:spacing w:after="0" w:line="20" w:lineRule="exact"/>
              <w:rPr>
                <w:sz w:val="1"/>
                <w:szCs w:val="1"/>
                <w:color w:val="auto"/>
              </w:rPr>
            </w:pPr>
          </w:p>
        </w:tc>
        <w:tc>
          <w:tcPr>
            <w:tcW w:w="146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Unvested as of March 31, 2024</w:t>
            </w:r>
          </w:p>
        </w:tc>
        <w:tc>
          <w:tcPr>
            <w:tcW w:w="1860" w:type="dxa"/>
            <w:vAlign w:val="bottom"/>
            <w:tcBorders>
              <w:right w:val="single" w:sz="8" w:color="CCEEFF"/>
            </w:tcBorders>
            <w:gridSpan w:val="2"/>
            <w:shd w:val="clear" w:color="auto" w:fill="CCEEFF"/>
          </w:tcPr>
          <w:p>
            <w:pPr>
              <w:ind w:left="1280"/>
              <w:spacing w:after="0" w:line="154" w:lineRule="exact"/>
              <w:rPr>
                <w:sz w:val="20"/>
                <w:szCs w:val="20"/>
                <w:color w:val="auto"/>
              </w:rPr>
            </w:pPr>
            <w:r>
              <w:rPr>
                <w:rFonts w:ascii="Times New Roman" w:cs="Times New Roman" w:eastAsia="Times New Roman" w:hAnsi="Times New Roman"/>
                <w:sz w:val="17"/>
                <w:szCs w:val="17"/>
                <w:color w:val="auto"/>
                <w:vertAlign w:val="subscript"/>
              </w:rPr>
              <w:t>​ ​ ​</w:t>
            </w:r>
            <w:r>
              <w:rPr>
                <w:rFonts w:ascii="Times New Roman" w:cs="Times New Roman" w:eastAsia="Times New Roman" w:hAnsi="Times New Roman"/>
                <w:sz w:val="10"/>
                <w:szCs w:val="10"/>
                <w:color w:val="auto"/>
              </w:rPr>
              <w:t>​23,039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​$2.90</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7"/>
        </w:trPr>
        <w:tc>
          <w:tcPr>
            <w:tcW w:w="3080" w:type="dxa"/>
            <w:vAlign w:val="bottom"/>
            <w:shd w:val="clear" w:color="auto" w:fill="CCEEFF"/>
          </w:tcPr>
          <w:p>
            <w:pPr>
              <w:spacing w:after="0"/>
              <w:rPr>
                <w:sz w:val="3"/>
                <w:szCs w:val="3"/>
                <w:color w:val="auto"/>
              </w:rPr>
            </w:pPr>
          </w:p>
        </w:tc>
        <w:tc>
          <w:tcPr>
            <w:tcW w:w="1460" w:type="dxa"/>
            <w:vAlign w:val="bottom"/>
            <w:tcBorders>
              <w:right w:val="single" w:sz="8" w:color="CCEEFF"/>
            </w:tcBorders>
            <w:shd w:val="clear" w:color="auto" w:fill="CCEEFF"/>
          </w:tcPr>
          <w:p>
            <w:pPr>
              <w:spacing w:after="0"/>
              <w:rPr>
                <w:sz w:val="3"/>
                <w:szCs w:val="3"/>
                <w:color w:val="auto"/>
              </w:rPr>
            </w:pPr>
          </w:p>
        </w:tc>
        <w:tc>
          <w:tcPr>
            <w:tcW w:w="400" w:type="dxa"/>
            <w:vAlign w:val="bottom"/>
            <w:tcBorders>
              <w:right w:val="single" w:sz="8" w:color="CCEEFF"/>
            </w:tcBorders>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-139065</wp:posOffset>
            </wp:positionV>
            <wp:extent cx="3535680" cy="57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53568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-371475</wp:posOffset>
            </wp:positionV>
            <wp:extent cx="3227705" cy="57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227705" cy="5715"/>
                    </a:xfrm>
                    <a:prstGeom prst="rect">
                      <a:avLst/>
                    </a:prstGeom>
                    <a:noFill/>
                  </pic:spPr>
                </pic:pic>
              </a:graphicData>
            </a:graphic>
          </wp:anchor>
        </w:drawing>
      </w:r>
    </w:p>
    <w:p>
      <w:pPr>
        <w:spacing w:after="0" w:line="123"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As of March 31, 2024, the remaining unamortized stock-based compensation expense of $0.1 million will be recognized over the remaining vesting period of 0.9 year.</w:t>
      </w:r>
    </w:p>
    <w:p>
      <w:pPr>
        <w:spacing w:after="0" w:line="10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10. Stock Compensation</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2021 Stock Plan</w:t>
      </w:r>
    </w:p>
    <w:p>
      <w:pPr>
        <w:spacing w:after="0" w:line="111"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In February 2021, the Company adopted the 2021 Stock Plan (the “2021 Plan”), which provides for stock awards to eligible employees, directors and consultants of the Company. Awards issuable under the 2021 Plan include incentive stock options (“ISO”), non-statutory stock options (“NSO”), restricted stock units (“RSU”) and stock grants.</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260" w:name="page261"/>
    <w:bookmarkEnd w:id="260"/>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 (Continued)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10. Stock Compensation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2021 Stock Plan (Continued)</w:t>
      </w:r>
    </w:p>
    <w:p>
      <w:pPr>
        <w:spacing w:after="0" w:line="157" w:lineRule="exact"/>
        <w:rPr>
          <w:sz w:val="20"/>
          <w:szCs w:val="20"/>
          <w:color w:val="auto"/>
        </w:r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color w:val="auto"/>
        </w:rPr>
        <w:t>The exercise price of ISOs shall not be less than the estimated fair value of the underlying common stock on the date of grant. The exercise price of ISOs granted to an employee who owns more than 10% of the voting power of all classes of stock of the Company shall be no less than 110% of the estimated fair market value of the underlying common stock on the grant date. Stock option grants under the 2021 Plan generally vest over four years. The contractual term of an option is no longer than five years for ISOs for which an employee owns greater than 10% of the voting power of all classes of stock and no longer than ten years for all other options. As of March 31, 2024, the Company was authorized to grant 7,321,742 shares, and 631,885 shares were available for issuance under the 2021 Plan.</w:t>
      </w:r>
    </w:p>
    <w:p>
      <w:pPr>
        <w:spacing w:after="0" w:line="72" w:lineRule="exact"/>
        <w:rPr>
          <w:sz w:val="20"/>
          <w:szCs w:val="20"/>
          <w:color w:val="auto"/>
        </w:rPr>
      </w:pPr>
    </w:p>
    <w:p>
      <w:pPr>
        <w:jc w:val="both"/>
        <w:ind w:left="1720" w:right="1739"/>
        <w:spacing w:after="0" w:line="282" w:lineRule="auto"/>
        <w:rPr>
          <w:sz w:val="20"/>
          <w:szCs w:val="20"/>
          <w:color w:val="auto"/>
        </w:rPr>
      </w:pPr>
      <w:r>
        <w:rPr>
          <w:rFonts w:ascii="Times New Roman" w:cs="Times New Roman" w:eastAsia="Times New Roman" w:hAnsi="Times New Roman"/>
          <w:sz w:val="12"/>
          <w:szCs w:val="12"/>
          <w:color w:val="auto"/>
        </w:rPr>
        <w:t>The terms of the 2021 Plan permit option holders to exercise options before their options are vested. The shares of common stock granted upon early exercise that have not yet vested are subject to repurchase by the Company in the event of termination of the holder’s continuous status as a service provider, at the price paid by the holder.</w:t>
      </w:r>
    </w:p>
    <w:p>
      <w:pPr>
        <w:spacing w:after="0" w:line="27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Stock Option Repricing</w:t>
      </w:r>
    </w:p>
    <w:p>
      <w:pPr>
        <w:spacing w:after="0" w:line="111" w:lineRule="exact"/>
        <w:rPr>
          <w:sz w:val="20"/>
          <w:szCs w:val="20"/>
          <w:color w:val="auto"/>
        </w:rPr>
      </w:pPr>
    </w:p>
    <w:p>
      <w:pPr>
        <w:jc w:val="both"/>
        <w:ind w:left="1720" w:right="1739"/>
        <w:spacing w:after="0" w:line="271" w:lineRule="auto"/>
        <w:rPr>
          <w:sz w:val="20"/>
          <w:szCs w:val="20"/>
          <w:color w:val="auto"/>
        </w:rPr>
      </w:pPr>
      <w:r>
        <w:rPr>
          <w:rFonts w:ascii="Times New Roman" w:cs="Times New Roman" w:eastAsia="Times New Roman" w:hAnsi="Times New Roman"/>
          <w:sz w:val="12"/>
          <w:szCs w:val="12"/>
          <w:color w:val="auto"/>
        </w:rPr>
        <w:t>In March 2024, the Company’s board of directors approved the repricing of all outstanding options as of March 29, 2024, which have an exercise price exceeding $8.84 per share. The exercise price of outstanding options with a weighted average exercise price of $10.23 for 4,603,443 common stock shares was reduced to the estimated common stock fair value of $8.84 per share at the date of the repricing. The vesting terms and expiration dates remain unchanged from the original grant dates.</w:t>
      </w:r>
    </w:p>
    <w:p>
      <w:pPr>
        <w:spacing w:after="0" w:line="73"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The stock option repricing was treated as an option modification for accounting purposes and resulted in total incremental expense of $0.7 million, of which $0.1 million incremental expense associated with the vested options was recognized on the modification date. The remaining $0.6 million incremental expense associated with the unvested options as of the modification date will be recognized over the remainder of the original requisite service period.</w:t>
      </w:r>
    </w:p>
    <w:p>
      <w:pPr>
        <w:spacing w:after="0" w:line="12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Stock Option Activity</w:t>
      </w:r>
    </w:p>
    <w:p>
      <w:pPr>
        <w:spacing w:after="0" w:line="10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The following table summarizes the Company’s option activity for the three months ended March 31, 2024.</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The table includes early exercised shares as part of options exercised.</w:t>
      </w:r>
    </w:p>
    <w:p>
      <w:pPr>
        <w:spacing w:after="0" w:line="125" w:lineRule="exact"/>
        <w:rPr>
          <w:sz w:val="20"/>
          <w:szCs w:val="20"/>
          <w:color w:val="auto"/>
        </w:rPr>
      </w:pPr>
    </w:p>
    <w:tbl>
      <w:tblPr>
        <w:tblLayout w:type="fixed"/>
        <w:tblInd w:w="860" w:type="dxa"/>
        <w:tblCellMar>
          <w:top w:w="0" w:type="dxa"/>
          <w:left w:w="0" w:type="dxa"/>
          <w:bottom w:w="0" w:type="dxa"/>
          <w:right w:w="0" w:type="dxa"/>
        </w:tblCellMar>
      </w:tblPr>
      <w:tr>
        <w:trPr>
          <w:trHeight w:val="115"/>
        </w:trPr>
        <w:tc>
          <w:tcPr>
            <w:tcW w:w="8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Weighted-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30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30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tcPr>
          <w:p>
            <w:pPr>
              <w:jc w:val="center"/>
              <w:ind w:right="19"/>
              <w:spacing w:after="0" w:line="110" w:lineRule="exact"/>
              <w:rPr>
                <w:sz w:val="20"/>
                <w:szCs w:val="20"/>
                <w:color w:val="auto"/>
              </w:rPr>
            </w:pPr>
            <w:r>
              <w:rPr>
                <w:rFonts w:ascii="Times New Roman" w:cs="Times New Roman" w:eastAsia="Times New Roman" w:hAnsi="Times New Roman"/>
                <w:sz w:val="10"/>
                <w:szCs w:val="10"/>
                <w:b w:val="1"/>
                <w:bCs w:val="1"/>
                <w:color w:val="auto"/>
                <w:w w:val="94"/>
              </w:rPr>
              <w:t>Weighted-</w:t>
            </w:r>
          </w:p>
        </w:tc>
        <w:tc>
          <w:tcPr>
            <w:tcW w:w="100" w:type="dxa"/>
            <w:vAlign w:val="bottom"/>
          </w:tcPr>
          <w:p>
            <w:pPr>
              <w:spacing w:after="0"/>
              <w:rPr>
                <w:sz w:val="9"/>
                <w:szCs w:val="9"/>
                <w:color w:val="auto"/>
              </w:rPr>
            </w:pPr>
          </w:p>
        </w:tc>
        <w:tc>
          <w:tcPr>
            <w:tcW w:w="48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4"/>
              </w:rPr>
              <w:t>Remaining</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1"/>
              </w:rPr>
              <w:t>Aggregate</w:t>
            </w: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30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100" w:type="dxa"/>
            <w:vAlign w:val="bottom"/>
          </w:tcPr>
          <w:p>
            <w:pPr>
              <w:spacing w:after="0"/>
              <w:rPr>
                <w:sz w:val="9"/>
                <w:szCs w:val="9"/>
                <w:color w:val="auto"/>
              </w:rPr>
            </w:pPr>
          </w:p>
        </w:tc>
        <w:tc>
          <w:tcPr>
            <w:tcW w:w="48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8"/>
              </w:rPr>
              <w:t>Contractual</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Intrinsic</w:t>
            </w: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30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gridSpan w:val="3"/>
          </w:tcPr>
          <w:p>
            <w:pPr>
              <w:jc w:val="center"/>
              <w:ind w:left="23"/>
              <w:spacing w:after="0" w:line="110" w:lineRule="exact"/>
              <w:rPr>
                <w:sz w:val="20"/>
                <w:szCs w:val="20"/>
                <w:color w:val="auto"/>
              </w:rPr>
            </w:pPr>
            <w:r>
              <w:rPr>
                <w:rFonts w:ascii="Times New Roman" w:cs="Times New Roman" w:eastAsia="Times New Roman" w:hAnsi="Times New Roman"/>
                <w:sz w:val="10"/>
                <w:szCs w:val="10"/>
                <w:b w:val="1"/>
                <w:bCs w:val="1"/>
                <w:color w:val="auto"/>
                <w:w w:val="92"/>
              </w:rPr>
              <w:t>Exercise Price</w:t>
            </w:r>
          </w:p>
        </w:tc>
        <w:tc>
          <w:tcPr>
            <w:tcW w:w="100" w:type="dxa"/>
            <w:vAlign w:val="bottom"/>
          </w:tcPr>
          <w:p>
            <w:pPr>
              <w:spacing w:after="0"/>
              <w:rPr>
                <w:sz w:val="9"/>
                <w:szCs w:val="9"/>
                <w:color w:val="auto"/>
              </w:rPr>
            </w:pPr>
          </w:p>
        </w:tc>
        <w:tc>
          <w:tcPr>
            <w:tcW w:w="340" w:type="dxa"/>
            <w:vAlign w:val="bottom"/>
          </w:tcPr>
          <w:p>
            <w:pPr>
              <w:jc w:val="center"/>
              <w:ind w:left="66"/>
              <w:spacing w:after="0" w:line="110" w:lineRule="exact"/>
              <w:rPr>
                <w:sz w:val="20"/>
                <w:szCs w:val="20"/>
                <w:color w:val="auto"/>
              </w:rPr>
            </w:pPr>
            <w:r>
              <w:rPr>
                <w:rFonts w:ascii="Times New Roman" w:cs="Times New Roman" w:eastAsia="Times New Roman" w:hAnsi="Times New Roman"/>
                <w:sz w:val="10"/>
                <w:szCs w:val="10"/>
                <w:b w:val="1"/>
                <w:bCs w:val="1"/>
                <w:color w:val="auto"/>
                <w:w w:val="91"/>
              </w:rPr>
              <w:t>Term</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jc w:val="center"/>
              <w:ind w:right="33"/>
              <w:spacing w:after="0" w:line="110" w:lineRule="exact"/>
              <w:rPr>
                <w:sz w:val="20"/>
                <w:szCs w:val="20"/>
                <w:color w:val="auto"/>
              </w:rPr>
            </w:pPr>
            <w:r>
              <w:rPr>
                <w:rFonts w:ascii="Times New Roman" w:cs="Times New Roman" w:eastAsia="Times New Roman" w:hAnsi="Times New Roman"/>
                <w:sz w:val="10"/>
                <w:szCs w:val="10"/>
                <w:b w:val="1"/>
                <w:bCs w:val="1"/>
                <w:color w:val="auto"/>
                <w:w w:val="87"/>
              </w:rPr>
              <w:t>Value</w:t>
            </w: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2"/>
                <w:szCs w:val="12"/>
                <w:color w:val="auto"/>
              </w:rPr>
            </w:pPr>
          </w:p>
        </w:tc>
        <w:tc>
          <w:tcPr>
            <w:tcW w:w="5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9"/>
                <w:szCs w:val="9"/>
                <w:b w:val="1"/>
                <w:bCs w:val="1"/>
                <w:color w:val="auto"/>
              </w:rPr>
              <w:t xml:space="preserve">Options  </w:t>
            </w:r>
            <w:r>
              <w:rPr>
                <w:rFonts w:ascii="Times New Roman" w:cs="Times New Roman" w:eastAsia="Times New Roman" w:hAnsi="Times New Roman"/>
                <w:sz w:val="16"/>
                <w:szCs w:val="16"/>
                <w:b w:val="1"/>
                <w:bCs w:val="1"/>
                <w:color w:val="auto"/>
                <w:vertAlign w:val="subscript"/>
              </w:rPr>
              <w:t>​​</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(in years)</w:t>
            </w:r>
          </w:p>
        </w:tc>
        <w:tc>
          <w:tcPr>
            <w:tcW w:w="1520" w:type="dxa"/>
            <w:vAlign w:val="bottom"/>
            <w:gridSpan w:val="6"/>
          </w:tcPr>
          <w:p>
            <w:pPr>
              <w:jc w:val="center"/>
              <w:ind w:right="739"/>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(in thousands)</w:t>
            </w:r>
            <w:r>
              <w:rPr>
                <w:rFonts w:ascii="Times New Roman" w:cs="Times New Roman" w:eastAsia="Times New Roman" w:hAnsi="Times New Roman"/>
                <w:sz w:val="16"/>
                <w:szCs w:val="16"/>
                <w:b w:val="1"/>
                <w:bCs w:val="1"/>
                <w:color w:val="auto"/>
                <w:vertAlign w:val="subscript"/>
              </w:rPr>
              <w:t>​</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gridSpan w:val="4"/>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6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as of December 31, 2023</w:t>
            </w:r>
          </w:p>
        </w:tc>
        <w:tc>
          <w:tcPr>
            <w:tcW w:w="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​​​5,096,086​​​</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9.68</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w w:val="94"/>
              </w:rPr>
              <w:t>​</w:t>
            </w:r>
            <w:r>
              <w:rPr>
                <w:rFonts w:ascii="Times New Roman" w:cs="Times New Roman" w:eastAsia="Times New Roman" w:hAnsi="Times New Roman"/>
                <w:sz w:val="12"/>
                <w:szCs w:val="12"/>
                <w:color w:val="auto"/>
                <w:w w:val="94"/>
              </w:rPr>
              <w:t>8.50</w:t>
            </w:r>
          </w:p>
        </w:tc>
        <w:tc>
          <w:tcPr>
            <w:tcW w:w="14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 ​$15,033</w:t>
            </w:r>
          </w:p>
        </w:tc>
        <w:tc>
          <w:tcPr>
            <w:tcW w:w="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Options granted</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3"/>
              <w:spacing w:after="0"/>
              <w:rPr>
                <w:sz w:val="20"/>
                <w:szCs w:val="20"/>
                <w:color w:val="auto"/>
              </w:rPr>
            </w:pPr>
            <w:r>
              <w:rPr>
                <w:rFonts w:ascii="Times New Roman" w:cs="Times New Roman" w:eastAsia="Times New Roman" w:hAnsi="Times New Roman"/>
                <w:sz w:val="12"/>
                <w:szCs w:val="12"/>
                <w:color w:val="auto"/>
              </w:rPr>
              <w:t>520,168​​​</w:t>
            </w:r>
          </w:p>
        </w:tc>
        <w:tc>
          <w:tcPr>
            <w:tcW w:w="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8.84</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exercised</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(3,186​​​)</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9.26</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Borders>
              <w:right w:val="single" w:sz="8" w:color="CCEEFF"/>
            </w:tcBorders>
            <w:shd w:val="clear" w:color="auto" w:fill="CCEEFF"/>
          </w:tcPr>
          <w:p>
            <w:pPr>
              <w:spacing w:after="0"/>
              <w:rPr>
                <w:sz w:val="15"/>
                <w:szCs w:val="15"/>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7"/>
        </w:trPr>
        <w:tc>
          <w:tcPr>
            <w:tcW w:w="860" w:type="dxa"/>
            <w:vAlign w:val="bottom"/>
          </w:tcPr>
          <w:p>
            <w:pPr>
              <w:spacing w:after="0"/>
              <w:rPr>
                <w:sz w:val="11"/>
                <w:szCs w:val="11"/>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Options forfeited or expired</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(47,525)</w:t>
            </w:r>
          </w:p>
        </w:tc>
        <w:tc>
          <w:tcPr>
            <w:tcW w:w="120" w:type="dxa"/>
            <w:vAlign w:val="bottom"/>
          </w:tcPr>
          <w:p>
            <w:pPr>
              <w:spacing w:after="0"/>
              <w:rPr>
                <w:sz w:val="11"/>
                <w:szCs w:val="11"/>
                <w:color w:val="auto"/>
              </w:rPr>
            </w:pPr>
          </w:p>
        </w:tc>
        <w:tc>
          <w:tcPr>
            <w:tcW w:w="540" w:type="dxa"/>
            <w:vAlign w:val="bottom"/>
            <w:gridSpan w:val="2"/>
          </w:tcPr>
          <w:p>
            <w:pPr>
              <w:jc w:val="right"/>
              <w:ind w:right="59"/>
              <w:spacing w:after="0"/>
              <w:rPr>
                <w:sz w:val="20"/>
                <w:szCs w:val="20"/>
                <w:color w:val="auto"/>
              </w:rPr>
            </w:pPr>
            <w:r>
              <w:rPr>
                <w:rFonts w:ascii="Times New Roman" w:cs="Times New Roman" w:eastAsia="Times New Roman" w:hAnsi="Times New Roman"/>
                <w:sz w:val="12"/>
                <w:szCs w:val="12"/>
                <w:color w:val="auto"/>
              </w:rPr>
              <w:t>$11.62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vMerge w:val="restart"/>
          </w:tcPr>
          <w:p>
            <w:pPr>
              <w:jc w:val="right"/>
              <w:ind w:right="273"/>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46"/>
        </w:trPr>
        <w:tc>
          <w:tcPr>
            <w:tcW w:w="8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40" w:type="dxa"/>
            <w:vAlign w:val="bottom"/>
            <w:gridSpan w:val="2"/>
          </w:tcPr>
          <w:p>
            <w:pPr>
              <w:ind w:left="20"/>
              <w:spacing w:after="0" w:line="46" w:lineRule="exact"/>
              <w:rPr>
                <w:sz w:val="20"/>
                <w:szCs w:val="20"/>
                <w:color w:val="auto"/>
              </w:rPr>
            </w:pPr>
            <w:r>
              <w:rPr>
                <w:rFonts w:ascii="Times New Roman" w:cs="Times New Roman" w:eastAsia="Times New Roman" w:hAnsi="Times New Roman"/>
                <w:sz w:val="5"/>
                <w:szCs w:val="5"/>
                <w:color w:val="auto"/>
              </w:rPr>
              <w:t>​​​</w:t>
            </w:r>
          </w:p>
        </w:tc>
        <w:tc>
          <w:tcPr>
            <w:tcW w:w="440" w:type="dxa"/>
            <w:vAlign w:val="bottom"/>
          </w:tcPr>
          <w:p>
            <w:pPr>
              <w:spacing w:after="0"/>
              <w:rPr>
                <w:sz w:val="3"/>
                <w:szCs w:val="3"/>
                <w:color w:val="auto"/>
              </w:rPr>
            </w:pPr>
          </w:p>
        </w:tc>
        <w:tc>
          <w:tcPr>
            <w:tcW w:w="120" w:type="dxa"/>
            <w:vAlign w:val="bottom"/>
          </w:tcPr>
          <w:p>
            <w:pPr>
              <w:jc w:val="right"/>
              <w:ind w:right="3"/>
              <w:spacing w:after="0" w:line="46" w:lineRule="exact"/>
              <w:rPr>
                <w:sz w:val="20"/>
                <w:szCs w:val="20"/>
                <w:color w:val="auto"/>
              </w:rPr>
            </w:pPr>
            <w:r>
              <w:rPr>
                <w:rFonts w:ascii="Times New Roman" w:cs="Times New Roman" w:eastAsia="Times New Roman" w:hAnsi="Times New Roman"/>
                <w:sz w:val="5"/>
                <w:szCs w:val="5"/>
                <w:color w:val="auto"/>
              </w:rPr>
              <w:t>​​​</w:t>
            </w:r>
          </w:p>
        </w:tc>
        <w:tc>
          <w:tcPr>
            <w:tcW w:w="180" w:type="dxa"/>
            <w:vAlign w:val="bottom"/>
          </w:tcPr>
          <w:p>
            <w:pPr>
              <w:ind w:left="80"/>
              <w:spacing w:after="0" w:line="46" w:lineRule="exact"/>
              <w:rPr>
                <w:sz w:val="20"/>
                <w:szCs w:val="20"/>
                <w:color w:val="auto"/>
              </w:rPr>
            </w:pPr>
            <w:r>
              <w:rPr>
                <w:rFonts w:ascii="Times New Roman" w:cs="Times New Roman" w:eastAsia="Times New Roman" w:hAnsi="Times New Roman"/>
                <w:sz w:val="5"/>
                <w:szCs w:val="5"/>
                <w:color w:val="auto"/>
              </w:rPr>
              <w:t>​</w:t>
            </w:r>
          </w:p>
        </w:tc>
        <w:tc>
          <w:tcPr>
            <w:tcW w:w="3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6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and expected to vest as of March 31, 2024</w:t>
            </w:r>
          </w:p>
        </w:tc>
        <w:tc>
          <w:tcPr>
            <w:tcW w:w="700" w:type="dxa"/>
            <w:vAlign w:val="bottom"/>
            <w:gridSpan w:val="4"/>
            <w:shd w:val="clear" w:color="auto" w:fill="CCEEFF"/>
          </w:tcPr>
          <w:p>
            <w:pPr>
              <w:ind w:left="20"/>
              <w:spacing w:after="0" w:line="173"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​5,565,543</w:t>
            </w:r>
            <w:r>
              <w:rPr>
                <w:rFonts w:ascii="Times New Roman" w:cs="Times New Roman" w:eastAsia="Times New Roman" w:hAnsi="Times New Roman"/>
                <w:sz w:val="19"/>
                <w:szCs w:val="19"/>
                <w:color w:val="auto"/>
                <w:vertAlign w:val="subscript"/>
              </w:rPr>
              <w:t>​​​</w:t>
            </w:r>
          </w:p>
        </w:tc>
        <w:tc>
          <w:tcPr>
            <w:tcW w:w="180" w:type="dxa"/>
            <w:vAlign w:val="bottom"/>
            <w:shd w:val="clear" w:color="auto" w:fill="CCEEFF"/>
          </w:tcPr>
          <w:p>
            <w:pPr>
              <w:ind w:left="80"/>
              <w:spacing w:after="0" w:line="173"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36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8.43</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8.40</w:t>
            </w:r>
          </w:p>
        </w:tc>
        <w:tc>
          <w:tcPr>
            <w:tcW w:w="1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ind w:left="40"/>
              <w:spacing w:after="0" w:line="173"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9,535</w:t>
            </w:r>
          </w:p>
        </w:tc>
        <w:tc>
          <w:tcPr>
            <w:tcW w:w="80" w:type="dxa"/>
            <w:vAlign w:val="bottom"/>
            <w:tcBorders>
              <w:right w:val="single" w:sz="8" w:color="CCEEFF"/>
            </w:tcBorders>
            <w:shd w:val="clear" w:color="auto" w:fill="CCEEFF"/>
          </w:tcPr>
          <w:p>
            <w:pPr>
              <w:spacing w:after="0"/>
              <w:rPr>
                <w:sz w:val="14"/>
                <w:szCs w:val="1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6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Exercisable as of March 31, 2024</w:t>
            </w:r>
          </w:p>
        </w:tc>
        <w:tc>
          <w:tcPr>
            <w:tcW w:w="700" w:type="dxa"/>
            <w:vAlign w:val="bottom"/>
            <w:gridSpan w:val="4"/>
          </w:tcPr>
          <w:p>
            <w:pPr>
              <w:ind w:left="20"/>
              <w:spacing w:after="0" w:line="154"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10"/>
                <w:szCs w:val="10"/>
                <w:color w:val="auto"/>
              </w:rPr>
              <w:t>​5,565,543</w:t>
            </w:r>
            <w:r>
              <w:rPr>
                <w:rFonts w:ascii="Times New Roman" w:cs="Times New Roman" w:eastAsia="Times New Roman" w:hAnsi="Times New Roman"/>
                <w:sz w:val="17"/>
                <w:szCs w:val="17"/>
                <w:color w:val="auto"/>
                <w:vertAlign w:val="subscript"/>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8.43</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w w:val="94"/>
              </w:rPr>
              <w:t>​</w:t>
            </w:r>
            <w:r>
              <w:rPr>
                <w:rFonts w:ascii="Times New Roman" w:cs="Times New Roman" w:eastAsia="Times New Roman" w:hAnsi="Times New Roman"/>
                <w:sz w:val="12"/>
                <w:szCs w:val="12"/>
                <w:color w:val="auto"/>
                <w:w w:val="94"/>
              </w:rPr>
              <w:t>8.40</w:t>
            </w:r>
          </w:p>
        </w:tc>
        <w:tc>
          <w:tcPr>
            <w:tcW w:w="140" w:type="dxa"/>
            <w:vAlign w:val="bottom"/>
          </w:tcPr>
          <w:p>
            <w:pPr>
              <w:spacing w:after="0"/>
              <w:rPr>
                <w:sz w:val="14"/>
                <w:szCs w:val="1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9,535</w:t>
            </w:r>
          </w:p>
        </w:tc>
        <w:tc>
          <w:tcPr>
            <w:tcW w:w="8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80" w:type="dxa"/>
            <w:vAlign w:val="bottom"/>
            <w:vMerge w:val="restart"/>
          </w:tcPr>
          <w:p>
            <w:pPr>
              <w:ind w:left="2640"/>
              <w:spacing w:after="0"/>
              <w:rPr>
                <w:sz w:val="20"/>
                <w:szCs w:val="20"/>
                <w:color w:val="auto"/>
              </w:rPr>
            </w:pPr>
            <w:r>
              <w:rPr>
                <w:rFonts w:ascii="Times New Roman" w:cs="Times New Roman" w:eastAsia="Times New Roman" w:hAnsi="Times New Roman"/>
                <w:sz w:val="12"/>
                <w:szCs w:val="12"/>
                <w:color w:val="auto"/>
              </w:rPr>
              <w:t>F-54</w:t>
            </w: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8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60" w:type="dxa"/>
            <w:vAlign w:val="bottom"/>
            <w:tcBorders>
              <w:bottom w:val="single" w:sz="8" w:color="9A9A9A"/>
            </w:tcBorders>
          </w:tcPr>
          <w:p>
            <w:pPr>
              <w:spacing w:after="0"/>
              <w:rPr>
                <w:sz w:val="23"/>
                <w:szCs w:val="23"/>
                <w:color w:val="auto"/>
              </w:rPr>
            </w:pPr>
          </w:p>
        </w:tc>
        <w:tc>
          <w:tcPr>
            <w:tcW w:w="30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-720725</wp:posOffset>
            </wp:positionV>
            <wp:extent cx="3535680" cy="57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535680" cy="571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-1174115</wp:posOffset>
            </wp:positionV>
            <wp:extent cx="46355" cy="57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46355" cy="571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-1174115</wp:posOffset>
            </wp:positionV>
            <wp:extent cx="46355" cy="571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635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-1174115</wp:posOffset>
            </wp:positionV>
            <wp:extent cx="2366645" cy="57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366645" cy="571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-23495</wp:posOffset>
            </wp:positionV>
            <wp:extent cx="31115" cy="3683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538480</wp:posOffset>
            </wp:positionH>
            <wp:positionV relativeFrom="paragraph">
              <wp:posOffset>-23495</wp:posOffset>
            </wp:positionV>
            <wp:extent cx="31115" cy="3683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61" w:name="page262"/>
    <w:bookmarkEnd w:id="261"/>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 (Continued)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10. Stock Compensation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Stock Option Activity (Continued)</w:t>
      </w:r>
    </w:p>
    <w:p>
      <w:pPr>
        <w:spacing w:after="0" w:line="157"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No options were exercised during the three months ended March 31, 2023. The weighted-average grant date fair value of options granted was $8.57 and $8.43 for the three months ended March 31, 2023, and 2024, respectively. The total fair value of shares vested was $2.8 million and $4.5 million for the three months ended March 31, 2023, and 2024, respectively.</w:t>
      </w:r>
    </w:p>
    <w:p>
      <w:pPr>
        <w:spacing w:after="0" w:line="1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Stock Option Valuation</w:t>
      </w:r>
    </w:p>
    <w:p>
      <w:pPr>
        <w:spacing w:after="0" w:line="102"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The fair value of stock options granted for the three months ended March 31, 2023 and 2024 was estimated using the Black-Scholes option pricing model with the following assumptions:</w:t>
      </w:r>
    </w:p>
    <w:p>
      <w:pPr>
        <w:spacing w:after="0" w:line="55" w:lineRule="exact"/>
        <w:rPr>
          <w:sz w:val="20"/>
          <w:szCs w:val="20"/>
          <w:color w:val="auto"/>
        </w:rPr>
      </w:pPr>
    </w:p>
    <w:tbl>
      <w:tblPr>
        <w:tblLayout w:type="fixed"/>
        <w:tblInd w:w="1720" w:type="dxa"/>
        <w:tblCellMar>
          <w:top w:w="0" w:type="dxa"/>
          <w:left w:w="0" w:type="dxa"/>
          <w:bottom w:w="0" w:type="dxa"/>
          <w:right w:w="0" w:type="dxa"/>
        </w:tblCellMar>
      </w:tblPr>
      <w:tr>
        <w:trPr>
          <w:trHeight w:val="154"/>
        </w:trPr>
        <w:tc>
          <w:tcPr>
            <w:tcW w:w="2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tcPr>
          <w:p>
            <w:pPr>
              <w:ind w:left="960"/>
              <w:spacing w:after="0"/>
              <w:rPr>
                <w:sz w:val="20"/>
                <w:szCs w:val="20"/>
                <w:color w:val="auto"/>
              </w:rPr>
            </w:pPr>
            <w:r>
              <w:rPr>
                <w:rFonts w:ascii="Times New Roman" w:cs="Times New Roman" w:eastAsia="Times New Roman" w:hAnsi="Times New Roman"/>
                <w:sz w:val="10"/>
                <w:szCs w:val="10"/>
                <w:b w:val="1"/>
                <w:bCs w:val="1"/>
                <w:color w:val="auto"/>
              </w:rPr>
              <w:t>​ ​</w:t>
            </w:r>
          </w:p>
        </w:tc>
        <w:tc>
          <w:tcPr>
            <w:tcW w:w="60" w:type="dxa"/>
            <w:vAlign w:val="bottom"/>
          </w:tcPr>
          <w:p>
            <w:pPr>
              <w:spacing w:after="0"/>
              <w:rPr>
                <w:sz w:val="13"/>
                <w:szCs w:val="13"/>
                <w:color w:val="auto"/>
              </w:rPr>
            </w:pPr>
          </w:p>
        </w:tc>
        <w:tc>
          <w:tcPr>
            <w:tcW w:w="220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54"/>
        </w:trPr>
        <w:tc>
          <w:tcPr>
            <w:tcW w:w="2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960" w:type="dxa"/>
            <w:vAlign w:val="bottom"/>
            <w:tcBorders>
              <w:bottom w:val="single" w:sz="8" w:color="auto"/>
            </w:tcBorders>
          </w:tcPr>
          <w:p>
            <w:pPr>
              <w:jc w:val="center"/>
              <w:ind w:left="4"/>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term (in years)</w:t>
            </w:r>
          </w:p>
        </w:tc>
        <w:tc>
          <w:tcPr>
            <w:tcW w:w="1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​6.03 – 6.07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1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​6.08</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2240" w:type="dxa"/>
            <w:vAlign w:val="bottom"/>
          </w:tcPr>
          <w:p>
            <w:pPr>
              <w:spacing w:after="0"/>
              <w:rPr>
                <w:sz w:val="20"/>
                <w:szCs w:val="20"/>
                <w:color w:val="auto"/>
              </w:rPr>
            </w:pPr>
            <w:r>
              <w:rPr>
                <w:rFonts w:ascii="Times New Roman" w:cs="Times New Roman" w:eastAsia="Times New Roman" w:hAnsi="Times New Roman"/>
                <w:sz w:val="12"/>
                <w:szCs w:val="12"/>
                <w:color w:val="auto"/>
              </w:rPr>
              <w:t>Volatility</w:t>
            </w:r>
          </w:p>
        </w:tc>
        <w:tc>
          <w:tcPr>
            <w:tcW w:w="106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w:t>
            </w:r>
          </w:p>
        </w:tc>
        <w:tc>
          <w:tcPr>
            <w:tcW w:w="2300" w:type="dxa"/>
            <w:vAlign w:val="bottom"/>
            <w:gridSpan w:val="6"/>
          </w:tcPr>
          <w:p>
            <w:pPr>
              <w:jc w:val="right"/>
              <w:spacing w:after="0"/>
              <w:rPr>
                <w:sz w:val="20"/>
                <w:szCs w:val="20"/>
                <w:color w:val="auto"/>
              </w:rPr>
            </w:pPr>
            <w:r>
              <w:rPr>
                <w:rFonts w:ascii="Times New Roman" w:cs="Times New Roman" w:eastAsia="Times New Roman" w:hAnsi="Times New Roman"/>
                <w:sz w:val="12"/>
                <w:szCs w:val="12"/>
                <w:color w:val="auto"/>
              </w:rPr>
              <w:t>​102.08% – 102.54% ​ ​104.61% – 104.63%​</w:t>
            </w:r>
          </w:p>
        </w:tc>
      </w:tr>
      <w:tr>
        <w:trPr>
          <w:trHeight w:val="17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1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2"/>
                <w:szCs w:val="12"/>
                <w:color w:val="auto"/>
              </w:rPr>
              <w:t>3.66% – 3.89%</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4.20%</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2"/>
        </w:trPr>
        <w:tc>
          <w:tcPr>
            <w:tcW w:w="2240" w:type="dxa"/>
            <w:vAlign w:val="bottom"/>
          </w:tcPr>
          <w:p>
            <w:pPr>
              <w:spacing w:after="0"/>
              <w:rPr>
                <w:sz w:val="20"/>
                <w:szCs w:val="20"/>
                <w:color w:val="auto"/>
              </w:rPr>
            </w:pPr>
            <w:r>
              <w:rPr>
                <w:rFonts w:ascii="Times New Roman" w:cs="Times New Roman" w:eastAsia="Times New Roman" w:hAnsi="Times New Roman"/>
                <w:sz w:val="12"/>
                <w:szCs w:val="12"/>
                <w:color w:val="auto"/>
              </w:rPr>
              <w:t>Dividend yield</w:t>
            </w:r>
          </w:p>
        </w:tc>
        <w:tc>
          <w:tcPr>
            <w:tcW w:w="106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center"/>
              <w:ind w:left="4"/>
              <w:spacing w:after="0"/>
              <w:rPr>
                <w:sz w:val="20"/>
                <w:szCs w:val="20"/>
                <w:color w:val="auto"/>
              </w:rPr>
            </w:pPr>
            <w:r>
              <w:rPr>
                <w:rFonts w:ascii="Times New Roman" w:cs="Times New Roman" w:eastAsia="Times New Roman" w:hAnsi="Times New Roman"/>
                <w:sz w:val="12"/>
                <w:szCs w:val="12"/>
                <w:color w:val="auto"/>
              </w:rPr>
              <w:t>0%</w:t>
            </w:r>
          </w:p>
        </w:tc>
        <w:tc>
          <w:tcPr>
            <w:tcW w:w="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-458470</wp:posOffset>
            </wp:positionV>
            <wp:extent cx="2878455" cy="57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878455" cy="5715"/>
                    </a:xfrm>
                    <a:prstGeom prst="rect">
                      <a:avLst/>
                    </a:prstGeom>
                    <a:noFill/>
                  </pic:spPr>
                </pic:pic>
              </a:graphicData>
            </a:graphic>
          </wp:anchor>
        </w:drawing>
      </w:r>
    </w:p>
    <w:p>
      <w:pPr>
        <w:spacing w:after="0" w:line="9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Expected Term</w:t>
      </w:r>
    </w:p>
    <w:p>
      <w:pPr>
        <w:spacing w:after="0" w:line="111"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The expected term represents the weighted-average period the stock options are expected to remain outstanding and is based on the options’ vesting terms and contractual terms, as the Company did not have sufficient historical information to develop reasonable expectations about future exercise patterns and post-vesting employment termination behavior.</w:t>
      </w:r>
    </w:p>
    <w:p>
      <w:pPr>
        <w:spacing w:after="0" w:line="11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Expected Volatility</w:t>
      </w:r>
    </w:p>
    <w:p>
      <w:pPr>
        <w:spacing w:after="0" w:line="102"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The expected stock price volatility assumption was determined by examining the historical volatilities for industry peers, as the 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1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Risk-Free Interest Rate</w:t>
      </w:r>
    </w:p>
    <w:p>
      <w:pPr>
        <w:spacing w:after="0" w:line="102"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The risk-free interest rate assumption is based on the U.S. Treasury instruments whose term was consistent with the expected term of the Company’s stock options.</w:t>
      </w:r>
    </w:p>
    <w:p>
      <w:pPr>
        <w:spacing w:after="0" w:line="9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Dividends</w:t>
      </w:r>
    </w:p>
    <w:p>
      <w:pPr>
        <w:spacing w:after="0" w:line="111"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The Company has not paid any cash dividends on common stock since inception and does not anticipate paying any dividends in the foreseeable future. Consequently, an expected dividend yield of zero was used.</w:t>
      </w:r>
    </w:p>
    <w:p>
      <w:pPr>
        <w:spacing w:after="0" w:line="10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i w:val="1"/>
          <w:iCs w:val="1"/>
          <w:color w:val="auto"/>
        </w:rPr>
        <w:t>Common Stock Fair Value</w:t>
      </w:r>
    </w:p>
    <w:p>
      <w:pPr>
        <w:spacing w:after="0" w:line="111"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The fair market value of the Company’s common stock is determined by the board of directors with assistance from management and external valuation experts. The approach to estimating the fair market value of common stock is consistent with the methods outlined in the Practice Aid.</w:t>
      </w:r>
    </w:p>
    <w:p>
      <w:pPr>
        <w:spacing w:after="0" w:line="67"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Prior to May 2023, the Company utilized an Option Pricing Method (“OPM”) based analysis, primarily the OPM backsolve methodology, to determine the estimated fair value of the common stock. Within the OPM</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175260</wp:posOffset>
            </wp:positionV>
            <wp:extent cx="4643120" cy="3683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62" w:name="page263"/>
    <w:bookmarkEnd w:id="262"/>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 (Continued)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10. Stock Compensation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Stock Option Valuation (Continued)</w:t>
      </w:r>
    </w:p>
    <w:p>
      <w:pPr>
        <w:spacing w:after="0" w:line="157" w:lineRule="exact"/>
        <w:rPr>
          <w:sz w:val="20"/>
          <w:szCs w:val="20"/>
          <w:color w:val="auto"/>
        </w:rPr>
      </w:pPr>
    </w:p>
    <w:p>
      <w:pPr>
        <w:jc w:val="both"/>
        <w:ind w:left="1720" w:right="1739"/>
        <w:spacing w:after="0" w:line="268" w:lineRule="auto"/>
        <w:rPr>
          <w:sz w:val="20"/>
          <w:szCs w:val="20"/>
          <w:color w:val="auto"/>
        </w:rPr>
      </w:pPr>
      <w:r>
        <w:rPr>
          <w:rFonts w:ascii="Times New Roman" w:cs="Times New Roman" w:eastAsia="Times New Roman" w:hAnsi="Times New Roman"/>
          <w:sz w:val="12"/>
          <w:szCs w:val="12"/>
          <w:color w:val="auto"/>
        </w:rPr>
        <w:t>framework, the backsolve method, for inferring the total equity value implied by a recent financing transaction or by an estimated equity value of the Company’s pipeline product candidates, involves the construction of an allocation model that takes into account the Company’s capital structure and the rights, preferences and privileges of each class of stock, then assumes reasonable inputs for the other OPM variables (expected time to liquidity, volatility, and risk-free rate). The total equity value is then iterated in the model until the model output value for the equity class sold in a recent financing round equals the price paid in that round. The OPM is generally utilized when specific future liquidity events are difficult to forecast (i.e., the enterprise has many choices and options available), and the enterprise’s value depends on how well it follows an uncharted path through the various possible opportunities and challenges. In determining the estimated fair value of the common stock, the board of directors also considered the fact that the stockholders could not freely trade the common stock in the public markets. Accordingly, the Company applied discounts to reflect the lack of marketability of its common stock based on the weighted-average expected time to liquidity. The estimated fair value of the common stock at each grant date reflected a non-marketability discount partially based on the anticipated likelihood and timing of a future liquidity event.</w:t>
      </w:r>
    </w:p>
    <w:p>
      <w:pPr>
        <w:spacing w:after="0" w:line="233" w:lineRule="exact"/>
        <w:rPr>
          <w:sz w:val="20"/>
          <w:szCs w:val="20"/>
          <w:color w:val="auto"/>
        </w:rPr>
      </w:pPr>
    </w:p>
    <w:p>
      <w:pPr>
        <w:jc w:val="both"/>
        <w:ind w:left="1720" w:right="1739"/>
        <w:spacing w:after="0" w:line="267" w:lineRule="auto"/>
        <w:rPr>
          <w:sz w:val="20"/>
          <w:szCs w:val="20"/>
          <w:color w:val="auto"/>
        </w:rPr>
      </w:pPr>
      <w:r>
        <w:rPr>
          <w:rFonts w:ascii="Times New Roman" w:cs="Times New Roman" w:eastAsia="Times New Roman" w:hAnsi="Times New Roman"/>
          <w:sz w:val="12"/>
          <w:szCs w:val="12"/>
          <w:color w:val="auto"/>
        </w:rPr>
        <w:t>For valuations performed on and after May 2023, the Company utilized a hybrid method that combines the Probability-Weighted Expected Return Method (“PWERM”), an accepted valuation method described in the Practice Aid, and the OPM. The Company determined this was the most appropriate method for determining the fair value of its common stock based on the stage of development and other relevant factors. The PWERM is a scenario-based analysis that estimates the value per share of common stock based on the probability-weighted present value of expected future equity values for the common stock, under various possible future liquidity event scenarios, considering the rights and preferences of each class of shares, discounted for a lack of marketability. Under the hybrid method, an option pricing model was utilized to determine the fair value of the Company’s common stock in certain of the PWERM scenarios (capturing situations where its development path and future liquidity events were difficult to forecast), potential exit events were explicitly modeled in the other PWERM scenarios. A discount for lack of marketability was applied to the value derived under each scenario to account for a lack of access to an active public market to estimate the common stock fair value. The assumptions underlying these valuations represented management’s best estimates, which involved inherent uncertainties and the application of management’s judgment. As a result, if the Company had used significantly different assumptions or estimates, the fair value of the common stock and the stock-based compensation expense could have been materially different.</w:t>
      </w:r>
    </w:p>
    <w:p>
      <w:pPr>
        <w:spacing w:after="0" w:line="81" w:lineRule="exact"/>
        <w:rPr>
          <w:sz w:val="20"/>
          <w:szCs w:val="20"/>
          <w:color w:val="auto"/>
        </w:rPr>
      </w:pPr>
    </w:p>
    <w:p>
      <w:pPr>
        <w:jc w:val="both"/>
        <w:ind w:left="1720" w:right="1739"/>
        <w:spacing w:after="0" w:line="278" w:lineRule="auto"/>
        <w:rPr>
          <w:sz w:val="20"/>
          <w:szCs w:val="20"/>
          <w:color w:val="auto"/>
        </w:rPr>
      </w:pPr>
      <w:r>
        <w:rPr>
          <w:rFonts w:ascii="Times New Roman" w:cs="Times New Roman" w:eastAsia="Times New Roman" w:hAnsi="Times New Roman"/>
          <w:sz w:val="12"/>
          <w:szCs w:val="12"/>
          <w:color w:val="auto"/>
        </w:rPr>
        <w:t>The Company also considers the amount of time between the independent third-party valuation dates and the grant dates and performs an interpolation of the fair value between the two valuation dates to estimate common stock fair value at each grant date. This determination includes an evaluation of whether the subsequent valuation indicated that any significant change in valuation had occurred between the previous valuation and the grant date.</w:t>
      </w:r>
    </w:p>
    <w:p>
      <w:pPr>
        <w:spacing w:after="0" w:line="26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Early Exercise of Employee Options</w:t>
      </w:r>
    </w:p>
    <w:p>
      <w:pPr>
        <w:spacing w:after="0" w:line="111" w:lineRule="exact"/>
        <w:rPr>
          <w:sz w:val="20"/>
          <w:szCs w:val="20"/>
          <w:color w:val="auto"/>
        </w:rPr>
      </w:pPr>
    </w:p>
    <w:p>
      <w:pPr>
        <w:jc w:val="both"/>
        <w:ind w:left="1720" w:right="1739"/>
        <w:spacing w:after="0" w:line="277" w:lineRule="auto"/>
        <w:rPr>
          <w:sz w:val="20"/>
          <w:szCs w:val="20"/>
          <w:color w:val="auto"/>
        </w:rPr>
      </w:pPr>
      <w:r>
        <w:rPr>
          <w:rFonts w:ascii="Times New Roman" w:cs="Times New Roman" w:eastAsia="Times New Roman" w:hAnsi="Times New Roman"/>
          <w:sz w:val="12"/>
          <w:szCs w:val="12"/>
          <w:color w:val="auto"/>
        </w:rPr>
        <w:t>Proceeds from the early exercise of stock options are recorded as share repurchase liability, and as shares vest are recognized to additional paid-in capital in the condensed consolidated balance sheets. As of December 31, 2023 and March 31, 2024, there was $1.8 million and $1.3 million share repurchase liability related to the unvested shares, respectively.</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63" w:name="page264"/>
    <w:bookmarkEnd w:id="263"/>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 (Continued)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10. Stock Compensation (Continued)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Early Exercise of Employee Options (Continued)</w:t>
      </w:r>
    </w:p>
    <w:p>
      <w:pPr>
        <w:spacing w:after="0" w:line="157"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The following table summarizes the activity for the Company’s early exercisable shares for the three months ended March 31, 2024:</w:t>
      </w:r>
    </w:p>
    <w:p>
      <w:pPr>
        <w:spacing w:after="0" w:line="78"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0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Weighted-</w:t>
            </w:r>
          </w:p>
        </w:tc>
        <w:tc>
          <w:tcPr>
            <w:tcW w:w="40" w:type="dxa"/>
            <w:vAlign w:val="bottom"/>
          </w:tcPr>
          <w:p>
            <w:pPr>
              <w:spacing w:after="0"/>
              <w:rPr>
                <w:sz w:val="10"/>
                <w:szCs w:val="10"/>
                <w:color w:val="auto"/>
              </w:rPr>
            </w:pPr>
          </w:p>
        </w:tc>
      </w:tr>
      <w:tr>
        <w:trPr>
          <w:trHeight w:val="110"/>
        </w:trPr>
        <w:tc>
          <w:tcPr>
            <w:tcW w:w="30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40" w:type="dxa"/>
            <w:vAlign w:val="bottom"/>
          </w:tcPr>
          <w:p>
            <w:pPr>
              <w:spacing w:after="0"/>
              <w:rPr>
                <w:sz w:val="9"/>
                <w:szCs w:val="9"/>
                <w:color w:val="auto"/>
              </w:rPr>
            </w:pPr>
          </w:p>
        </w:tc>
      </w:tr>
      <w:tr>
        <w:trPr>
          <w:trHeight w:val="110"/>
        </w:trPr>
        <w:tc>
          <w:tcPr>
            <w:tcW w:w="30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0" w:type="dxa"/>
            <w:vAlign w:val="bottom"/>
            <w:gridSpan w:val="2"/>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58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2"/>
              </w:rPr>
              <w:t>Exercise Price</w:t>
            </w:r>
          </w:p>
        </w:tc>
        <w:tc>
          <w:tcPr>
            <w:tcW w:w="40" w:type="dxa"/>
            <w:vAlign w:val="bottom"/>
          </w:tcPr>
          <w:p>
            <w:pPr>
              <w:spacing w:after="0"/>
              <w:rPr>
                <w:sz w:val="9"/>
                <w:szCs w:val="9"/>
                <w:color w:val="auto"/>
              </w:rPr>
            </w:pPr>
          </w:p>
        </w:tc>
      </w:tr>
      <w:tr>
        <w:trPr>
          <w:trHeight w:val="136"/>
        </w:trPr>
        <w:tc>
          <w:tcPr>
            <w:tcW w:w="30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960" w:type="dxa"/>
            <w:vAlign w:val="bottom"/>
            <w:gridSpan w:val="3"/>
          </w:tcPr>
          <w:p>
            <w:pPr>
              <w:ind w:left="1240"/>
              <w:spacing w:after="0"/>
              <w:rPr>
                <w:sz w:val="20"/>
                <w:szCs w:val="20"/>
                <w:color w:val="auto"/>
              </w:rPr>
            </w:pPr>
            <w:r>
              <w:rPr>
                <w:rFonts w:ascii="Times New Roman" w:cs="Times New Roman" w:eastAsia="Times New Roman" w:hAnsi="Times New Roman"/>
                <w:sz w:val="10"/>
                <w:szCs w:val="10"/>
                <w:b w:val="1"/>
                <w:bCs w:val="1"/>
                <w:color w:val="auto"/>
              </w:rPr>
              <w:t>​ ​  Shares   ​ ​</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Per Share</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3020" w:type="dxa"/>
            <w:vAlign w:val="bottom"/>
            <w:shd w:val="clear" w:color="auto" w:fill="CCEEFF"/>
          </w:tcPr>
          <w:p>
            <w:pPr>
              <w:spacing w:after="0" w:line="20" w:lineRule="exact"/>
              <w:rPr>
                <w:sz w:val="1"/>
                <w:szCs w:val="1"/>
                <w:color w:val="auto"/>
              </w:rPr>
            </w:pPr>
          </w:p>
        </w:tc>
        <w:tc>
          <w:tcPr>
            <w:tcW w:w="136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6"/>
        </w:trPr>
        <w:tc>
          <w:tcPr>
            <w:tcW w:w="30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Unvested as of December 31, 2023</w:t>
            </w:r>
          </w:p>
        </w:tc>
        <w:tc>
          <w:tcPr>
            <w:tcW w:w="1960" w:type="dxa"/>
            <w:vAlign w:val="bottom"/>
            <w:gridSpan w:val="3"/>
            <w:shd w:val="clear" w:color="auto" w:fill="CCEEFF"/>
          </w:tcPr>
          <w:p>
            <w:pPr>
              <w:ind w:left="1240"/>
              <w:spacing w:after="0" w:line="136" w:lineRule="exact"/>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327,100 ​​ ​</w:t>
            </w:r>
          </w:p>
        </w:tc>
        <w:tc>
          <w:tcPr>
            <w:tcW w:w="5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2"/>
                <w:szCs w:val="12"/>
                <w:color w:val="auto"/>
              </w:rPr>
              <w:t>​$5.33</w:t>
            </w:r>
          </w:p>
        </w:tc>
        <w:tc>
          <w:tcPr>
            <w:tcW w:w="4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w:t>
            </w:r>
          </w:p>
        </w:tc>
      </w:tr>
      <w:tr>
        <w:trPr>
          <w:trHeight w:val="165"/>
        </w:trPr>
        <w:tc>
          <w:tcPr>
            <w:tcW w:w="3020" w:type="dxa"/>
            <w:vAlign w:val="bottom"/>
          </w:tcPr>
          <w:p>
            <w:pPr>
              <w:spacing w:after="0"/>
              <w:rPr>
                <w:sz w:val="20"/>
                <w:szCs w:val="20"/>
                <w:color w:val="auto"/>
              </w:rPr>
            </w:pPr>
            <w:r>
              <w:rPr>
                <w:rFonts w:ascii="Times New Roman" w:cs="Times New Roman" w:eastAsia="Times New Roman" w:hAnsi="Times New Roman"/>
                <w:sz w:val="12"/>
                <w:szCs w:val="12"/>
                <w:color w:val="auto"/>
              </w:rPr>
              <w:t>Vested</w:t>
            </w:r>
          </w:p>
        </w:tc>
        <w:tc>
          <w:tcPr>
            <w:tcW w:w="1960" w:type="dxa"/>
            <w:vAlign w:val="bottom"/>
            <w:gridSpan w:val="3"/>
          </w:tcPr>
          <w:p>
            <w:pPr>
              <w:ind w:left="1240"/>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(74,844)​​ ​</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​$6.59</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3020" w:type="dxa"/>
            <w:vAlign w:val="bottom"/>
            <w:shd w:val="clear" w:color="auto" w:fill="CCEEFF"/>
          </w:tcPr>
          <w:p>
            <w:pPr>
              <w:spacing w:after="0" w:line="20" w:lineRule="exact"/>
              <w:rPr>
                <w:sz w:val="1"/>
                <w:szCs w:val="1"/>
                <w:color w:val="auto"/>
              </w:rPr>
            </w:pPr>
          </w:p>
        </w:tc>
        <w:tc>
          <w:tcPr>
            <w:tcW w:w="13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4"/>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Unvested as of March 31, 2024</w:t>
            </w:r>
          </w:p>
        </w:tc>
        <w:tc>
          <w:tcPr>
            <w:tcW w:w="1960" w:type="dxa"/>
            <w:vAlign w:val="bottom"/>
            <w:gridSpan w:val="3"/>
            <w:shd w:val="clear" w:color="auto" w:fill="CCEEFF"/>
          </w:tcPr>
          <w:p>
            <w:pPr>
              <w:ind w:left="1240"/>
              <w:spacing w:after="0" w:line="145" w:lineRule="exact"/>
              <w:rPr>
                <w:sz w:val="20"/>
                <w:szCs w:val="20"/>
                <w:color w:val="auto"/>
              </w:rPr>
            </w:pPr>
            <w:r>
              <w:rPr>
                <w:rFonts w:ascii="Times New Roman" w:cs="Times New Roman" w:eastAsia="Times New Roman" w:hAnsi="Times New Roman"/>
                <w:sz w:val="16"/>
                <w:szCs w:val="16"/>
                <w:color w:val="auto"/>
                <w:vertAlign w:val="subscript"/>
              </w:rPr>
              <w:t>​ ​ ​</w:t>
            </w:r>
            <w:r>
              <w:rPr>
                <w:rFonts w:ascii="Times New Roman" w:cs="Times New Roman" w:eastAsia="Times New Roman" w:hAnsi="Times New Roman"/>
                <w:sz w:val="9"/>
                <w:szCs w:val="9"/>
                <w:color w:val="auto"/>
              </w:rPr>
              <w:t xml:space="preserve">​252,256 </w:t>
            </w:r>
            <w:r>
              <w:rPr>
                <w:rFonts w:ascii="Times New Roman" w:cs="Times New Roman" w:eastAsia="Times New Roman" w:hAnsi="Times New Roman"/>
                <w:sz w:val="16"/>
                <w:szCs w:val="16"/>
                <w:color w:val="auto"/>
                <w:vertAlign w:val="subscript"/>
              </w:rPr>
              <w:t>​​ ​</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​$4.96</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7"/>
        </w:trPr>
        <w:tc>
          <w:tcPr>
            <w:tcW w:w="3020" w:type="dxa"/>
            <w:vAlign w:val="bottom"/>
            <w:shd w:val="clear" w:color="auto" w:fill="CCEEFF"/>
          </w:tcPr>
          <w:p>
            <w:pPr>
              <w:spacing w:after="0"/>
              <w:rPr>
                <w:sz w:val="3"/>
                <w:szCs w:val="3"/>
                <w:color w:val="auto"/>
              </w:rPr>
            </w:pPr>
          </w:p>
        </w:tc>
        <w:tc>
          <w:tcPr>
            <w:tcW w:w="1360" w:type="dxa"/>
            <w:vAlign w:val="bottom"/>
            <w:tcBorders>
              <w:right w:val="single" w:sz="8" w:color="CCEEFF"/>
            </w:tcBorders>
            <w:shd w:val="clear" w:color="auto" w:fill="CCEEFF"/>
          </w:tcPr>
          <w:p>
            <w:pPr>
              <w:spacing w:after="0"/>
              <w:rPr>
                <w:sz w:val="3"/>
                <w:szCs w:val="3"/>
                <w:color w:val="auto"/>
              </w:rPr>
            </w:pPr>
          </w:p>
        </w:tc>
        <w:tc>
          <w:tcPr>
            <w:tcW w:w="440" w:type="dxa"/>
            <w:vAlign w:val="bottom"/>
            <w:tcBorders>
              <w:right w:val="single" w:sz="8" w:color="CCEEFF"/>
            </w:tcBorders>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-133350</wp:posOffset>
            </wp:positionV>
            <wp:extent cx="3535680" cy="57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53568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-336550</wp:posOffset>
            </wp:positionV>
            <wp:extent cx="3157855" cy="571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157855" cy="5715"/>
                    </a:xfrm>
                    <a:prstGeom prst="rect">
                      <a:avLst/>
                    </a:prstGeom>
                    <a:noFill/>
                  </pic:spPr>
                </pic:pic>
              </a:graphicData>
            </a:graphic>
          </wp:anchor>
        </w:drawing>
      </w:r>
    </w:p>
    <w:p>
      <w:pPr>
        <w:spacing w:after="0" w:line="16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 Expense</w:t>
      </w:r>
    </w:p>
    <w:p>
      <w:pPr>
        <w:spacing w:after="0" w:line="111"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The following table summarizes the stock-based compensation expense granted to employees and non-employees for the three months ended March 31, 2023 and 2024 (in thousands):</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48"/>
        </w:trPr>
        <w:tc>
          <w:tcPr>
            <w:tcW w:w="3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80" w:type="dxa"/>
            <w:vAlign w:val="bottom"/>
          </w:tcPr>
          <w:p>
            <w:pPr>
              <w:ind w:left="980"/>
              <w:spacing w:after="0"/>
              <w:rPr>
                <w:sz w:val="20"/>
                <w:szCs w:val="20"/>
                <w:color w:val="auto"/>
              </w:rPr>
            </w:pPr>
            <w:r>
              <w:rPr>
                <w:rFonts w:ascii="Times New Roman" w:cs="Times New Roman" w:eastAsia="Times New Roman" w:hAnsi="Times New Roman"/>
                <w:sz w:val="10"/>
                <w:szCs w:val="10"/>
                <w:b w:val="1"/>
                <w:bCs w:val="1"/>
                <w:color w:val="auto"/>
              </w:rPr>
              <w:t>​ ​</w:t>
            </w:r>
          </w:p>
        </w:tc>
        <w:tc>
          <w:tcPr>
            <w:tcW w:w="40" w:type="dxa"/>
            <w:vAlign w:val="bottom"/>
          </w:tcPr>
          <w:p>
            <w:pPr>
              <w:spacing w:after="0"/>
              <w:rPr>
                <w:sz w:val="21"/>
                <w:szCs w:val="21"/>
                <w:color w:val="auto"/>
              </w:rPr>
            </w:pPr>
          </w:p>
        </w:tc>
        <w:tc>
          <w:tcPr>
            <w:tcW w:w="1300" w:type="dxa"/>
            <w:vAlign w:val="bottom"/>
            <w:gridSpan w:val="6"/>
          </w:tcPr>
          <w:p>
            <w:pPr>
              <w:ind w:left="20"/>
              <w:spacing w:after="0"/>
              <w:rPr>
                <w:sz w:val="20"/>
                <w:szCs w:val="20"/>
                <w:color w:val="auto"/>
              </w:rPr>
            </w:pPr>
            <w:r>
              <w:rPr>
                <w:rFonts w:ascii="Times New Roman" w:cs="Times New Roman" w:eastAsia="Times New Roman" w:hAnsi="Times New Roman"/>
                <w:sz w:val="10"/>
                <w:szCs w:val="10"/>
                <w:b w:val="1"/>
                <w:bCs w:val="1"/>
                <w:color w:val="auto"/>
                <w:w w:val="93"/>
              </w:rPr>
              <w:t>Three months ended March 31,</w:t>
            </w:r>
            <w:r>
              <w:rPr>
                <w:rFonts w:ascii="Times New Roman" w:cs="Times New Roman" w:eastAsia="Times New Roman" w:hAnsi="Times New Roman"/>
                <w:sz w:val="19"/>
                <w:szCs w:val="19"/>
                <w:b w:val="1"/>
                <w:bCs w:val="1"/>
                <w:color w:val="auto"/>
                <w:w w:val="93"/>
                <w:vertAlign w:val="subscript"/>
              </w:rPr>
              <w:t>​</w:t>
            </w:r>
          </w:p>
        </w:tc>
      </w:tr>
      <w:tr>
        <w:trPr>
          <w:trHeight w:val="154"/>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8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14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5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10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​$1,444</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080" w:type="dxa"/>
            <w:vAlign w:val="bottom"/>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829</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​1,213</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31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stock-based compensation expense</w:t>
            </w:r>
          </w:p>
        </w:tc>
        <w:tc>
          <w:tcPr>
            <w:tcW w:w="10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right w:val="single" w:sz="8" w:color="CCEEFF"/>
            </w:tcBorders>
            <w:gridSpan w:val="2"/>
            <w:shd w:val="clear" w:color="auto" w:fill="CCEEFF"/>
          </w:tcPr>
          <w:p>
            <w:pPr>
              <w:jc w:val="center"/>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1,831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tcBorders>
              <w:right w:val="single" w:sz="8" w:color="CCEEFF"/>
            </w:tcBorders>
            <w:gridSpan w:val="2"/>
            <w:shd w:val="clear" w:color="auto" w:fill="CCEEFF"/>
          </w:tcPr>
          <w:p>
            <w:pPr>
              <w:jc w:val="center"/>
              <w:spacing w:after="0" w:line="164"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2,657</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7"/>
        </w:trPr>
        <w:tc>
          <w:tcPr>
            <w:tcW w:w="31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000000"/>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-144780</wp:posOffset>
            </wp:positionV>
            <wp:extent cx="3535680" cy="571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53568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-377190</wp:posOffset>
            </wp:positionV>
            <wp:extent cx="3181350" cy="571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181350" cy="5715"/>
                    </a:xfrm>
                    <a:prstGeom prst="rect">
                      <a:avLst/>
                    </a:prstGeom>
                    <a:noFill/>
                  </pic:spPr>
                </pic:pic>
              </a:graphicData>
            </a:graphic>
          </wp:anchor>
        </w:drawing>
      </w:r>
    </w:p>
    <w:p>
      <w:pPr>
        <w:spacing w:after="0" w:line="132"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The following table summarizes the stock-based compensation expense related to the following equity-based awards (in thousands):</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48"/>
        </w:trPr>
        <w:tc>
          <w:tcPr>
            <w:tcW w:w="3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80" w:type="dxa"/>
            <w:vAlign w:val="bottom"/>
          </w:tcPr>
          <w:p>
            <w:pPr>
              <w:ind w:left="980"/>
              <w:spacing w:after="0"/>
              <w:rPr>
                <w:sz w:val="20"/>
                <w:szCs w:val="20"/>
                <w:color w:val="auto"/>
              </w:rPr>
            </w:pPr>
            <w:r>
              <w:rPr>
                <w:rFonts w:ascii="Times New Roman" w:cs="Times New Roman" w:eastAsia="Times New Roman" w:hAnsi="Times New Roman"/>
                <w:sz w:val="10"/>
                <w:szCs w:val="10"/>
                <w:b w:val="1"/>
                <w:bCs w:val="1"/>
                <w:color w:val="auto"/>
              </w:rPr>
              <w:t>​ ​</w:t>
            </w:r>
          </w:p>
        </w:tc>
        <w:tc>
          <w:tcPr>
            <w:tcW w:w="40" w:type="dxa"/>
            <w:vAlign w:val="bottom"/>
          </w:tcPr>
          <w:p>
            <w:pPr>
              <w:spacing w:after="0"/>
              <w:rPr>
                <w:sz w:val="21"/>
                <w:szCs w:val="21"/>
                <w:color w:val="auto"/>
              </w:rPr>
            </w:pPr>
          </w:p>
        </w:tc>
        <w:tc>
          <w:tcPr>
            <w:tcW w:w="1300" w:type="dxa"/>
            <w:vAlign w:val="bottom"/>
            <w:gridSpan w:val="6"/>
          </w:tcPr>
          <w:p>
            <w:pPr>
              <w:ind w:left="20"/>
              <w:spacing w:after="0"/>
              <w:rPr>
                <w:sz w:val="20"/>
                <w:szCs w:val="20"/>
                <w:color w:val="auto"/>
              </w:rPr>
            </w:pPr>
            <w:r>
              <w:rPr>
                <w:rFonts w:ascii="Times New Roman" w:cs="Times New Roman" w:eastAsia="Times New Roman" w:hAnsi="Times New Roman"/>
                <w:sz w:val="10"/>
                <w:szCs w:val="10"/>
                <w:b w:val="1"/>
                <w:bCs w:val="1"/>
                <w:color w:val="auto"/>
                <w:w w:val="93"/>
              </w:rPr>
              <w:t>Three months ended March 31,</w:t>
            </w:r>
            <w:r>
              <w:rPr>
                <w:rFonts w:ascii="Times New Roman" w:cs="Times New Roman" w:eastAsia="Times New Roman" w:hAnsi="Times New Roman"/>
                <w:sz w:val="19"/>
                <w:szCs w:val="19"/>
                <w:b w:val="1"/>
                <w:bCs w:val="1"/>
                <w:color w:val="auto"/>
                <w:w w:val="93"/>
                <w:vertAlign w:val="subscript"/>
              </w:rPr>
              <w:t>​</w:t>
            </w:r>
          </w:p>
        </w:tc>
      </w:tr>
      <w:tr>
        <w:trPr>
          <w:trHeight w:val="154"/>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8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14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5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 options</w:t>
            </w:r>
          </w:p>
        </w:tc>
        <w:tc>
          <w:tcPr>
            <w:tcW w:w="10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​$1,813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​$2,639</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83"/>
        </w:trPr>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Restricted stock awards</w:t>
            </w:r>
          </w:p>
        </w:tc>
        <w:tc>
          <w:tcPr>
            <w:tcW w:w="1080" w:type="dxa"/>
            <w:vAlign w:val="bottom"/>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18</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18</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31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stock-based compensation expense</w:t>
            </w:r>
          </w:p>
        </w:tc>
        <w:tc>
          <w:tcPr>
            <w:tcW w:w="10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right w:val="single" w:sz="8" w:color="CCEEFF"/>
            </w:tcBorders>
            <w:gridSpan w:val="2"/>
            <w:shd w:val="clear" w:color="auto" w:fill="CCEEFF"/>
          </w:tcPr>
          <w:p>
            <w:pPr>
              <w:jc w:val="center"/>
              <w:spacing w:after="0" w:line="163"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1,831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tcBorders>
              <w:right w:val="single" w:sz="8" w:color="CCEEFF"/>
            </w:tcBorders>
            <w:gridSpan w:val="2"/>
            <w:shd w:val="clear" w:color="auto" w:fill="CCEEFF"/>
          </w:tcPr>
          <w:p>
            <w:pPr>
              <w:jc w:val="center"/>
              <w:spacing w:after="0" w:line="163"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2,657</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7"/>
        </w:trPr>
        <w:tc>
          <w:tcPr>
            <w:tcW w:w="31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000000"/>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-144780</wp:posOffset>
            </wp:positionV>
            <wp:extent cx="3535680" cy="571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53568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-377190</wp:posOffset>
            </wp:positionV>
            <wp:extent cx="3181350" cy="571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181350" cy="5715"/>
                    </a:xfrm>
                    <a:prstGeom prst="rect">
                      <a:avLst/>
                    </a:prstGeom>
                    <a:noFill/>
                  </pic:spPr>
                </pic:pic>
              </a:graphicData>
            </a:graphic>
          </wp:anchor>
        </w:drawing>
      </w:r>
    </w:p>
    <w:p>
      <w:pPr>
        <w:spacing w:after="0" w:line="123"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Stock-based compensation expense related to non-employee awards was immaterial for all periods presented.</w:t>
      </w:r>
    </w:p>
    <w:p>
      <w:pPr>
        <w:spacing w:after="0" w:line="241" w:lineRule="exact"/>
        <w:rPr>
          <w:sz w:val="20"/>
          <w:szCs w:val="20"/>
          <w:color w:val="auto"/>
        </w:rPr>
      </w:pPr>
    </w:p>
    <w:p>
      <w:pPr>
        <w:jc w:val="both"/>
        <w:ind w:left="1720" w:right="1739"/>
        <w:spacing w:after="0" w:line="283" w:lineRule="auto"/>
        <w:rPr>
          <w:sz w:val="20"/>
          <w:szCs w:val="20"/>
          <w:color w:val="auto"/>
        </w:rPr>
      </w:pPr>
      <w:r>
        <w:rPr>
          <w:rFonts w:ascii="Times New Roman" w:cs="Times New Roman" w:eastAsia="Times New Roman" w:hAnsi="Times New Roman"/>
          <w:sz w:val="12"/>
          <w:szCs w:val="12"/>
          <w:color w:val="auto"/>
        </w:rPr>
        <w:t>As of March 31, 2024, there was unrecognized stock-based compensation expense of $31.6 million related to unvested stock options which the Company expects to recognize over a weighted-average period of 3.1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64" w:name="page265"/>
    <w:bookmarkEnd w:id="264"/>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 (Continued)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11. Net Loss Per Share Attributable to Class A Common Stockholders</w:t>
      </w:r>
    </w:p>
    <w:p>
      <w:pPr>
        <w:spacing w:after="0" w:line="111"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The following table sets forth the computation of the basic and diluted net loss per share attributable to Class A common stockholders for the three months ended March 31, 2023 and 2024 (in thousands, except share and per share amounts):</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39"/>
        </w:trPr>
        <w:tc>
          <w:tcPr>
            <w:tcW w:w="41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 ​</w:t>
            </w:r>
          </w:p>
        </w:tc>
        <w:tc>
          <w:tcPr>
            <w:tcW w:w="120" w:type="dxa"/>
            <w:vAlign w:val="bottom"/>
          </w:tcPr>
          <w:p>
            <w:pPr>
              <w:spacing w:after="0"/>
              <w:rPr>
                <w:sz w:val="20"/>
                <w:szCs w:val="20"/>
                <w:color w:val="auto"/>
              </w:rPr>
            </w:pPr>
          </w:p>
        </w:tc>
        <w:tc>
          <w:tcPr>
            <w:tcW w:w="1240" w:type="dxa"/>
            <w:vAlign w:val="bottom"/>
            <w:gridSpan w:val="6"/>
          </w:tcPr>
          <w:p>
            <w:pPr>
              <w:jc w:val="center"/>
              <w:spacing w:after="0"/>
              <w:rPr>
                <w:sz w:val="20"/>
                <w:szCs w:val="20"/>
                <w:color w:val="auto"/>
              </w:rPr>
            </w:pPr>
            <w:r>
              <w:rPr>
                <w:rFonts w:ascii="Times New Roman" w:cs="Times New Roman" w:eastAsia="Times New Roman" w:hAnsi="Times New Roman"/>
                <w:sz w:val="10"/>
                <w:szCs w:val="10"/>
                <w:b w:val="1"/>
                <w:bCs w:val="1"/>
                <w:color w:val="auto"/>
                <w:w w:val="90"/>
              </w:rPr>
              <w:t xml:space="preserve">Three months ended March 31, </w:t>
            </w:r>
            <w:r>
              <w:rPr>
                <w:rFonts w:ascii="Times New Roman" w:cs="Times New Roman" w:eastAsia="Times New Roman" w:hAnsi="Times New Roman"/>
                <w:sz w:val="19"/>
                <w:szCs w:val="19"/>
                <w:b w:val="1"/>
                <w:bCs w:val="1"/>
                <w:color w:val="auto"/>
                <w:w w:val="90"/>
                <w:vertAlign w:val="subscript"/>
              </w:rPr>
              <w:t>​</w:t>
            </w:r>
          </w:p>
        </w:tc>
        <w:tc>
          <w:tcPr>
            <w:tcW w:w="0" w:type="dxa"/>
            <w:vAlign w:val="bottom"/>
          </w:tcPr>
          <w:p>
            <w:pPr>
              <w:spacing w:after="0"/>
              <w:rPr>
                <w:sz w:val="1"/>
                <w:szCs w:val="1"/>
                <w:color w:val="auto"/>
              </w:rPr>
            </w:pPr>
          </w:p>
        </w:tc>
      </w:tr>
      <w:tr>
        <w:trPr>
          <w:trHeight w:val="154"/>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63"/>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Numerator:</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7"/>
        </w:trPr>
        <w:tc>
          <w:tcPr>
            <w:tcW w:w="41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loss</w:t>
            </w: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(36,027)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(49,849)</w:t>
            </w:r>
          </w:p>
        </w:tc>
        <w:tc>
          <w:tcPr>
            <w:tcW w:w="0" w:type="dxa"/>
            <w:vAlign w:val="bottom"/>
          </w:tcPr>
          <w:p>
            <w:pPr>
              <w:spacing w:after="0"/>
              <w:rPr>
                <w:sz w:val="1"/>
                <w:szCs w:val="1"/>
                <w:color w:val="auto"/>
              </w:rPr>
            </w:pPr>
          </w:p>
        </w:tc>
      </w:tr>
      <w:tr>
        <w:trPr>
          <w:trHeight w:val="46"/>
        </w:trPr>
        <w:tc>
          <w:tcPr>
            <w:tcW w:w="41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tcPr>
          <w:p>
            <w:pPr>
              <w:spacing w:after="0" w:line="46" w:lineRule="exact"/>
              <w:rPr>
                <w:sz w:val="20"/>
                <w:szCs w:val="20"/>
                <w:color w:val="auto"/>
              </w:rPr>
            </w:pPr>
            <w:r>
              <w:rPr>
                <w:rFonts w:ascii="Times New Roman" w:cs="Times New Roman" w:eastAsia="Times New Roman" w:hAnsi="Times New Roman"/>
                <w:sz w:val="5"/>
                <w:szCs w:val="5"/>
                <w:color w:val="auto"/>
              </w:rPr>
              <w:t>​​</w:t>
            </w:r>
          </w:p>
        </w:tc>
        <w:tc>
          <w:tcPr>
            <w:tcW w:w="500" w:type="dxa"/>
            <w:vAlign w:val="bottom"/>
          </w:tcPr>
          <w:p>
            <w:pPr>
              <w:spacing w:after="0"/>
              <w:rPr>
                <w:sz w:val="3"/>
                <w:szCs w:val="3"/>
                <w:color w:val="auto"/>
              </w:rPr>
            </w:pPr>
          </w:p>
        </w:tc>
        <w:tc>
          <w:tcPr>
            <w:tcW w:w="220" w:type="dxa"/>
            <w:vAlign w:val="bottom"/>
            <w:gridSpan w:val="3"/>
          </w:tcPr>
          <w:p>
            <w:pPr>
              <w:jc w:val="center"/>
              <w:ind w:right="40"/>
              <w:spacing w:after="0" w:line="46" w:lineRule="exact"/>
              <w:rPr>
                <w:sz w:val="20"/>
                <w:szCs w:val="20"/>
                <w:color w:val="auto"/>
              </w:rPr>
            </w:pPr>
            <w:r>
              <w:rPr>
                <w:rFonts w:ascii="Times New Roman" w:cs="Times New Roman" w:eastAsia="Times New Roman" w:hAnsi="Times New Roman"/>
                <w:sz w:val="5"/>
                <w:szCs w:val="5"/>
                <w:color w:val="auto"/>
              </w:rPr>
              <w:t>​​ ​​</w:t>
            </w:r>
          </w:p>
        </w:tc>
        <w:tc>
          <w:tcPr>
            <w:tcW w:w="480" w:type="dxa"/>
            <w:vAlign w:val="bottom"/>
          </w:tcPr>
          <w:p>
            <w:pPr>
              <w:spacing w:after="0"/>
              <w:rPr>
                <w:sz w:val="3"/>
                <w:szCs w:val="3"/>
                <w:color w:val="auto"/>
              </w:rPr>
            </w:pPr>
          </w:p>
        </w:tc>
        <w:tc>
          <w:tcPr>
            <w:tcW w:w="40" w:type="dxa"/>
            <w:vAlign w:val="bottom"/>
          </w:tcPr>
          <w:p>
            <w:pPr>
              <w:jc w:val="right"/>
              <w:spacing w:after="0" w:line="46"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20"/>
        </w:trPr>
        <w:tc>
          <w:tcPr>
            <w:tcW w:w="4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Denominator:</w:t>
            </w: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rPr>
              <w:t>​​ ​​</w:t>
            </w:r>
          </w:p>
        </w:tc>
        <w:tc>
          <w:tcPr>
            <w:tcW w:w="48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41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Weighted average Class A common shares outstanding</w:t>
            </w:r>
          </w:p>
        </w:tc>
        <w:tc>
          <w:tcPr>
            <w:tcW w:w="1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 ​2,634,907​​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​2,679,165​</w:t>
            </w:r>
          </w:p>
        </w:tc>
        <w:tc>
          <w:tcPr>
            <w:tcW w:w="0" w:type="dxa"/>
            <w:vAlign w:val="bottom"/>
          </w:tcPr>
          <w:p>
            <w:pPr>
              <w:spacing w:after="0"/>
              <w:rPr>
                <w:sz w:val="1"/>
                <w:szCs w:val="1"/>
                <w:color w:val="auto"/>
              </w:rPr>
            </w:pPr>
          </w:p>
        </w:tc>
      </w:tr>
      <w:tr>
        <w:trPr>
          <w:trHeight w:val="137"/>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Less: Weighted-average Class A common shares subject to repurchase</w:t>
            </w:r>
          </w:p>
        </w:tc>
        <w:tc>
          <w:tcPr>
            <w:tcW w:w="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(637,075)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1"/>
              </w:rPr>
              <w:t>​ (309,114)</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46"/>
        </w:trPr>
        <w:tc>
          <w:tcPr>
            <w:tcW w:w="4140" w:type="dxa"/>
            <w:vAlign w:val="bottom"/>
            <w:shd w:val="clear" w:color="auto" w:fill="CCEEFF"/>
          </w:tcPr>
          <w:p>
            <w:pPr>
              <w:spacing w:after="0"/>
              <w:rPr>
                <w:sz w:val="3"/>
                <w:szCs w:val="3"/>
                <w:color w:val="auto"/>
              </w:rPr>
            </w:pPr>
          </w:p>
        </w:tc>
        <w:tc>
          <w:tcPr>
            <w:tcW w:w="100" w:type="dxa"/>
            <w:vAlign w:val="bottom"/>
            <w:vMerge w:val="continue"/>
            <w:shd w:val="clear" w:color="auto" w:fill="CCEEFF"/>
          </w:tcPr>
          <w:p>
            <w:pPr>
              <w:spacing w:after="0"/>
              <w:rPr>
                <w:sz w:val="3"/>
                <w:szCs w:val="3"/>
                <w:color w:val="auto"/>
              </w:rPr>
            </w:pPr>
          </w:p>
        </w:tc>
        <w:tc>
          <w:tcPr>
            <w:tcW w:w="120" w:type="dxa"/>
            <w:vAlign w:val="bottom"/>
            <w:tcBorders>
              <w:right w:val="single" w:sz="8" w:color="CCEEFF"/>
            </w:tcBorders>
            <w:vMerge w:val="continue"/>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20" w:type="dxa"/>
            <w:vAlign w:val="bottom"/>
            <w:gridSpan w:val="3"/>
            <w:shd w:val="clear" w:color="auto" w:fill="CCEEFF"/>
          </w:tcPr>
          <w:p>
            <w:pPr>
              <w:jc w:val="center"/>
              <w:ind w:right="40"/>
              <w:spacing w:after="0" w:line="46" w:lineRule="exact"/>
              <w:rPr>
                <w:sz w:val="20"/>
                <w:szCs w:val="20"/>
                <w:color w:val="auto"/>
              </w:rPr>
            </w:pPr>
            <w:r>
              <w:rPr>
                <w:rFonts w:ascii="Times New Roman" w:cs="Times New Roman" w:eastAsia="Times New Roman" w:hAnsi="Times New Roman"/>
                <w:sz w:val="5"/>
                <w:szCs w:val="5"/>
                <w:color w:val="auto"/>
              </w:rPr>
              <w:t>​​ ​​</w:t>
            </w:r>
          </w:p>
        </w:tc>
        <w:tc>
          <w:tcPr>
            <w:tcW w:w="480" w:type="dxa"/>
            <w:vAlign w:val="bottom"/>
            <w:shd w:val="clear" w:color="auto" w:fill="CCEEFF"/>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14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1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Weighted-average Class A common shares outstanding, basic and diluted</w:t>
            </w:r>
          </w:p>
        </w:tc>
        <w:tc>
          <w:tcPr>
            <w:tcW w:w="1460" w:type="dxa"/>
            <w:vAlign w:val="bottom"/>
            <w:gridSpan w:val="8"/>
          </w:tcPr>
          <w:p>
            <w:pPr>
              <w:jc w:val="right"/>
              <w:spacing w:after="0" w:line="173" w:lineRule="exact"/>
              <w:rPr>
                <w:sz w:val="20"/>
                <w:szCs w:val="20"/>
                <w:color w:val="auto"/>
              </w:rPr>
            </w:pP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10"/>
                <w:szCs w:val="10"/>
                <w:color w:val="auto"/>
              </w:rPr>
              <w:t xml:space="preserve"> ​1,997,832</w:t>
            </w: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10"/>
                <w:szCs w:val="10"/>
                <w:color w:val="auto"/>
              </w:rPr>
              <w:t xml:space="preserve"> ​2,370,051</w:t>
            </w:r>
            <w:r>
              <w:rPr>
                <w:rFonts w:ascii="Times New Roman" w:cs="Times New Roman" w:eastAsia="Times New Roman" w:hAnsi="Times New Roman"/>
                <w:sz w:val="19"/>
                <w:szCs w:val="19"/>
                <w:color w:val="auto"/>
                <w:vertAlign w:val="subscript"/>
              </w:rPr>
              <w:t>​</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Net loss per share attributable to Class A common stockholders, basic and</w:t>
            </w: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(18.03)</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(21.03)</w:t>
            </w:r>
          </w:p>
        </w:tc>
        <w:tc>
          <w:tcPr>
            <w:tcW w:w="0" w:type="dxa"/>
            <w:vAlign w:val="bottom"/>
          </w:tcPr>
          <w:p>
            <w:pPr>
              <w:spacing w:after="0"/>
              <w:rPr>
                <w:sz w:val="1"/>
                <w:szCs w:val="1"/>
                <w:color w:val="auto"/>
              </w:rPr>
            </w:pPr>
          </w:p>
        </w:tc>
      </w:tr>
      <w:tr>
        <w:trPr>
          <w:trHeight w:val="123"/>
        </w:trPr>
        <w:tc>
          <w:tcPr>
            <w:tcW w:w="4140" w:type="dxa"/>
            <w:vAlign w:val="bottom"/>
          </w:tcPr>
          <w:p>
            <w:pPr>
              <w:ind w:left="120"/>
              <w:spacing w:after="0" w:line="123" w:lineRule="exact"/>
              <w:rPr>
                <w:sz w:val="20"/>
                <w:szCs w:val="20"/>
                <w:color w:val="auto"/>
              </w:rPr>
            </w:pPr>
            <w:r>
              <w:rPr>
                <w:rFonts w:ascii="Times New Roman" w:cs="Times New Roman" w:eastAsia="Times New Roman" w:hAnsi="Times New Roman"/>
                <w:sz w:val="12"/>
                <w:szCs w:val="12"/>
                <w:color w:val="auto"/>
              </w:rPr>
              <w:t>diluted</w:t>
            </w: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41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tcPr>
          <w:p>
            <w:pPr>
              <w:spacing w:after="0" w:line="46" w:lineRule="exact"/>
              <w:rPr>
                <w:sz w:val="20"/>
                <w:szCs w:val="20"/>
                <w:color w:val="auto"/>
              </w:rPr>
            </w:pPr>
            <w:r>
              <w:rPr>
                <w:rFonts w:ascii="Times New Roman" w:cs="Times New Roman" w:eastAsia="Times New Roman" w:hAnsi="Times New Roman"/>
                <w:sz w:val="5"/>
                <w:szCs w:val="5"/>
                <w:color w:val="auto"/>
              </w:rPr>
              <w:t>​​</w:t>
            </w:r>
          </w:p>
        </w:tc>
        <w:tc>
          <w:tcPr>
            <w:tcW w:w="500" w:type="dxa"/>
            <w:vAlign w:val="bottom"/>
          </w:tcPr>
          <w:p>
            <w:pPr>
              <w:spacing w:after="0"/>
              <w:rPr>
                <w:sz w:val="3"/>
                <w:szCs w:val="3"/>
                <w:color w:val="auto"/>
              </w:rPr>
            </w:pPr>
          </w:p>
        </w:tc>
        <w:tc>
          <w:tcPr>
            <w:tcW w:w="220" w:type="dxa"/>
            <w:vAlign w:val="bottom"/>
            <w:gridSpan w:val="3"/>
          </w:tcPr>
          <w:p>
            <w:pPr>
              <w:jc w:val="center"/>
              <w:ind w:right="40"/>
              <w:spacing w:after="0" w:line="46" w:lineRule="exact"/>
              <w:rPr>
                <w:sz w:val="20"/>
                <w:szCs w:val="20"/>
                <w:color w:val="auto"/>
              </w:rPr>
            </w:pPr>
            <w:r>
              <w:rPr>
                <w:rFonts w:ascii="Times New Roman" w:cs="Times New Roman" w:eastAsia="Times New Roman" w:hAnsi="Times New Roman"/>
                <w:sz w:val="5"/>
                <w:szCs w:val="5"/>
                <w:color w:val="auto"/>
              </w:rPr>
              <w:t>​​ ​​</w:t>
            </w:r>
          </w:p>
        </w:tc>
        <w:tc>
          <w:tcPr>
            <w:tcW w:w="480" w:type="dxa"/>
            <w:vAlign w:val="bottom"/>
          </w:tcPr>
          <w:p>
            <w:pPr>
              <w:spacing w:after="0"/>
              <w:rPr>
                <w:sz w:val="3"/>
                <w:szCs w:val="3"/>
                <w:color w:val="auto"/>
              </w:rPr>
            </w:pPr>
          </w:p>
        </w:tc>
        <w:tc>
          <w:tcPr>
            <w:tcW w:w="40" w:type="dxa"/>
            <w:vAlign w:val="bottom"/>
          </w:tcPr>
          <w:p>
            <w:pPr>
              <w:jc w:val="right"/>
              <w:spacing w:after="0" w:line="46"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37"/>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-231775</wp:posOffset>
            </wp:positionV>
            <wp:extent cx="3535680" cy="22098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535680" cy="22098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-697230</wp:posOffset>
            </wp:positionV>
            <wp:extent cx="3181350" cy="571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181350"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-929640</wp:posOffset>
            </wp:positionV>
            <wp:extent cx="3175000" cy="571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175000" cy="5715"/>
                    </a:xfrm>
                    <a:prstGeom prst="rect">
                      <a:avLst/>
                    </a:prstGeom>
                    <a:noFill/>
                  </pic:spPr>
                </pic:pic>
              </a:graphicData>
            </a:graphic>
          </wp:anchor>
        </w:drawing>
      </w:r>
    </w:p>
    <w:p>
      <w:pPr>
        <w:spacing w:after="0" w:line="123"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The following outstanding potentially dilutive shares were excluded from the computation of diluted net loss per share attributable to Class A common stockholders for the periods presented, because including them would have been anti-dilutive (on an as-converted basis):</w:t>
      </w:r>
    </w:p>
    <w:p>
      <w:pPr>
        <w:spacing w:after="0" w:line="85"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w w:val="91"/>
              </w:rPr>
              <w:t>March 31,</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5"/>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Redeemable convertible preferred stock issued and outstanding</w:t>
            </w:r>
          </w:p>
        </w:tc>
        <w:tc>
          <w:tcPr>
            <w:tcW w:w="140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​​14,536,911​​ ​​27,213,865</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Common stock options issued and outstanding</w:t>
            </w:r>
          </w:p>
        </w:tc>
        <w:tc>
          <w:tcPr>
            <w:tcW w:w="1440" w:type="dxa"/>
            <w:vAlign w:val="bottom"/>
            <w:gridSpan w:val="8"/>
          </w:tcPr>
          <w:p>
            <w:pPr>
              <w:jc w:val="right"/>
              <w:spacing w:after="0"/>
              <w:rPr>
                <w:sz w:val="20"/>
                <w:szCs w:val="20"/>
                <w:color w:val="auto"/>
              </w:rPr>
            </w:pPr>
            <w:r>
              <w:rPr>
                <w:rFonts w:ascii="Times New Roman" w:cs="Times New Roman" w:eastAsia="Times New Roman" w:hAnsi="Times New Roman"/>
                <w:sz w:val="12"/>
                <w:szCs w:val="12"/>
                <w:color w:val="auto"/>
              </w:rPr>
              <w:t>​ ​​ 4,101,759​​ ​​ 5,565,543​</w:t>
            </w:r>
          </w:p>
        </w:tc>
      </w:tr>
      <w:tr>
        <w:trPr>
          <w:trHeight w:val="18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Unvested restricted common stock and early exercised stock options</w:t>
            </w:r>
          </w:p>
        </w:tc>
        <w:tc>
          <w:tcPr>
            <w:tcW w:w="20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700" w:type="dxa"/>
            <w:vAlign w:val="bottom"/>
            <w:gridSpan w:val="3"/>
            <w:shd w:val="clear" w:color="auto" w:fill="CCEEFF"/>
          </w:tcPr>
          <w:p>
            <w:pPr>
              <w:ind w:left="100"/>
              <w:spacing w:after="0" w:line="184" w:lineRule="exact"/>
              <w:rPr>
                <w:sz w:val="20"/>
                <w:szCs w:val="20"/>
                <w:color w:val="auto"/>
              </w:rPr>
            </w:pPr>
            <w:r>
              <w:rPr>
                <w:rFonts w:ascii="Times New Roman" w:cs="Times New Roman" w:eastAsia="Times New Roman" w:hAnsi="Times New Roman"/>
                <w:sz w:val="11"/>
                <w:szCs w:val="11"/>
                <w:color w:val="auto"/>
              </w:rPr>
              <w:t>575,649</w:t>
            </w: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275,295</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4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2"/>
        </w:trPr>
        <w:tc>
          <w:tcPr>
            <w:tcW w:w="41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1440" w:type="dxa"/>
            <w:vAlign w:val="bottom"/>
            <w:gridSpan w:val="8"/>
          </w:tcPr>
          <w:p>
            <w:pPr>
              <w:jc w:val="right"/>
              <w:spacing w:after="0" w:line="164" w:lineRule="exact"/>
              <w:rPr>
                <w:sz w:val="20"/>
                <w:szCs w:val="20"/>
                <w:color w:val="auto"/>
              </w:rPr>
            </w:pP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0"/>
                <w:szCs w:val="10"/>
                <w:color w:val="auto"/>
              </w:rPr>
              <w:t>​19,214,319</w:t>
            </w: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0"/>
                <w:szCs w:val="10"/>
                <w:color w:val="auto"/>
              </w:rPr>
              <w:t>​33,054,703</w:t>
            </w:r>
            <w:r>
              <w:rPr>
                <w:rFonts w:ascii="Times New Roman" w:cs="Times New Roman" w:eastAsia="Times New Roman" w:hAnsi="Times New Roman"/>
                <w:sz w:val="18"/>
                <w:szCs w:val="18"/>
                <w:color w:val="auto"/>
                <w:vertAlign w:val="subscript"/>
              </w:rPr>
              <w:t>​</w:t>
            </w: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-487680</wp:posOffset>
            </wp:positionV>
            <wp:extent cx="3181350" cy="571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181350" cy="5715"/>
                    </a:xfrm>
                    <a:prstGeom prst="rect">
                      <a:avLst/>
                    </a:prstGeom>
                    <a:noFill/>
                  </pic:spPr>
                </pic:pic>
              </a:graphicData>
            </a:graphic>
          </wp:anchor>
        </w:drawing>
      </w:r>
    </w:p>
    <w:p>
      <w:pPr>
        <w:spacing w:after="0" w:line="14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12. Employee Benefit Plans</w:t>
      </w:r>
    </w:p>
    <w:p>
      <w:pPr>
        <w:spacing w:after="0" w:line="111"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The Company sponsors a qualified 401(k) defined contribution plan covering eligible employees. Participants may contribute a portion of their annual compensation limited to a maximum annual amount set by the Internal Revenue Service. There were no employer contributions under this plan during the three months ended March 31, 2023 and 2024.</w:t>
      </w:r>
    </w:p>
    <w:p>
      <w:pPr>
        <w:spacing w:after="0" w:line="11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13. Subsequent Events</w:t>
      </w:r>
    </w:p>
    <w:p>
      <w:pPr>
        <w:spacing w:after="0" w:line="111" w:lineRule="exact"/>
        <w:rPr>
          <w:sz w:val="20"/>
          <w:szCs w:val="20"/>
          <w:color w:val="auto"/>
        </w:rPr>
      </w:pPr>
    </w:p>
    <w:p>
      <w:pPr>
        <w:jc w:val="both"/>
        <w:ind w:left="1720" w:right="1739"/>
        <w:spacing w:after="0" w:line="251" w:lineRule="auto"/>
        <w:rPr>
          <w:sz w:val="20"/>
          <w:szCs w:val="20"/>
          <w:color w:val="auto"/>
        </w:rPr>
      </w:pPr>
      <w:r>
        <w:rPr>
          <w:rFonts w:ascii="Times New Roman" w:cs="Times New Roman" w:eastAsia="Times New Roman" w:hAnsi="Times New Roman"/>
          <w:sz w:val="12"/>
          <w:szCs w:val="12"/>
          <w:color w:val="auto"/>
        </w:rPr>
        <w:t>The Company has evaluated subsequent events for financial statement purposes occurring through May 15, 2024, the date when these condensed consolidated financial statements were available to be issued and through June 24, 2024, the date when these condensed consolidated financial statements are available to be reissued. No subsequent events have been identified for disclosure to or adjustment in the condensed consolidated financial statements, other than the matters noted below.</w:t>
      </w:r>
    </w:p>
    <w:p>
      <w:pPr>
        <w:spacing w:after="0" w:line="75" w:lineRule="exact"/>
        <w:rPr>
          <w:sz w:val="20"/>
          <w:szCs w:val="20"/>
          <w:color w:val="auto"/>
        </w:rPr>
      </w:pPr>
    </w:p>
    <w:p>
      <w:pPr>
        <w:jc w:val="both"/>
        <w:ind w:left="1720" w:right="1739"/>
        <w:spacing w:after="0" w:line="264" w:lineRule="auto"/>
        <w:rPr>
          <w:sz w:val="20"/>
          <w:szCs w:val="20"/>
          <w:color w:val="auto"/>
        </w:rPr>
      </w:pPr>
      <w:r>
        <w:rPr>
          <w:rFonts w:ascii="Times New Roman" w:cs="Times New Roman" w:eastAsia="Times New Roman" w:hAnsi="Times New Roman"/>
          <w:sz w:val="12"/>
          <w:szCs w:val="12"/>
          <w:color w:val="auto"/>
        </w:rPr>
        <w:t>From April 2024 through June 2024, the Company granted stock options for the purchase of an aggregate of 1,276,629 shares of common stock, with an exercise price ranging from $10.19 – $13.32 per share to employees under the 2021 Plan. These options have vesting terms of four years with one-year cliff vesting.</w:t>
      </w:r>
    </w:p>
    <w:p>
      <w:pPr>
        <w:spacing w:after="0" w:line="58" w:lineRule="exact"/>
        <w:rPr>
          <w:sz w:val="20"/>
          <w:szCs w:val="20"/>
          <w:color w:val="auto"/>
        </w:rPr>
      </w:pPr>
    </w:p>
    <w:p>
      <w:pPr>
        <w:jc w:val="both"/>
        <w:ind w:left="1720" w:right="1739"/>
        <w:spacing w:after="0" w:line="256" w:lineRule="auto"/>
        <w:rPr>
          <w:sz w:val="20"/>
          <w:szCs w:val="20"/>
          <w:color w:val="auto"/>
        </w:rPr>
      </w:pPr>
      <w:r>
        <w:rPr>
          <w:rFonts w:ascii="Times New Roman" w:cs="Times New Roman" w:eastAsia="Times New Roman" w:hAnsi="Times New Roman"/>
          <w:sz w:val="12"/>
          <w:szCs w:val="12"/>
          <w:color w:val="auto"/>
        </w:rPr>
        <w:t>In May 2024, the Company’s board of directors adopted and the shareholders approved the 2024 Performance Option Plan (the “2024 POP”). The Company reserved 1,880,680 shares of common stock issuable under the 2024 POP. The 2024 POP permits grants of ISOs, NSOs and restricted stock awards to the Company’s employees, directors and consultants.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65" w:name="page266"/>
    <w:bookmarkEnd w:id="265"/>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CONDENSED CONSOLIDATED FINANCIAL STATEMENTS (Continued)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13. Subsequent Events (Continued)</w:t>
      </w:r>
    </w:p>
    <w:p>
      <w:pPr>
        <w:spacing w:after="0" w:line="157" w:lineRule="exact"/>
        <w:rPr>
          <w:sz w:val="20"/>
          <w:szCs w:val="20"/>
          <w:color w:val="auto"/>
        </w:r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In May 2024, the Company granted NSOs to employees to purchase 1,880,680 shares of common stock at an exercise price of $10.19 under the 2024 POP. Options generally vest on the date when both a performance condition and a service condition are satisfied for such shares. The performance condition is satisfied based on the Company meeting certain common stock public market price specified targets after the end of the lock-up period. The price target performance conditions are calculated based on the volume weighted average price per share over 30 consecutive trading dates, in accordance with the grant terms. Shares subject to the option that have not satisfied the performance condition within six years from the vesting commencement date shall expire. The service condition includes monthly vesting over 36 months from the vesting commencement date and the employee’s continuous service with the Company through each such monthly vesting date.</w:t>
      </w:r>
    </w:p>
    <w:p>
      <w:pPr>
        <w:spacing w:after="0" w:line="226"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In May 2024, the Company received $129.5 million gross cash proceeds from the issuance of 41,264,892 shares of Series C redeemable convertible preferred stock at a purchase price of $3.13826 per share in the Second Tranche Series C Closing.</w:t>
      </w:r>
    </w:p>
    <w:p>
      <w:pPr>
        <w:spacing w:after="0" w:line="71"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On June 19, 2024, the board of directors approved, and on June 20, 2024, the Company effected, a reverse stock split of the shares of the Company’s outstanding common stock at a ratio of 1-for-4.675 (the “Reverse Stock Split”). The number of authorized shares and par value per share were not adjusted as a result of the Reverse Stock Split. All references to shares, options to purchase common stock, share amounts, per share amount, and related information contained in the condensed consolidated financial statements have been retrospectively adjusted to reflect the effect of the Reverse Stock Split for all periods presented. The shares of common stock underlying outstanding stock options and other equity instruments were proportionately reduced and the respective exercise prices, if applicable, were proportionately increased in accordance with the terms of the agreements governing such securities. In addition, the conversion ratios for each series of the Company’s redeemable convertible preferred stock, which will automatically convert into shares of common stock upon the closing of the Company’s initial public offering (the “IPO”) of common stock, were proportionally adjusted.</w:t>
      </w:r>
    </w:p>
    <w:p>
      <w:pPr>
        <w:spacing w:after="0" w:line="218"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On June 21, 2024, the board of directors adopted, and on June 23, 2024, the Company’s stockholders approved, the amendment and restatement to the Company’s certificate of incorporation to be in effect upon the closing of the Company’s IPO, and the 2024 Equity Incentive Plan (the “2024 Plan”) and 2024 Employee Stock Purchase Plan (the “ESPP”), which become effective immediately prior to the execution of the underwriting agreement for the IPO (the “IPO effectiveness date”). In connection with the closing of the Company’s IPO, the Company will increase the authorized number of shares to 500,000,000 shares of common stock and 50,000,000 shares of preferred stock. The authorized number of common stock shares includes voting common stock of 492,815,092 shares and non-voting common stock of 7,184,908 shares. In connection with the IPO effectiveness date, the Company reserved 14,629,339 shares and 650,000 shares under the 2024 Plan and the ESPP, respectively, which will increase as defined in the plans. The 2024 Plan is a successor to the 2021 Plan. Once the 2024 Plan becomes effective, no further grants will be made under the 2021 Plan.</w:t>
      </w:r>
    </w:p>
    <w:p>
      <w:pPr>
        <w:spacing w:after="0" w:line="227" w:lineRule="exact"/>
        <w:rPr>
          <w:sz w:val="20"/>
          <w:szCs w:val="20"/>
          <w:color w:val="auto"/>
        </w:rPr>
      </w:pPr>
    </w:p>
    <w:p>
      <w:pPr>
        <w:jc w:val="both"/>
        <w:ind w:left="1720" w:right="1739"/>
        <w:spacing w:after="0" w:line="266" w:lineRule="auto"/>
        <w:rPr>
          <w:sz w:val="20"/>
          <w:szCs w:val="20"/>
          <w:color w:val="auto"/>
        </w:rPr>
      </w:pPr>
      <w:r>
        <w:rPr>
          <w:rFonts w:ascii="Times New Roman" w:cs="Times New Roman" w:eastAsia="Times New Roman" w:hAnsi="Times New Roman"/>
          <w:sz w:val="12"/>
          <w:szCs w:val="12"/>
          <w:color w:val="auto"/>
        </w:rPr>
        <w:t>On June 21, 2024, the board of directors approved the stock options grants for 163,131 common stock shares under the Company’s 2024 Plan to be issued on the IPO effectiveness date with an exercise price equal to the IPO price. Options will vest based on various terms, including annually over three years, over four years with a one year cliff or fully vested.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66" w:name="page267"/>
    <w:bookmarkEnd w:id="266"/>
    <w:p>
      <w:pPr>
        <w:ind w:left="860"/>
        <w:spacing w:after="0"/>
        <w:rPr>
          <w:sz w:val="20"/>
          <w:szCs w:val="20"/>
          <w:color w:val="auto"/>
        </w:rPr>
      </w:pPr>
      <w:r>
        <w:rPr>
          <w:rFonts w:ascii="Calibri" w:cs="Calibri" w:eastAsia="Calibri" w:hAnsi="Calibri"/>
          <w:sz w:val="10"/>
          <w:szCs w:val="10"/>
          <w:color w:val="003366"/>
        </w:rPr>
        <w:t>TABLE OF CONTENTS</w:t>
      </w:r>
    </w:p>
    <w:p>
      <w:pPr>
        <w:spacing w:after="0" w:line="327" w:lineRule="exact"/>
        <w:rPr>
          <w:sz w:val="20"/>
          <w:szCs w:val="20"/>
          <w:color w:val="auto"/>
        </w:rPr>
      </w:pPr>
    </w:p>
    <w:p>
      <w:pPr>
        <w:ind w:left="1720"/>
        <w:spacing w:after="0"/>
        <w:rPr>
          <w:sz w:val="20"/>
          <w:szCs w:val="20"/>
          <w:color w:val="auto"/>
        </w:rPr>
      </w:pPr>
      <w:r>
        <w:rPr>
          <w:rFonts w:ascii="Arial" w:cs="Arial" w:eastAsia="Arial" w:hAnsi="Arial"/>
          <w:sz w:val="2"/>
          <w:szCs w:val="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635</wp:posOffset>
            </wp:positionV>
            <wp:extent cx="3535680" cy="1143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535680" cy="1143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35560</wp:posOffset>
            </wp:positionV>
            <wp:extent cx="3535680" cy="571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5356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Georgia" w:cs="Georgia" w:eastAsia="Georgia" w:hAnsi="Georgia"/>
          <w:sz w:val="22"/>
          <w:szCs w:val="22"/>
          <w:b w:val="1"/>
          <w:bCs w:val="1"/>
          <w:i w:val="1"/>
          <w:iCs w:val="1"/>
          <w:color w:val="auto"/>
        </w:rPr>
        <w:t>17,650,000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389255</wp:posOffset>
            </wp:positionV>
            <wp:extent cx="1471295" cy="37782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471295" cy="377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Common Stock</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Georgia" w:cs="Georgia" w:eastAsia="Georgia" w:hAnsi="Georgia"/>
          <w:sz w:val="15"/>
          <w:szCs w:val="15"/>
          <w:b w:val="1"/>
          <w:bCs w:val="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835660</wp:posOffset>
            </wp:positionV>
            <wp:extent cx="744220" cy="571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900" w:right="1679" w:hanging="4300"/>
        <w:spacing w:after="0" w:line="219" w:lineRule="auto"/>
        <w:tabs>
          <w:tab w:leader="none" w:pos="5880" w:val="left"/>
        </w:tabs>
        <w:rPr>
          <w:sz w:val="20"/>
          <w:szCs w:val="20"/>
          <w:color w:val="auto"/>
        </w:rPr>
      </w:pPr>
      <w:r>
        <w:rPr>
          <w:rFonts w:ascii="Arial" w:cs="Arial" w:eastAsia="Arial" w:hAnsi="Arial"/>
          <w:sz w:val="17"/>
          <w:szCs w:val="17"/>
          <w:b w:val="1"/>
          <w:bCs w:val="1"/>
          <w:i w:val="1"/>
          <w:iCs w:val="1"/>
          <w:color w:val="auto"/>
        </w:rPr>
        <w:t>Morgan​ Stanley​​Leerink Partners​​Cantor​​</w:t>
        <w:tab/>
        <w:t>Guggenheim ​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635</wp:posOffset>
            </wp:positionV>
            <wp:extent cx="744220" cy="571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i w:val="1"/>
          <w:iCs w:val="1"/>
          <w:color w:val="auto"/>
        </w:rPr>
        <w:t>Through and including                      , 2024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70485</wp:posOffset>
            </wp:positionV>
            <wp:extent cx="3535680" cy="571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535680" cy="5715"/>
                    </a:xfrm>
                    <a:prstGeom prst="rect">
                      <a:avLst/>
                    </a:prstGeom>
                    <a:noFill/>
                  </pic:spPr>
                </pic:pic>
              </a:graphicData>
            </a:graphic>
          </wp:anchor>
        </w:drawing>
      </w:r>
    </w:p>
    <w:p>
      <w:pPr>
        <w:spacing w:after="0" w:line="112" w:lineRule="exact"/>
        <w:rPr>
          <w:sz w:val="20"/>
          <w:szCs w:val="20"/>
          <w:color w:val="auto"/>
        </w:rPr>
      </w:pPr>
    </w:p>
    <w:p>
      <w:pPr>
        <w:ind w:left="1720"/>
        <w:spacing w:after="0"/>
        <w:rPr>
          <w:sz w:val="20"/>
          <w:szCs w:val="20"/>
          <w:color w:val="auto"/>
        </w:rPr>
      </w:pPr>
      <w:r>
        <w:rPr>
          <w:rFonts w:ascii="Arial" w:cs="Arial" w:eastAsia="Arial" w:hAnsi="Arial"/>
          <w:sz w:val="2"/>
          <w:szCs w:val="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635</wp:posOffset>
            </wp:positionV>
            <wp:extent cx="3535680" cy="1143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535680" cy="11430"/>
                    </a:xfrm>
                    <a:prstGeom prst="rect">
                      <a:avLst/>
                    </a:prstGeom>
                    <a:noFill/>
                  </pic:spPr>
                </pic:pic>
              </a:graphicData>
            </a:graphic>
          </wp:anchor>
        </w:drawing>
        <w:drawing>
          <wp:anchor simplePos="0" relativeHeight="251657728" behindDoc="1" locked="0" layoutInCell="0" allowOverlap="1">
            <wp:simplePos x="0" y="0"/>
            <wp:positionH relativeFrom="column">
              <wp:posOffset>538480</wp:posOffset>
            </wp:positionH>
            <wp:positionV relativeFrom="paragraph">
              <wp:posOffset>168275</wp:posOffset>
            </wp:positionV>
            <wp:extent cx="4643120" cy="3683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67" w:name="page268"/>
    <w:bookmarkEnd w:id="267"/>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INFORMATION NOT REQUIRED IN PROSPECTUS</w:t>
      </w:r>
    </w:p>
    <w:p>
      <w:pPr>
        <w:spacing w:after="0" w:line="111"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Unless otherwise indicated, all references to “Alumis,” the “company,” “we,” “our,” “us” or similar terms refer to Alumis Inc.</w:t>
      </w:r>
    </w:p>
    <w:p>
      <w:pPr>
        <w:spacing w:after="0" w:line="10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Item 13. Other Expenses of Issuance and Distribution.</w:t>
      </w:r>
    </w:p>
    <w:p>
      <w:pPr>
        <w:spacing w:after="0" w:line="111"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The following table sets forth all expenses to be paid by us, other than underwriting discounts and commissions, in connection with this offering. All amounts shown are estimates except for the Securities and Exchange Commission (SEC) registration fee, the Financial Industry Regulatory Authority, Inc. (FINRA) filing fee and Nasdaq Global Market (Nasdaq) listing fee.</w:t>
      </w:r>
    </w:p>
    <w:p>
      <w:pPr>
        <w:sectPr>
          <w:pgSz w:w="11900" w:h="16838" w:orient="portrait"/>
          <w:cols w:equalWidth="0" w:num="1">
            <w:col w:w="9019"/>
          </w:cols>
          <w:pgMar w:left="1440" w:top="106" w:right="1440" w:bottom="1440" w:gutter="0" w:footer="0" w:header="0"/>
        </w:sectPr>
      </w:pPr>
    </w:p>
    <w:p>
      <w:pPr>
        <w:spacing w:after="0" w:line="12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6985</wp:posOffset>
            </wp:positionV>
            <wp:extent cx="3535680" cy="11620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535680" cy="116205"/>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SEC registration fee</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1104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535680" cy="11049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Nasdaq listing fee</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1104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535680" cy="11049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Legal fees and expenses</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13335</wp:posOffset>
            </wp:positionV>
            <wp:extent cx="3535680" cy="1104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535680" cy="11049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Transfer agent and registrar fees and expenses</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19685</wp:posOffset>
            </wp:positionV>
            <wp:extent cx="3535680" cy="1339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535680" cy="133985"/>
                    </a:xfrm>
                    <a:prstGeom prst="rect">
                      <a:avLst/>
                    </a:prstGeom>
                    <a:noFill/>
                  </pic:spPr>
                </pic:pic>
              </a:graphicData>
            </a:graphic>
          </wp:anchor>
        </w:drawing>
      </w:r>
    </w:p>
    <w:p>
      <w:pPr>
        <w:spacing w:after="0" w:line="4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Total</w:t>
      </w:r>
    </w:p>
    <w:p>
      <w:pPr>
        <w:spacing w:after="0" w:line="25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1"/>
          <w:szCs w:val="11"/>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tabs>
          <w:tab w:leader="none" w:pos="240" w:val="left"/>
          <w:tab w:leader="none" w:pos="680" w:val="left"/>
        </w:tabs>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ab/>
        <w:t>Amount</w:t>
      </w:r>
      <w:r>
        <w:rPr>
          <w:sz w:val="20"/>
          <w:szCs w:val="20"/>
          <w:color w:val="auto"/>
        </w:rPr>
        <w:tab/>
      </w:r>
      <w:r>
        <w:rPr>
          <w:rFonts w:ascii="Times New Roman" w:cs="Times New Roman" w:eastAsia="Times New Roman" w:hAnsi="Times New Roman"/>
          <w:sz w:val="20"/>
          <w:szCs w:val="20"/>
          <w:b w:val="1"/>
          <w:bCs w:val="1"/>
          <w:color w:val="auto"/>
          <w:vertAlign w:val="subscript"/>
        </w:rPr>
        <w:t>​</w:t>
      </w:r>
    </w:p>
    <w:p>
      <w:pPr>
        <w:spacing w:after="0" w:line="42"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2"/>
          <w:szCs w:val="12"/>
          <w:color w:val="auto"/>
        </w:rPr>
        <w:t>​ ​​$</w:t>
        <w:tab/>
        <w:t>53,927​</w:t>
      </w:r>
    </w:p>
    <w:p>
      <w:pPr>
        <w:spacing w:after="0" w:line="39"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2"/>
          <w:szCs w:val="12"/>
          <w:color w:val="auto"/>
        </w:rPr>
        <w:t>​ ​​ ​</w:t>
        <w:tab/>
        <w:t>55,303​</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 ​​ ​ 295,000​</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 ​​ ​ 189,000​</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 ​​ ​3,000,000​</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 ​​ ​1,340,000​</w:t>
      </w:r>
    </w:p>
    <w:p>
      <w:pPr>
        <w:spacing w:after="0" w:line="36" w:lineRule="exact"/>
        <w:rPr>
          <w:sz w:val="20"/>
          <w:szCs w:val="20"/>
          <w:color w:val="auto"/>
        </w:rPr>
      </w:pPr>
    </w:p>
    <w:p>
      <w:pPr>
        <w:ind w:left="40"/>
        <w:spacing w:after="0"/>
        <w:tabs>
          <w:tab w:leader="none" w:pos="420" w:val="left"/>
        </w:tabs>
        <w:rPr>
          <w:sz w:val="20"/>
          <w:szCs w:val="20"/>
          <w:color w:val="auto"/>
        </w:rPr>
      </w:pPr>
      <w:r>
        <w:rPr>
          <w:rFonts w:ascii="Times New Roman" w:cs="Times New Roman" w:eastAsia="Times New Roman" w:hAnsi="Times New Roman"/>
          <w:sz w:val="12"/>
          <w:szCs w:val="12"/>
          <w:color w:val="auto"/>
        </w:rPr>
        <w:t>​ ​​ ​</w:t>
      </w:r>
      <w:r>
        <w:rPr>
          <w:sz w:val="20"/>
          <w:szCs w:val="20"/>
          <w:color w:val="auto"/>
        </w:rPr>
        <w:tab/>
      </w:r>
      <w:r>
        <w:rPr>
          <w:rFonts w:ascii="Times New Roman" w:cs="Times New Roman" w:eastAsia="Times New Roman" w:hAnsi="Times New Roman"/>
          <w:sz w:val="12"/>
          <w:szCs w:val="12"/>
          <w:color w:val="auto"/>
        </w:rPr>
        <w:t>5,000​</w:t>
      </w:r>
    </w:p>
    <w:p>
      <w:pPr>
        <w:ind w:left="40"/>
        <w:spacing w:after="0" w:line="190" w:lineRule="auto"/>
        <w:tabs>
          <w:tab w:leader="none" w:pos="360" w:val="left"/>
        </w:tabs>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24"/>
          <w:szCs w:val="24"/>
          <w:u w:val="single" w:color="auto"/>
          <w:color w:val="auto"/>
          <w:vertAlign w:val="subscript"/>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w:t>
      </w:r>
      <w:r>
        <w:rPr>
          <w:sz w:val="20"/>
          <w:szCs w:val="20"/>
          <w:color w:val="auto"/>
        </w:rPr>
        <w:tab/>
      </w:r>
      <w:r>
        <w:rPr>
          <w:rFonts w:ascii="Times New Roman" w:cs="Times New Roman" w:eastAsia="Times New Roman" w:hAnsi="Times New Roman"/>
          <w:sz w:val="12"/>
          <w:szCs w:val="12"/>
          <w:u w:val="single" w:color="auto"/>
          <w:color w:val="auto"/>
        </w:rPr>
        <w:t>61,770</w:t>
      </w:r>
      <w:r>
        <w:rPr>
          <w:rFonts w:ascii="Times New Roman" w:cs="Times New Roman" w:eastAsia="Times New Roman" w:hAnsi="Times New Roman"/>
          <w:sz w:val="24"/>
          <w:szCs w:val="24"/>
          <w:color w:val="auto"/>
          <w:vertAlign w:val="subscript"/>
        </w:rPr>
        <w:t>​</w:t>
      </w:r>
    </w:p>
    <w:p>
      <w:pPr>
        <w:ind w:left="40"/>
        <w:spacing w:after="0" w:line="183" w:lineRule="auto"/>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24"/>
          <w:szCs w:val="24"/>
          <w:u w:val="single" w:color="auto"/>
          <w:color w:val="auto"/>
          <w:vertAlign w:val="subscript"/>
        </w:rPr>
        <w:t>​</w:t>
      </w:r>
      <w:r>
        <w:rPr>
          <w:rFonts w:ascii="Times New Roman" w:cs="Times New Roman" w:eastAsia="Times New Roman" w:hAnsi="Times New Roman"/>
          <w:sz w:val="12"/>
          <w:szCs w:val="12"/>
          <w:u w:val="single" w:color="auto"/>
          <w:color w:val="auto"/>
        </w:rPr>
        <w:t>$5,000,000</w:t>
      </w:r>
      <w:r>
        <w:rPr>
          <w:rFonts w:ascii="Times New Roman" w:cs="Times New Roman" w:eastAsia="Times New Roman" w:hAnsi="Times New Roman"/>
          <w:sz w:val="24"/>
          <w:szCs w:val="24"/>
          <w:color w:val="auto"/>
          <w:vertAlign w:val="subscript"/>
        </w:rPr>
        <w:t>​</w:t>
      </w:r>
    </w:p>
    <w:p>
      <w:pPr>
        <w:spacing w:after="0" w:line="437" w:lineRule="exact"/>
        <w:rPr>
          <w:sz w:val="20"/>
          <w:szCs w:val="20"/>
          <w:color w:val="auto"/>
        </w:rPr>
      </w:pPr>
    </w:p>
    <w:p>
      <w:pPr>
        <w:sectPr>
          <w:pgSz w:w="11900" w:h="16838" w:orient="portrait"/>
          <w:cols w:equalWidth="0" w:num="2">
            <w:col w:w="5860" w:space="720"/>
            <w:col w:w="2439"/>
          </w:cols>
          <w:pgMar w:left="1440" w:top="106" w:right="1440" w:bottom="1440" w:gutter="0" w:footer="0" w:header="0"/>
          <w:type w:val="continuous"/>
        </w:sectPr>
      </w:pPr>
    </w:p>
    <w:p>
      <w:pPr>
        <w:jc w:val="both"/>
        <w:ind w:left="1720" w:right="1739"/>
        <w:spacing w:after="0" w:line="259" w:lineRule="auto"/>
        <w:rPr>
          <w:sz w:val="20"/>
          <w:szCs w:val="20"/>
          <w:color w:val="auto"/>
        </w:rPr>
      </w:pPr>
      <w:r>
        <w:rPr>
          <w:rFonts w:ascii="Times New Roman" w:cs="Times New Roman" w:eastAsia="Times New Roman" w:hAnsi="Times New Roman"/>
          <w:sz w:val="12"/>
          <w:szCs w:val="12"/>
          <w:color w:val="auto"/>
        </w:rPr>
        <w:t>Section 145 of the Delaware General Corporation Law (DGCL) authorizes a court to award, or a corporation’s board of directors to grant, indemnity to directors and executive officers in terms sufficiently broad to permit such indemnification under certain circumstances for liabilities, including reimbursement for expenses incurred, arising under the Securities Act of 1933, as amended (the Securities Act). Our amended and restated certificate of incorporation that will be in effect immediately prior to the closing of this offering permits indemnification of our directors, officers, employees and other agents to the maximum extent permitted by the DGCL, and our amended and restated bylaws that will be in effect on the closing of this offering provide that we will indemnify our directors and executive officers and permit us to indemnify our employees and other agents, in each case to the maximum extent permitted by the DGCL.</w:t>
      </w:r>
    </w:p>
    <w:p>
      <w:pPr>
        <w:spacing w:after="0" w:line="79" w:lineRule="exact"/>
        <w:rPr>
          <w:sz w:val="20"/>
          <w:szCs w:val="20"/>
          <w:color w:val="auto"/>
        </w:rPr>
      </w:pPr>
    </w:p>
    <w:p>
      <w:pPr>
        <w:jc w:val="both"/>
        <w:ind w:left="1720" w:right="1739"/>
        <w:spacing w:after="0" w:line="260" w:lineRule="auto"/>
        <w:rPr>
          <w:sz w:val="20"/>
          <w:szCs w:val="20"/>
          <w:color w:val="auto"/>
        </w:rPr>
      </w:pPr>
      <w:r>
        <w:rPr>
          <w:rFonts w:ascii="Times New Roman" w:cs="Times New Roman" w:eastAsia="Times New Roman" w:hAnsi="Times New Roman"/>
          <w:sz w:val="12"/>
          <w:szCs w:val="12"/>
          <w:color w:val="auto"/>
        </w:rPr>
        <w:t>We have entered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Alumis, provided that such director or executive officer acted in good faith and in a manner that the director or executive officer reasonably believed to be in, or not opposed to, the best interest of Alumis.</w:t>
      </w:r>
    </w:p>
    <w:p>
      <w:pPr>
        <w:spacing w:after="0" w:line="80"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At present, there is no pending litigation or proceeding involving a director or executive officer of Alumis regarding which indemnification is sought, nor is the registrant aware of any threatened litigation that may result in claims for indemnification.</w:t>
      </w:r>
    </w:p>
    <w:p>
      <w:pPr>
        <w:spacing w:after="0" w:line="62"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71"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The underwriter is obligated, under certain circumstances, under the underwriting agreement to be filed as Exhibit 1.1 to this Registration Statement, to indemnify us and our officers and directors against liabilities under the Securities Act.</w:t>
      </w: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268" w:name="page269"/>
    <w:bookmarkEnd w:id="268"/>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Item 15. Recent Sales of Unregistered Securities.</w:t>
      </w:r>
    </w:p>
    <w:p>
      <w:pPr>
        <w:spacing w:after="0" w:line="111" w:lineRule="exact"/>
        <w:rPr>
          <w:sz w:val="20"/>
          <w:szCs w:val="20"/>
          <w:color w:val="auto"/>
        </w:rPr>
      </w:pPr>
    </w:p>
    <w:p>
      <w:pPr>
        <w:ind w:left="1720" w:right="1739"/>
        <w:spacing w:after="0" w:line="265" w:lineRule="auto"/>
        <w:rPr>
          <w:sz w:val="20"/>
          <w:szCs w:val="20"/>
          <w:color w:val="auto"/>
        </w:rPr>
      </w:pPr>
      <w:r>
        <w:rPr>
          <w:rFonts w:ascii="Times New Roman" w:cs="Times New Roman" w:eastAsia="Times New Roman" w:hAnsi="Times New Roman"/>
          <w:sz w:val="12"/>
          <w:szCs w:val="12"/>
          <w:color w:val="auto"/>
        </w:rPr>
        <w:t>Set forth below is information regarding unregistered securities issued by us since our inception in April 4, 2021.</w:t>
      </w:r>
    </w:p>
    <w:p>
      <w:pPr>
        <w:spacing w:after="0" w:line="28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Equity Plan-Related Issuances</w:t>
      </w:r>
    </w:p>
    <w:p>
      <w:pPr>
        <w:spacing w:after="0" w:line="111" w:lineRule="exact"/>
        <w:rPr>
          <w:sz w:val="20"/>
          <w:szCs w:val="20"/>
          <w:color w:val="auto"/>
        </w:rPr>
      </w:pPr>
    </w:p>
    <w:p>
      <w:pPr>
        <w:ind w:left="1720" w:right="1739"/>
        <w:spacing w:after="0" w:line="265" w:lineRule="auto"/>
        <w:rPr>
          <w:sz w:val="20"/>
          <w:szCs w:val="20"/>
          <w:color w:val="auto"/>
        </w:rPr>
      </w:pPr>
      <w:r>
        <w:rPr>
          <w:rFonts w:ascii="Times New Roman" w:cs="Times New Roman" w:eastAsia="Times New Roman" w:hAnsi="Times New Roman"/>
          <w:sz w:val="12"/>
          <w:szCs w:val="12"/>
          <w:color w:val="auto"/>
        </w:rPr>
        <w:t>From September 1, 2021 through the filing date of this registration statement, we granted to certain directors, officers, employees, consultants and other service providers options to purchase an aggregate of</w:t>
      </w:r>
    </w:p>
    <w:p>
      <w:pPr>
        <w:spacing w:after="0" w:line="1" w:lineRule="exact"/>
        <w:rPr>
          <w:sz w:val="20"/>
          <w:szCs w:val="20"/>
          <w:color w:val="auto"/>
        </w:rPr>
      </w:pPr>
    </w:p>
    <w:p>
      <w:pPr>
        <w:jc w:val="both"/>
        <w:ind w:left="1720" w:right="1739"/>
        <w:spacing w:after="0" w:line="262" w:lineRule="auto"/>
        <w:tabs>
          <w:tab w:leader="none" w:pos="1875"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8,169,050 shares of our Class A common stock under the 2021 Plan at exercise prices ranging from $3.83 to $17.44 per share and (ii) 1,880,680 shares of our Class A common stock under the 2024 POP at an exercise price of $10.19 per share.</w:t>
      </w:r>
    </w:p>
    <w:p>
      <w:pPr>
        <w:spacing w:after="0" w:line="12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i w:val="1"/>
          <w:iCs w:val="1"/>
          <w:color w:val="auto"/>
        </w:rPr>
        <w:t>Preferred Stock Issuances</w:t>
      </w:r>
    </w:p>
    <w:p>
      <w:pPr>
        <w:spacing w:after="0" w:line="102" w:lineRule="exact"/>
        <w:rPr>
          <w:sz w:val="20"/>
          <w:szCs w:val="20"/>
          <w:color w:val="auto"/>
        </w:rPr>
      </w:pPr>
    </w:p>
    <w:p>
      <w:pPr>
        <w:jc w:val="both"/>
        <w:ind w:left="1720" w:right="1739"/>
        <w:spacing w:after="0" w:line="283" w:lineRule="auto"/>
        <w:rPr>
          <w:sz w:val="20"/>
          <w:szCs w:val="20"/>
          <w:color w:val="auto"/>
        </w:rPr>
      </w:pPr>
      <w:r>
        <w:rPr>
          <w:rFonts w:ascii="Times New Roman" w:cs="Times New Roman" w:eastAsia="Times New Roman" w:hAnsi="Times New Roman"/>
          <w:sz w:val="12"/>
          <w:szCs w:val="12"/>
          <w:color w:val="auto"/>
        </w:rPr>
        <w:t>In February 2021, we issued and sold an aggregate of 10,500,000 shares of our Series Seed redeemable convertible preferred stock at a purchase price of $1.00 per share for an aggregate purchase price of $10,500,000.00.</w:t>
      </w:r>
    </w:p>
    <w:p>
      <w:pPr>
        <w:spacing w:after="0" w:line="215" w:lineRule="exact"/>
        <w:rPr>
          <w:sz w:val="20"/>
          <w:szCs w:val="20"/>
          <w:color w:val="auto"/>
        </w:rPr>
      </w:pPr>
    </w:p>
    <w:p>
      <w:pPr>
        <w:jc w:val="both"/>
        <w:ind w:left="1720" w:right="1739"/>
        <w:spacing w:after="0" w:line="291" w:lineRule="auto"/>
        <w:rPr>
          <w:sz w:val="20"/>
          <w:szCs w:val="20"/>
          <w:color w:val="auto"/>
        </w:rPr>
      </w:pPr>
      <w:r>
        <w:rPr>
          <w:rFonts w:ascii="Times New Roman" w:cs="Times New Roman" w:eastAsia="Times New Roman" w:hAnsi="Times New Roman"/>
          <w:sz w:val="12"/>
          <w:szCs w:val="12"/>
          <w:color w:val="auto"/>
        </w:rPr>
        <w:t>In March 2021, we issued and sold an aggregate of 7,500,000 shares of our Series A redeemable convertible preferred stock at a purchase price of $4.00 per share for an aggregate purchase price of $30,000,00.00.</w:t>
      </w:r>
    </w:p>
    <w:p>
      <w:pPr>
        <w:spacing w:after="0" w:line="59" w:lineRule="exact"/>
        <w:rPr>
          <w:sz w:val="20"/>
          <w:szCs w:val="20"/>
          <w:color w:val="auto"/>
        </w:rPr>
      </w:pPr>
    </w:p>
    <w:p>
      <w:pPr>
        <w:jc w:val="both"/>
        <w:ind w:left="1720" w:right="1739"/>
        <w:spacing w:after="0" w:line="262" w:lineRule="auto"/>
        <w:rPr>
          <w:sz w:val="20"/>
          <w:szCs w:val="20"/>
          <w:color w:val="auto"/>
        </w:rPr>
      </w:pPr>
      <w:r>
        <w:rPr>
          <w:rFonts w:ascii="Times New Roman" w:cs="Times New Roman" w:eastAsia="Times New Roman" w:hAnsi="Times New Roman"/>
          <w:sz w:val="12"/>
          <w:szCs w:val="12"/>
          <w:color w:val="auto"/>
        </w:rPr>
        <w:t>From December 2021 through January 2022, we sold an aggregate of 40,200,000 shares of our Series B redeemable convertible preferred stock at a purchase price of $5.00 per share. We also sold an aggregate of 9,760,088 shares of our Series B-1 redeemable convertible preferred stock upon the conversion of certain convertible promissory notes at a price of $4.00 per share. The aggregate purchase price for the Series B and Series B-1 redeemable convertible preferred shares was $240,040,352.00, $39,040,352.00 of which consisted of the conversion of outstanding convertible promissory notes.</w:t>
      </w:r>
    </w:p>
    <w:p>
      <w:pPr>
        <w:spacing w:after="0" w:line="67" w:lineRule="exact"/>
        <w:rPr>
          <w:sz w:val="20"/>
          <w:szCs w:val="20"/>
          <w:color w:val="auto"/>
        </w:rPr>
      </w:pPr>
    </w:p>
    <w:p>
      <w:pPr>
        <w:jc w:val="both"/>
        <w:ind w:left="1720" w:right="1739"/>
        <w:spacing w:after="0" w:line="265" w:lineRule="auto"/>
        <w:rPr>
          <w:sz w:val="20"/>
          <w:szCs w:val="20"/>
          <w:color w:val="auto"/>
        </w:rPr>
      </w:pPr>
      <w:r>
        <w:rPr>
          <w:rFonts w:ascii="Times New Roman" w:cs="Times New Roman" w:eastAsia="Times New Roman" w:hAnsi="Times New Roman"/>
          <w:sz w:val="12"/>
          <w:szCs w:val="12"/>
          <w:color w:val="auto"/>
        </w:rPr>
        <w:t>In May 2023 and October 2023, we sold an aggregate of 14,943,510 shares of our Series B-2 redeemable convertible preferred stock at a purchase price of $5.00 per share. We also sold an aggregate of 3,056,490 shares of our Series B-2A redeemable convertible preferred stock at a price of $5.00 per share. The aggregate purchase price for the Series B-2 and Series B-2A redeemable convertible preferred shares was $90,000,000.00.</w:t>
      </w:r>
    </w:p>
    <w:p>
      <w:pPr>
        <w:spacing w:after="0" w:line="224"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In March 2024, we sold an aggregate of 41,264,891 shares of our Series C redeemable convertible preferred stock at a purchase price of $3.13826 per share. The aggregate purchase price for the Series C redeemable convertible preferred shares was $129,499,956.96.</w:t>
      </w:r>
    </w:p>
    <w:p>
      <w:pPr>
        <w:spacing w:after="0" w:line="71" w:lineRule="exact"/>
        <w:rPr>
          <w:sz w:val="20"/>
          <w:szCs w:val="20"/>
          <w:color w:val="auto"/>
        </w:rPr>
      </w:pPr>
    </w:p>
    <w:p>
      <w:pPr>
        <w:jc w:val="both"/>
        <w:ind w:left="1720" w:right="1739"/>
        <w:spacing w:after="0" w:line="272" w:lineRule="auto"/>
        <w:rPr>
          <w:sz w:val="20"/>
          <w:szCs w:val="20"/>
          <w:color w:val="auto"/>
        </w:rPr>
      </w:pPr>
      <w:r>
        <w:rPr>
          <w:rFonts w:ascii="Times New Roman" w:cs="Times New Roman" w:eastAsia="Times New Roman" w:hAnsi="Times New Roman"/>
          <w:sz w:val="12"/>
          <w:szCs w:val="12"/>
          <w:color w:val="auto"/>
        </w:rPr>
        <w:t>In May 2024, we sold an aggregate of 41,264,892 shares of our Series C redeemable convertible preferred stock at a purchase price of $3.13826 per share. The aggregate purchase price for the Series C redeemable convertible preferred shares was $129,499,960.08.</w:t>
      </w:r>
    </w:p>
    <w:p>
      <w:pPr>
        <w:spacing w:after="0" w:line="62" w:lineRule="exact"/>
        <w:rPr>
          <w:sz w:val="20"/>
          <w:szCs w:val="20"/>
          <w:color w:val="auto"/>
        </w:rPr>
      </w:pPr>
    </w:p>
    <w:p>
      <w:pPr>
        <w:jc w:val="both"/>
        <w:ind w:left="1720" w:right="1739"/>
        <w:spacing w:after="0" w:line="258" w:lineRule="auto"/>
        <w:rPr>
          <w:sz w:val="20"/>
          <w:szCs w:val="20"/>
          <w:color w:val="auto"/>
        </w:rPr>
      </w:pPr>
      <w:r>
        <w:rPr>
          <w:rFonts w:ascii="Times New Roman" w:cs="Times New Roman" w:eastAsia="Times New Roman" w:hAnsi="Times New Roman"/>
          <w:sz w:val="12"/>
          <w:szCs w:val="12"/>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69" w:name="page270"/>
    <w:bookmarkEnd w:id="269"/>
    <w:p>
      <w:pPr>
        <w:ind w:left="86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Item 16. Exhibits and Financial Statement Schedules.</w:t>
      </w:r>
    </w:p>
    <w:p>
      <w:pPr>
        <w:spacing w:after="0" w:line="111" w:lineRule="exact"/>
        <w:rPr>
          <w:sz w:val="20"/>
          <w:szCs w:val="20"/>
          <w:color w:val="auto"/>
        </w:rPr>
      </w:pPr>
    </w:p>
    <w:p>
      <w:pPr>
        <w:ind w:left="1720"/>
        <w:spacing w:after="0"/>
        <w:tabs>
          <w:tab w:leader="none" w:pos="1940" w:val="left"/>
        </w:tabs>
        <w:rPr>
          <w:sz w:val="20"/>
          <w:szCs w:val="20"/>
          <w:color w:val="auto"/>
        </w:rPr>
      </w:pPr>
      <w:r>
        <w:rPr>
          <w:rFonts w:ascii="Times New Roman" w:cs="Times New Roman" w:eastAsia="Times New Roman" w:hAnsi="Times New Roman"/>
          <w:sz w:val="12"/>
          <w:szCs w:val="12"/>
          <w:color w:val="auto"/>
        </w:rPr>
        <w:t>(a)</w:t>
        <w:tab/>
        <w:t>Exhibits.</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4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2320" w:type="dxa"/>
            <w:vAlign w:val="bottom"/>
            <w:gridSpan w:val="14"/>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760" w:type="dxa"/>
            <w:vAlign w:val="bottom"/>
            <w:gridSpan w:val="11"/>
          </w:tcPr>
          <w:p>
            <w:pPr>
              <w:ind w:left="2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6"/>
        </w:trPr>
        <w:tc>
          <w:tcPr>
            <w:tcW w:w="340" w:type="dxa"/>
            <w:vAlign w:val="bottom"/>
            <w:tcBorders>
              <w:top w:val="single" w:sz="8" w:color="auto"/>
            </w:tcBorders>
          </w:tcPr>
          <w:p>
            <w:pPr>
              <w:ind w:left="60"/>
              <w:spacing w:after="0" w:line="136" w:lineRule="exact"/>
              <w:rPr>
                <w:sz w:val="20"/>
                <w:szCs w:val="20"/>
                <w:color w:val="auto"/>
              </w:rPr>
            </w:pPr>
            <w:r>
              <w:rPr>
                <w:rFonts w:ascii="Times New Roman" w:cs="Times New Roman" w:eastAsia="Times New Roman" w:hAnsi="Times New Roman"/>
                <w:sz w:val="12"/>
                <w:szCs w:val="12"/>
                <w:color w:val="auto"/>
              </w:rPr>
              <w:t>1.1</w:t>
            </w:r>
          </w:p>
        </w:tc>
        <w:tc>
          <w:tcPr>
            <w:tcW w:w="140" w:type="dxa"/>
            <w:vAlign w:val="bottom"/>
          </w:tcPr>
          <w:p>
            <w:pPr>
              <w:spacing w:after="0"/>
              <w:rPr>
                <w:sz w:val="11"/>
                <w:szCs w:val="11"/>
                <w:color w:val="auto"/>
              </w:rPr>
            </w:pPr>
          </w:p>
        </w:tc>
        <w:tc>
          <w:tcPr>
            <w:tcW w:w="6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w:t>
            </w:r>
          </w:p>
        </w:tc>
        <w:tc>
          <w:tcPr>
            <w:tcW w:w="2260" w:type="dxa"/>
            <w:vAlign w:val="bottom"/>
            <w:tcBorders>
              <w:top w:val="single" w:sz="8" w:color="auto"/>
            </w:tcBorders>
            <w:gridSpan w:val="13"/>
          </w:tcPr>
          <w:p>
            <w:pPr>
              <w:ind w:left="40"/>
              <w:spacing w:after="0" w:line="136" w:lineRule="exact"/>
              <w:rPr>
                <w:sz w:val="20"/>
                <w:szCs w:val="20"/>
                <w:color w:val="auto"/>
              </w:rPr>
            </w:pPr>
            <w:r>
              <w:rPr>
                <w:rFonts w:ascii="Times New Roman" w:cs="Times New Roman" w:eastAsia="Times New Roman" w:hAnsi="Times New Roman"/>
                <w:sz w:val="12"/>
                <w:szCs w:val="12"/>
                <w:color w:val="0000EE"/>
              </w:rPr>
              <w:t>Form of Underwriting Agreement.</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3.1^</w:t>
            </w:r>
          </w:p>
        </w:tc>
        <w:tc>
          <w:tcPr>
            <w:tcW w:w="1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tcBorders>
              <w:top w:val="single" w:sz="8" w:color="0000EE"/>
            </w:tcBorders>
            <w:gridSpan w:val="8"/>
          </w:tcPr>
          <w:p>
            <w:pPr>
              <w:spacing w:after="0"/>
              <w:rPr>
                <w:rFonts w:ascii="Times New Roman" w:cs="Times New Roman" w:eastAsia="Times New Roman" w:hAnsi="Times New Roman"/>
                <w:sz w:val="12"/>
                <w:szCs w:val="12"/>
                <w:color w:val="0000EE"/>
              </w:rPr>
            </w:pPr>
            <w:hyperlink r:id="rId651">
              <w:r>
                <w:rPr>
                  <w:rFonts w:ascii="Times New Roman" w:cs="Times New Roman" w:eastAsia="Times New Roman" w:hAnsi="Times New Roman"/>
                  <w:sz w:val="12"/>
                  <w:szCs w:val="12"/>
                  <w:color w:val="0000EE"/>
                </w:rPr>
                <w:t>Amended and Restated Certificate</w:t>
              </w:r>
            </w:hyperlink>
          </w:p>
        </w:tc>
        <w:tc>
          <w:tcPr>
            <w:tcW w:w="3260" w:type="dxa"/>
            <w:vAlign w:val="bottom"/>
            <w:gridSpan w:val="16"/>
          </w:tcPr>
          <w:p>
            <w:pPr>
              <w:ind w:left="20"/>
              <w:spacing w:after="0"/>
              <w:rPr>
                <w:rFonts w:ascii="Times New Roman" w:cs="Times New Roman" w:eastAsia="Times New Roman" w:hAnsi="Times New Roman"/>
                <w:sz w:val="12"/>
                <w:szCs w:val="12"/>
                <w:color w:val="0000EE"/>
              </w:rPr>
            </w:pPr>
            <w:hyperlink r:id="rId651">
              <w:r>
                <w:rPr>
                  <w:rFonts w:ascii="Times New Roman" w:cs="Times New Roman" w:eastAsia="Times New Roman" w:hAnsi="Times New Roman"/>
                  <w:sz w:val="12"/>
                  <w:szCs w:val="12"/>
                  <w:color w:val="0000EE"/>
                </w:rPr>
                <w:t>of Incorporation of the Registrant, as currently in effect.</w:t>
              </w:r>
            </w:hyperlink>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3.1.1</w:t>
            </w:r>
          </w:p>
        </w:tc>
        <w:tc>
          <w:tcPr>
            <w:tcW w:w="140" w:type="dxa"/>
            <w:vAlign w:val="bottom"/>
          </w:tcPr>
          <w:p>
            <w:pPr>
              <w:spacing w:after="0"/>
              <w:rPr>
                <w:sz w:val="12"/>
                <w:szCs w:val="12"/>
                <w:color w:val="auto"/>
              </w:rPr>
            </w:pPr>
          </w:p>
        </w:tc>
        <w:tc>
          <w:tcPr>
            <w:tcW w:w="5120" w:type="dxa"/>
            <w:vAlign w:val="bottom"/>
            <w:gridSpan w:val="26"/>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0000EE"/>
              </w:rPr>
              <w:t>Certificate of Amendment to the Amended and Restated Certificate of Incorporation of the</w:t>
            </w: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60" w:type="dxa"/>
            <w:vAlign w:val="bottom"/>
            <w:tcBorders>
              <w:top w:val="single" w:sz="8" w:color="0000EE"/>
            </w:tcBorders>
            <w:gridSpan w:val="13"/>
          </w:tcPr>
          <w:p>
            <w:pPr>
              <w:spacing w:after="0" w:line="127" w:lineRule="exact"/>
              <w:rPr>
                <w:sz w:val="20"/>
                <w:szCs w:val="20"/>
                <w:color w:val="auto"/>
              </w:rPr>
            </w:pPr>
            <w:r>
              <w:rPr>
                <w:rFonts w:ascii="Times New Roman" w:cs="Times New Roman" w:eastAsia="Times New Roman" w:hAnsi="Times New Roman"/>
                <w:sz w:val="12"/>
                <w:szCs w:val="12"/>
                <w:color w:val="0000EE"/>
              </w:rPr>
              <w:t>Registrant, as currently in effect.</w:t>
            </w:r>
          </w:p>
        </w:tc>
        <w:tc>
          <w:tcPr>
            <w:tcW w:w="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1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3.2</w:t>
            </w:r>
          </w:p>
        </w:tc>
        <w:tc>
          <w:tcPr>
            <w:tcW w:w="140" w:type="dxa"/>
            <w:vAlign w:val="bottom"/>
          </w:tcPr>
          <w:p>
            <w:pPr>
              <w:spacing w:after="0"/>
              <w:rPr>
                <w:sz w:val="14"/>
                <w:szCs w:val="14"/>
                <w:color w:val="auto"/>
              </w:rPr>
            </w:pPr>
          </w:p>
        </w:tc>
        <w:tc>
          <w:tcPr>
            <w:tcW w:w="5120" w:type="dxa"/>
            <w:vAlign w:val="bottom"/>
            <w:gridSpan w:val="26"/>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0000EE"/>
              </w:rPr>
              <w:t>Form of Amended and Restated Certificate of Incorporation of the Registrant, to be in effect</w:t>
            </w: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20" w:type="dxa"/>
            <w:vAlign w:val="bottom"/>
            <w:tcBorders>
              <w:top w:val="single" w:sz="8" w:color="0000EE"/>
            </w:tcBorders>
            <w:gridSpan w:val="24"/>
          </w:tcPr>
          <w:p>
            <w:pPr>
              <w:spacing w:after="0" w:line="127" w:lineRule="exact"/>
              <w:rPr>
                <w:sz w:val="20"/>
                <w:szCs w:val="20"/>
                <w:color w:val="auto"/>
              </w:rPr>
            </w:pPr>
            <w:r>
              <w:rPr>
                <w:rFonts w:ascii="Times New Roman" w:cs="Times New Roman" w:eastAsia="Times New Roman" w:hAnsi="Times New Roman"/>
                <w:sz w:val="12"/>
                <w:szCs w:val="12"/>
                <w:color w:val="0000EE"/>
              </w:rPr>
              <w:t>immediately after the closing of the offering.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3.3^</w:t>
            </w:r>
          </w:p>
        </w:tc>
        <w:tc>
          <w:tcPr>
            <w:tcW w:w="140" w:type="dxa"/>
            <w:vAlign w:val="bottom"/>
          </w:tcPr>
          <w:p>
            <w:pPr>
              <w:spacing w:after="0"/>
              <w:rPr>
                <w:sz w:val="14"/>
                <w:szCs w:val="14"/>
                <w:color w:val="auto"/>
              </w:rPr>
            </w:pPr>
          </w:p>
        </w:tc>
        <w:tc>
          <w:tcPr>
            <w:tcW w:w="5080" w:type="dxa"/>
            <w:vAlign w:val="bottom"/>
            <w:gridSpan w:val="25"/>
          </w:tcPr>
          <w:p>
            <w:pPr>
              <w:spacing w:after="0" w:line="173" w:lineRule="exact"/>
              <w:rPr>
                <w:rFonts w:ascii="Times New Roman" w:cs="Times New Roman" w:eastAsia="Times New Roman" w:hAnsi="Times New Roman"/>
                <w:sz w:val="10"/>
                <w:szCs w:val="10"/>
                <w:color w:val="0000EE"/>
              </w:rPr>
            </w:pPr>
            <w:hyperlink r:id="rId652"/>
            <w:r>
              <w:rPr>
                <w:rFonts w:ascii="Times New Roman" w:cs="Times New Roman" w:eastAsia="Times New Roman" w:hAnsi="Times New Roman"/>
                <w:sz w:val="19"/>
                <w:szCs w:val="19"/>
                <w:color w:val="000000"/>
                <w:vertAlign w:val="superscript"/>
              </w:rPr>
              <w:t>​​</w:t>
            </w:r>
            <w:hyperlink r:id="rId652">
              <w:r>
                <w:rPr>
                  <w:rFonts w:ascii="Times New Roman" w:cs="Times New Roman" w:eastAsia="Times New Roman" w:hAnsi="Times New Roman"/>
                  <w:sz w:val="10"/>
                  <w:szCs w:val="10"/>
                  <w:color w:val="0000EE"/>
                </w:rPr>
                <w:t>Bylaws of the Registrant, as currently in effect.</w:t>
              </w:r>
            </w:hyperlink>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3.4</w:t>
            </w:r>
          </w:p>
        </w:tc>
        <w:tc>
          <w:tcPr>
            <w:tcW w:w="140" w:type="dxa"/>
            <w:vAlign w:val="bottom"/>
          </w:tcPr>
          <w:p>
            <w:pPr>
              <w:spacing w:after="0"/>
              <w:rPr>
                <w:sz w:val="12"/>
                <w:szCs w:val="12"/>
                <w:color w:val="auto"/>
              </w:rPr>
            </w:pPr>
          </w:p>
        </w:tc>
        <w:tc>
          <w:tcPr>
            <w:tcW w:w="5120" w:type="dxa"/>
            <w:vAlign w:val="bottom"/>
            <w:gridSpan w:val="26"/>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0000EE"/>
              </w:rPr>
              <w:t>Form of Amended and Restated Bylaws of the Registrant, to be in effect on the closing of the</w:t>
            </w: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60" w:type="dxa"/>
            <w:vAlign w:val="bottom"/>
            <w:tcBorders>
              <w:top w:val="single" w:sz="8" w:color="0000EE"/>
            </w:tcBorders>
            <w:gridSpan w:val="13"/>
          </w:tcPr>
          <w:p>
            <w:pPr>
              <w:spacing w:after="0" w:line="127" w:lineRule="exact"/>
              <w:rPr>
                <w:sz w:val="20"/>
                <w:szCs w:val="20"/>
                <w:color w:val="auto"/>
              </w:rPr>
            </w:pPr>
            <w:r>
              <w:rPr>
                <w:rFonts w:ascii="Times New Roman" w:cs="Times New Roman" w:eastAsia="Times New Roman" w:hAnsi="Times New Roman"/>
                <w:sz w:val="12"/>
                <w:szCs w:val="12"/>
                <w:color w:val="0000EE"/>
              </w:rPr>
              <w:t>offering.</w:t>
            </w:r>
          </w:p>
        </w:tc>
        <w:tc>
          <w:tcPr>
            <w:tcW w:w="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1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4.1</w:t>
            </w:r>
          </w:p>
        </w:tc>
        <w:tc>
          <w:tcPr>
            <w:tcW w:w="140" w:type="dxa"/>
            <w:vAlign w:val="bottom"/>
          </w:tcPr>
          <w:p>
            <w:pPr>
              <w:spacing w:after="0"/>
              <w:rPr>
                <w:sz w:val="14"/>
                <w:szCs w:val="14"/>
                <w:color w:val="auto"/>
              </w:rPr>
            </w:pPr>
          </w:p>
        </w:tc>
        <w:tc>
          <w:tcPr>
            <w:tcW w:w="2320" w:type="dxa"/>
            <w:vAlign w:val="bottom"/>
            <w:gridSpan w:val="14"/>
          </w:tcPr>
          <w:p>
            <w:pPr>
              <w:spacing w:after="0" w:line="173" w:lineRule="exact"/>
              <w:rPr>
                <w:sz w:val="20"/>
                <w:szCs w:val="20"/>
                <w:color w:val="auto"/>
              </w:rPr>
            </w:pPr>
            <w:r>
              <w:rPr>
                <w:rFonts w:ascii="Times New Roman" w:cs="Times New Roman" w:eastAsia="Times New Roman" w:hAnsi="Times New Roman"/>
                <w:sz w:val="19"/>
                <w:szCs w:val="19"/>
                <w:color w:val="000000"/>
                <w:vertAlign w:val="superscript"/>
              </w:rPr>
              <w:t>​​</w:t>
            </w:r>
            <w:r>
              <w:rPr>
                <w:rFonts w:ascii="Times New Roman" w:cs="Times New Roman" w:eastAsia="Times New Roman" w:hAnsi="Times New Roman"/>
                <w:sz w:val="10"/>
                <w:szCs w:val="10"/>
                <w:color w:val="0000EE"/>
              </w:rPr>
              <w:t>Form of Common Stock Certificate.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4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97"/>
              </w:rPr>
              <w:t>4.2*^</w:t>
            </w:r>
          </w:p>
        </w:tc>
        <w:tc>
          <w:tcPr>
            <w:tcW w:w="140" w:type="dxa"/>
            <w:vAlign w:val="bottom"/>
          </w:tcPr>
          <w:p>
            <w:pPr>
              <w:spacing w:after="0"/>
              <w:rPr>
                <w:sz w:val="12"/>
                <w:szCs w:val="12"/>
                <w:color w:val="auto"/>
              </w:rPr>
            </w:pPr>
          </w:p>
        </w:tc>
        <w:tc>
          <w:tcPr>
            <w:tcW w:w="5120" w:type="dxa"/>
            <w:vAlign w:val="bottom"/>
            <w:gridSpan w:val="26"/>
          </w:tcPr>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hyperlink r:id="rId653">
              <w:r>
                <w:rPr>
                  <w:rFonts w:ascii="Times New Roman" w:cs="Times New Roman" w:eastAsia="Times New Roman" w:hAnsi="Times New Roman"/>
                  <w:sz w:val="12"/>
                  <w:szCs w:val="12"/>
                  <w:color w:val="0000EE"/>
                </w:rPr>
                <w:t>Amended and Restated Investors’ Rights Agreement, by and among the Registrant and certain of</w:t>
              </w:r>
            </w:hyperlink>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60" w:type="dxa"/>
            <w:vAlign w:val="bottom"/>
            <w:tcBorders>
              <w:top w:val="single" w:sz="8" w:color="0000EE"/>
              <w:bottom w:val="single" w:sz="8" w:color="0000EE"/>
            </w:tcBorders>
            <w:gridSpan w:val="10"/>
          </w:tcPr>
          <w:p>
            <w:pPr>
              <w:spacing w:after="0" w:line="127" w:lineRule="exact"/>
              <w:rPr>
                <w:rFonts w:ascii="Times New Roman" w:cs="Times New Roman" w:eastAsia="Times New Roman" w:hAnsi="Times New Roman"/>
                <w:sz w:val="12"/>
                <w:szCs w:val="12"/>
                <w:color w:val="0000EE"/>
              </w:rPr>
            </w:pPr>
            <w:hyperlink r:id="rId653">
              <w:r>
                <w:rPr>
                  <w:rFonts w:ascii="Times New Roman" w:cs="Times New Roman" w:eastAsia="Times New Roman" w:hAnsi="Times New Roman"/>
                  <w:sz w:val="12"/>
                  <w:szCs w:val="12"/>
                  <w:color w:val="0000EE"/>
                </w:rPr>
                <w:t>its stockholders, dated March 4, 2024.</w:t>
              </w:r>
            </w:hyperlink>
          </w:p>
        </w:tc>
        <w:tc>
          <w:tcPr>
            <w:tcW w:w="300" w:type="dxa"/>
            <w:vAlign w:val="bottom"/>
            <w:tcBorders>
              <w:top w:val="single" w:sz="8" w:color="0000EE"/>
            </w:tcBorders>
            <w:gridSpan w:val="3"/>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1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5.1</w:t>
            </w:r>
          </w:p>
        </w:tc>
        <w:tc>
          <w:tcPr>
            <w:tcW w:w="140" w:type="dxa"/>
            <w:vAlign w:val="bottom"/>
          </w:tcPr>
          <w:p>
            <w:pPr>
              <w:spacing w:after="0"/>
              <w:rPr>
                <w:sz w:val="14"/>
                <w:szCs w:val="14"/>
                <w:color w:val="auto"/>
              </w:rPr>
            </w:pPr>
          </w:p>
        </w:tc>
        <w:tc>
          <w:tcPr>
            <w:tcW w:w="2320" w:type="dxa"/>
            <w:vAlign w:val="bottom"/>
            <w:gridSpan w:val="14"/>
          </w:tcPr>
          <w:p>
            <w:pPr>
              <w:spacing w:after="0" w:line="173" w:lineRule="exact"/>
              <w:rPr>
                <w:sz w:val="20"/>
                <w:szCs w:val="20"/>
                <w:color w:val="auto"/>
              </w:rPr>
            </w:pPr>
            <w:r>
              <w:rPr>
                <w:rFonts w:ascii="Times New Roman" w:cs="Times New Roman" w:eastAsia="Times New Roman" w:hAnsi="Times New Roman"/>
                <w:sz w:val="19"/>
                <w:szCs w:val="19"/>
                <w:color w:val="000000"/>
                <w:vertAlign w:val="superscript"/>
              </w:rPr>
              <w:t>​​</w:t>
            </w:r>
            <w:r>
              <w:rPr>
                <w:rFonts w:ascii="Times New Roman" w:cs="Times New Roman" w:eastAsia="Times New Roman" w:hAnsi="Times New Roman"/>
                <w:sz w:val="10"/>
                <w:szCs w:val="10"/>
                <w:color w:val="0000EE"/>
              </w:rPr>
              <w:t>Opinion of Cooley LLP.</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w w:val="97"/>
              </w:rPr>
              <w:t>10.1#^</w:t>
            </w:r>
          </w:p>
        </w:tc>
        <w:tc>
          <w:tcPr>
            <w:tcW w:w="1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Borders>
              <w:top w:val="single" w:sz="8" w:color="0000EE"/>
            </w:tcBorders>
            <w:gridSpan w:val="6"/>
          </w:tcPr>
          <w:p>
            <w:pPr>
              <w:spacing w:after="0"/>
              <w:rPr>
                <w:rFonts w:ascii="Times New Roman" w:cs="Times New Roman" w:eastAsia="Times New Roman" w:hAnsi="Times New Roman"/>
                <w:sz w:val="12"/>
                <w:szCs w:val="12"/>
                <w:color w:val="0000EE"/>
              </w:rPr>
            </w:pPr>
            <w:hyperlink r:id="rId654">
              <w:r>
                <w:rPr>
                  <w:rFonts w:ascii="Times New Roman" w:cs="Times New Roman" w:eastAsia="Times New Roman" w:hAnsi="Times New Roman"/>
                  <w:sz w:val="12"/>
                  <w:szCs w:val="12"/>
                  <w:color w:val="0000EE"/>
                </w:rPr>
                <w:t>Alumis Inc. 2021 Stock</w:t>
              </w:r>
            </w:hyperlink>
          </w:p>
        </w:tc>
        <w:tc>
          <w:tcPr>
            <w:tcW w:w="1020" w:type="dxa"/>
            <w:vAlign w:val="bottom"/>
            <w:gridSpan w:val="7"/>
          </w:tcPr>
          <w:p>
            <w:pPr>
              <w:spacing w:after="0"/>
              <w:rPr>
                <w:rFonts w:ascii="Times New Roman" w:cs="Times New Roman" w:eastAsia="Times New Roman" w:hAnsi="Times New Roman"/>
                <w:sz w:val="12"/>
                <w:szCs w:val="12"/>
                <w:color w:val="0000EE"/>
              </w:rPr>
            </w:pPr>
            <w:hyperlink r:id="rId654">
              <w:r>
                <w:rPr>
                  <w:rFonts w:ascii="Times New Roman" w:cs="Times New Roman" w:eastAsia="Times New Roman" w:hAnsi="Times New Roman"/>
                  <w:sz w:val="12"/>
                  <w:szCs w:val="12"/>
                  <w:color w:val="0000EE"/>
                </w:rPr>
                <w:t>Plan, as amended.</w:t>
              </w:r>
            </w:hyperlink>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w w:val="97"/>
              </w:rPr>
              <w:t>10.2#^</w:t>
            </w:r>
          </w:p>
        </w:tc>
        <w:tc>
          <w:tcPr>
            <w:tcW w:w="1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160" w:type="dxa"/>
            <w:vAlign w:val="bottom"/>
            <w:tcBorders>
              <w:top w:val="single" w:sz="8" w:color="0000EE"/>
            </w:tcBorders>
            <w:gridSpan w:val="12"/>
          </w:tcPr>
          <w:p>
            <w:pPr>
              <w:spacing w:after="0"/>
              <w:rPr>
                <w:rFonts w:ascii="Times New Roman" w:cs="Times New Roman" w:eastAsia="Times New Roman" w:hAnsi="Times New Roman"/>
                <w:sz w:val="12"/>
                <w:szCs w:val="12"/>
                <w:color w:val="0000EE"/>
              </w:rPr>
            </w:pPr>
            <w:hyperlink r:id="rId655">
              <w:r>
                <w:rPr>
                  <w:rFonts w:ascii="Times New Roman" w:cs="Times New Roman" w:eastAsia="Times New Roman" w:hAnsi="Times New Roman"/>
                  <w:sz w:val="12"/>
                  <w:szCs w:val="12"/>
                  <w:color w:val="0000EE"/>
                </w:rPr>
                <w:t>Forms of Stock Option Grant Notice under</w:t>
              </w:r>
            </w:hyperlink>
          </w:p>
        </w:tc>
        <w:tc>
          <w:tcPr>
            <w:tcW w:w="2860" w:type="dxa"/>
            <w:vAlign w:val="bottom"/>
            <w:gridSpan w:val="12"/>
          </w:tcPr>
          <w:p>
            <w:pPr>
              <w:ind w:left="60"/>
              <w:spacing w:after="0"/>
              <w:rPr>
                <w:rFonts w:ascii="Times New Roman" w:cs="Times New Roman" w:eastAsia="Times New Roman" w:hAnsi="Times New Roman"/>
                <w:sz w:val="12"/>
                <w:szCs w:val="12"/>
                <w:color w:val="0000EE"/>
              </w:rPr>
            </w:pPr>
            <w:hyperlink r:id="rId655">
              <w:r>
                <w:rPr>
                  <w:rFonts w:ascii="Times New Roman" w:cs="Times New Roman" w:eastAsia="Times New Roman" w:hAnsi="Times New Roman"/>
                  <w:sz w:val="12"/>
                  <w:szCs w:val="12"/>
                  <w:color w:val="0000EE"/>
                </w:rPr>
                <w:t>Alumis Inc. 2021 Stock Plan, as amended.</w:t>
              </w:r>
            </w:hyperlink>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10.3#</w:t>
            </w:r>
          </w:p>
        </w:tc>
        <w:tc>
          <w:tcPr>
            <w:tcW w:w="1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26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2"/>
                <w:szCs w:val="12"/>
                <w:color w:val="0000EE"/>
              </w:rPr>
              <w:t>Alumis Inc. 2024 Equity Incentive Plan.</w:t>
            </w:r>
          </w:p>
        </w:tc>
        <w:tc>
          <w:tcPr>
            <w:tcW w:w="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760" w:type="dxa"/>
            <w:vAlign w:val="bottom"/>
            <w:tcBorders>
              <w:top w:val="single" w:sz="8" w:color="0000EE"/>
            </w:tcBorders>
          </w:tcPr>
          <w:p>
            <w:pPr>
              <w:spacing w:after="0"/>
              <w:rPr>
                <w:sz w:val="13"/>
                <w:szCs w:val="13"/>
                <w:color w:val="auto"/>
              </w:rPr>
            </w:pPr>
          </w:p>
        </w:tc>
        <w:tc>
          <w:tcPr>
            <w:tcW w:w="110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40" w:type="dxa"/>
            <w:vAlign w:val="bottom"/>
          </w:tcPr>
          <w:p>
            <w:pPr>
              <w:spacing w:after="0"/>
              <w:rPr>
                <w:sz w:val="12"/>
                <w:szCs w:val="12"/>
                <w:color w:val="auto"/>
              </w:rPr>
            </w:pPr>
          </w:p>
        </w:tc>
        <w:tc>
          <w:tcPr>
            <w:tcW w:w="5120" w:type="dxa"/>
            <w:vAlign w:val="bottom"/>
            <w:gridSpan w:val="26"/>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0000EE"/>
              </w:rPr>
              <w:t>Forms of Stock Option Grant Notice, Stock Option Agreement and Notice of Exercise under the</w:t>
            </w: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60" w:type="dxa"/>
            <w:vAlign w:val="bottom"/>
            <w:tcBorders>
              <w:top w:val="single" w:sz="8" w:color="0000EE"/>
            </w:tcBorders>
            <w:gridSpan w:val="13"/>
          </w:tcPr>
          <w:p>
            <w:pPr>
              <w:spacing w:after="0" w:line="127" w:lineRule="exact"/>
              <w:rPr>
                <w:sz w:val="20"/>
                <w:szCs w:val="20"/>
                <w:color w:val="auto"/>
              </w:rPr>
            </w:pPr>
            <w:r>
              <w:rPr>
                <w:rFonts w:ascii="Times New Roman" w:cs="Times New Roman" w:eastAsia="Times New Roman" w:hAnsi="Times New Roman"/>
                <w:sz w:val="12"/>
                <w:szCs w:val="12"/>
                <w:color w:val="0000EE"/>
              </w:rPr>
              <w:t>Alumis Inc. 2024 Equity Incentive Plan.</w:t>
            </w:r>
          </w:p>
        </w:tc>
        <w:tc>
          <w:tcPr>
            <w:tcW w:w="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1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10.5#</w:t>
            </w:r>
          </w:p>
        </w:tc>
        <w:tc>
          <w:tcPr>
            <w:tcW w:w="140" w:type="dxa"/>
            <w:vAlign w:val="bottom"/>
          </w:tcPr>
          <w:p>
            <w:pPr>
              <w:spacing w:after="0"/>
              <w:rPr>
                <w:sz w:val="14"/>
                <w:szCs w:val="14"/>
                <w:color w:val="auto"/>
              </w:rPr>
            </w:pPr>
          </w:p>
        </w:tc>
        <w:tc>
          <w:tcPr>
            <w:tcW w:w="5120" w:type="dxa"/>
            <w:vAlign w:val="bottom"/>
            <w:gridSpan w:val="26"/>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0000EE"/>
              </w:rPr>
              <w:t>Forms of Restricted Stock Unit Grant Notice and Award Agreement under the Alumis Inc. 2024</w:t>
            </w: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Borders>
              <w:top w:val="single" w:sz="8" w:color="0000EE"/>
              <w:bottom w:val="single" w:sz="8" w:color="0000EE"/>
            </w:tcBorders>
            <w:gridSpan w:val="5"/>
          </w:tcPr>
          <w:p>
            <w:pPr>
              <w:spacing w:after="0" w:line="127" w:lineRule="exact"/>
              <w:rPr>
                <w:sz w:val="20"/>
                <w:szCs w:val="20"/>
                <w:color w:val="auto"/>
              </w:rPr>
            </w:pPr>
            <w:r>
              <w:rPr>
                <w:rFonts w:ascii="Times New Roman" w:cs="Times New Roman" w:eastAsia="Times New Roman" w:hAnsi="Times New Roman"/>
                <w:sz w:val="12"/>
                <w:szCs w:val="12"/>
                <w:color w:val="0000EE"/>
              </w:rPr>
              <w:t>Equity Incentive Plan.</w:t>
            </w:r>
          </w:p>
        </w:tc>
        <w:tc>
          <w:tcPr>
            <w:tcW w:w="1100" w:type="dxa"/>
            <w:vAlign w:val="bottom"/>
            <w:tcBorders>
              <w:top w:val="single" w:sz="8" w:color="0000EE"/>
            </w:tcBorders>
            <w:gridSpan w:val="8"/>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1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w w:val="97"/>
              </w:rPr>
              <w:t>10.6#^</w:t>
            </w:r>
          </w:p>
        </w:tc>
        <w:tc>
          <w:tcPr>
            <w:tcW w:w="140" w:type="dxa"/>
            <w:vAlign w:val="bottom"/>
          </w:tcPr>
          <w:p>
            <w:pPr>
              <w:spacing w:after="0"/>
              <w:rPr>
                <w:sz w:val="14"/>
                <w:szCs w:val="14"/>
                <w:color w:val="auto"/>
              </w:rPr>
            </w:pPr>
          </w:p>
        </w:tc>
        <w:tc>
          <w:tcPr>
            <w:tcW w:w="2320" w:type="dxa"/>
            <w:vAlign w:val="bottom"/>
            <w:gridSpan w:val="14"/>
          </w:tcPr>
          <w:p>
            <w:pPr>
              <w:spacing w:after="0" w:line="173" w:lineRule="exact"/>
              <w:rPr>
                <w:rFonts w:ascii="Times New Roman" w:cs="Times New Roman" w:eastAsia="Times New Roman" w:hAnsi="Times New Roman"/>
                <w:sz w:val="10"/>
                <w:szCs w:val="10"/>
                <w:color w:val="0000EE"/>
              </w:rPr>
            </w:pPr>
            <w:hyperlink r:id="rId656"/>
            <w:r>
              <w:rPr>
                <w:rFonts w:ascii="Times New Roman" w:cs="Times New Roman" w:eastAsia="Times New Roman" w:hAnsi="Times New Roman"/>
                <w:sz w:val="19"/>
                <w:szCs w:val="19"/>
                <w:color w:val="000000"/>
                <w:vertAlign w:val="superscript"/>
              </w:rPr>
              <w:t>​​</w:t>
            </w:r>
            <w:hyperlink r:id="rId656">
              <w:r>
                <w:rPr>
                  <w:rFonts w:ascii="Times New Roman" w:cs="Times New Roman" w:eastAsia="Times New Roman" w:hAnsi="Times New Roman"/>
                  <w:sz w:val="10"/>
                  <w:szCs w:val="10"/>
                  <w:color w:val="0000EE"/>
                </w:rPr>
                <w:t>Alumis Inc. 2024 Performance Option Plan.</w:t>
              </w:r>
            </w:hyperlink>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w w:val="97"/>
              </w:rPr>
              <w:t>10.7#^</w:t>
            </w:r>
          </w:p>
        </w:tc>
        <w:tc>
          <w:tcPr>
            <w:tcW w:w="140" w:type="dxa"/>
            <w:vAlign w:val="bottom"/>
          </w:tcPr>
          <w:p>
            <w:pPr>
              <w:spacing w:after="0"/>
              <w:rPr>
                <w:sz w:val="12"/>
                <w:szCs w:val="12"/>
                <w:color w:val="auto"/>
              </w:rPr>
            </w:pPr>
          </w:p>
        </w:tc>
        <w:tc>
          <w:tcPr>
            <w:tcW w:w="5120" w:type="dxa"/>
            <w:vAlign w:val="bottom"/>
            <w:gridSpan w:val="26"/>
          </w:tcPr>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hyperlink r:id="rId657">
              <w:r>
                <w:rPr>
                  <w:rFonts w:ascii="Times New Roman" w:cs="Times New Roman" w:eastAsia="Times New Roman" w:hAnsi="Times New Roman"/>
                  <w:sz w:val="12"/>
                  <w:szCs w:val="12"/>
                  <w:color w:val="0000EE"/>
                </w:rPr>
                <w:t>Forms of Stock Option Grant Notice, Stock Option Agreement and Notice of Exercise under the</w:t>
              </w:r>
            </w:hyperlink>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60" w:type="dxa"/>
            <w:vAlign w:val="bottom"/>
            <w:tcBorders>
              <w:top w:val="single" w:sz="8" w:color="0000EE"/>
              <w:bottom w:val="single" w:sz="8" w:color="0000EE"/>
            </w:tcBorders>
            <w:gridSpan w:val="13"/>
          </w:tcPr>
          <w:p>
            <w:pPr>
              <w:spacing w:after="0" w:line="127" w:lineRule="exact"/>
              <w:rPr>
                <w:rFonts w:ascii="Times New Roman" w:cs="Times New Roman" w:eastAsia="Times New Roman" w:hAnsi="Times New Roman"/>
                <w:sz w:val="12"/>
                <w:szCs w:val="12"/>
                <w:color w:val="0000EE"/>
              </w:rPr>
            </w:pPr>
            <w:hyperlink r:id="rId657">
              <w:r>
                <w:rPr>
                  <w:rFonts w:ascii="Times New Roman" w:cs="Times New Roman" w:eastAsia="Times New Roman" w:hAnsi="Times New Roman"/>
                  <w:sz w:val="12"/>
                  <w:szCs w:val="12"/>
                  <w:color w:val="0000EE"/>
                </w:rPr>
                <w:t>Alumis Inc. 2024 Performance Option Plan.</w:t>
              </w:r>
            </w:hyperlink>
          </w:p>
        </w:tc>
        <w:tc>
          <w:tcPr>
            <w:tcW w:w="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1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10.8#</w:t>
            </w:r>
          </w:p>
        </w:tc>
        <w:tc>
          <w:tcPr>
            <w:tcW w:w="140" w:type="dxa"/>
            <w:vAlign w:val="bottom"/>
          </w:tcPr>
          <w:p>
            <w:pPr>
              <w:spacing w:after="0"/>
              <w:rPr>
                <w:sz w:val="14"/>
                <w:szCs w:val="14"/>
                <w:color w:val="auto"/>
              </w:rPr>
            </w:pPr>
          </w:p>
        </w:tc>
        <w:tc>
          <w:tcPr>
            <w:tcW w:w="5080" w:type="dxa"/>
            <w:vAlign w:val="bottom"/>
            <w:gridSpan w:val="25"/>
          </w:tcPr>
          <w:p>
            <w:pPr>
              <w:spacing w:after="0" w:line="173" w:lineRule="exact"/>
              <w:rPr>
                <w:sz w:val="20"/>
                <w:szCs w:val="20"/>
                <w:color w:val="auto"/>
              </w:rPr>
            </w:pPr>
            <w:r>
              <w:rPr>
                <w:rFonts w:ascii="Times New Roman" w:cs="Times New Roman" w:eastAsia="Times New Roman" w:hAnsi="Times New Roman"/>
                <w:sz w:val="19"/>
                <w:szCs w:val="19"/>
                <w:color w:val="000000"/>
                <w:vertAlign w:val="superscript"/>
              </w:rPr>
              <w:t>​​</w:t>
            </w:r>
            <w:r>
              <w:rPr>
                <w:rFonts w:ascii="Times New Roman" w:cs="Times New Roman" w:eastAsia="Times New Roman" w:hAnsi="Times New Roman"/>
                <w:sz w:val="10"/>
                <w:szCs w:val="10"/>
                <w:color w:val="0000EE"/>
              </w:rPr>
              <w:t>Alumis Inc. 2024 Employee Stock Purchase Plan.</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0" w:type="dxa"/>
            <w:vAlign w:val="bottom"/>
            <w:gridSpan w:val="1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line="20" w:lineRule="exact"/>
              <w:rPr>
                <w:sz w:val="1"/>
                <w:szCs w:val="1"/>
                <w:color w:val="auto"/>
              </w:rPr>
            </w:pPr>
          </w:p>
        </w:tc>
      </w:tr>
      <w:tr>
        <w:trPr>
          <w:trHeight w:val="154"/>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10.9#</w:t>
            </w:r>
          </w:p>
        </w:tc>
        <w:tc>
          <w:tcPr>
            <w:tcW w:w="14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5020" w:type="dxa"/>
            <w:vAlign w:val="bottom"/>
            <w:gridSpan w:val="24"/>
          </w:tcPr>
          <w:p>
            <w:pPr>
              <w:spacing w:after="0"/>
              <w:rPr>
                <w:sz w:val="20"/>
                <w:szCs w:val="20"/>
                <w:color w:val="auto"/>
              </w:rPr>
            </w:pPr>
            <w:r>
              <w:rPr>
                <w:rFonts w:ascii="Times New Roman" w:cs="Times New Roman" w:eastAsia="Times New Roman" w:hAnsi="Times New Roman"/>
                <w:sz w:val="12"/>
                <w:szCs w:val="12"/>
                <w:color w:val="0000EE"/>
              </w:rPr>
              <w:t>Alumis Inc. 2024 Non-Employee Director Compensation Policy.</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60" w:type="dxa"/>
            <w:vAlign w:val="bottom"/>
            <w:gridSpan w:val="13"/>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10.10</w:t>
            </w:r>
          </w:p>
        </w:tc>
        <w:tc>
          <w:tcPr>
            <w:tcW w:w="140" w:type="dxa"/>
            <w:vAlign w:val="bottom"/>
          </w:tcPr>
          <w:p>
            <w:pPr>
              <w:spacing w:after="0"/>
              <w:rPr>
                <w:sz w:val="13"/>
                <w:szCs w:val="13"/>
                <w:color w:val="auto"/>
              </w:rPr>
            </w:pPr>
          </w:p>
        </w:tc>
        <w:tc>
          <w:tcPr>
            <w:tcW w:w="5120" w:type="dxa"/>
            <w:vAlign w:val="bottom"/>
            <w:gridSpan w:val="26"/>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0000EE"/>
              </w:rPr>
              <w:t>Form of Indemnification Agreement by and between the Registrant and its directors and</w:t>
            </w: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60" w:type="dxa"/>
            <w:vAlign w:val="bottom"/>
            <w:tcBorders>
              <w:top w:val="single" w:sz="8" w:color="0000EE"/>
            </w:tcBorders>
            <w:gridSpan w:val="13"/>
          </w:tcPr>
          <w:p>
            <w:pPr>
              <w:spacing w:after="0" w:line="127" w:lineRule="exact"/>
              <w:rPr>
                <w:sz w:val="20"/>
                <w:szCs w:val="20"/>
                <w:color w:val="auto"/>
              </w:rPr>
            </w:pPr>
            <w:r>
              <w:rPr>
                <w:rFonts w:ascii="Times New Roman" w:cs="Times New Roman" w:eastAsia="Times New Roman" w:hAnsi="Times New Roman"/>
                <w:sz w:val="12"/>
                <w:szCs w:val="12"/>
                <w:color w:val="0000EE"/>
              </w:rPr>
              <w:t>executive officers.</w:t>
            </w:r>
          </w:p>
        </w:tc>
        <w:tc>
          <w:tcPr>
            <w:tcW w:w="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1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60" w:type="dxa"/>
            <w:vAlign w:val="bottom"/>
            <w:gridSpan w:val="1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w w:val="97"/>
              </w:rPr>
              <w:t>10.11^</w:t>
            </w:r>
          </w:p>
        </w:tc>
        <w:tc>
          <w:tcPr>
            <w:tcW w:w="140" w:type="dxa"/>
            <w:vAlign w:val="bottom"/>
          </w:tcPr>
          <w:p>
            <w:pPr>
              <w:spacing w:after="0"/>
              <w:rPr>
                <w:sz w:val="14"/>
                <w:szCs w:val="14"/>
                <w:color w:val="auto"/>
              </w:rPr>
            </w:pPr>
          </w:p>
        </w:tc>
        <w:tc>
          <w:tcPr>
            <w:tcW w:w="5120" w:type="dxa"/>
            <w:vAlign w:val="bottom"/>
            <w:gridSpan w:val="26"/>
          </w:tcPr>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hyperlink r:id="rId658">
              <w:r>
                <w:rPr>
                  <w:rFonts w:ascii="Times New Roman" w:cs="Times New Roman" w:eastAsia="Times New Roman" w:hAnsi="Times New Roman"/>
                  <w:sz w:val="12"/>
                  <w:szCs w:val="12"/>
                  <w:color w:val="0000EE"/>
                </w:rPr>
                <w:t>Lease Agreement dated as of August 11, 2022 by and between the Registrant and PG VII</w:t>
              </w:r>
            </w:hyperlink>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Borders>
              <w:top w:val="single" w:sz="8" w:color="0000EE"/>
              <w:bottom w:val="single" w:sz="8" w:color="0000EE"/>
            </w:tcBorders>
            <w:gridSpan w:val="4"/>
          </w:tcPr>
          <w:p>
            <w:pPr>
              <w:spacing w:after="0" w:line="127" w:lineRule="exact"/>
              <w:rPr>
                <w:rFonts w:ascii="Times New Roman" w:cs="Times New Roman" w:eastAsia="Times New Roman" w:hAnsi="Times New Roman"/>
                <w:sz w:val="12"/>
                <w:szCs w:val="12"/>
                <w:color w:val="0000EE"/>
              </w:rPr>
            </w:pPr>
            <w:hyperlink r:id="rId658">
              <w:r>
                <w:rPr>
                  <w:rFonts w:ascii="Times New Roman" w:cs="Times New Roman" w:eastAsia="Times New Roman" w:hAnsi="Times New Roman"/>
                  <w:sz w:val="12"/>
                  <w:szCs w:val="12"/>
                  <w:color w:val="0000EE"/>
                </w:rPr>
                <w:t>280 East Grand, LLC.</w:t>
              </w:r>
            </w:hyperlink>
          </w:p>
        </w:tc>
        <w:tc>
          <w:tcPr>
            <w:tcW w:w="1120" w:type="dxa"/>
            <w:vAlign w:val="bottom"/>
            <w:tcBorders>
              <w:top w:val="single" w:sz="8" w:color="0000EE"/>
            </w:tcBorders>
            <w:gridSpan w:val="9"/>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1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10.12#^</w:t>
            </w:r>
          </w:p>
        </w:tc>
        <w:tc>
          <w:tcPr>
            <w:tcW w:w="5080" w:type="dxa"/>
            <w:vAlign w:val="bottom"/>
            <w:gridSpan w:val="25"/>
          </w:tcPr>
          <w:p>
            <w:pPr>
              <w:spacing w:after="0" w:line="182" w:lineRule="exact"/>
              <w:rPr>
                <w:rFonts w:ascii="Times New Roman" w:cs="Times New Roman" w:eastAsia="Times New Roman" w:hAnsi="Times New Roman"/>
                <w:sz w:val="11"/>
                <w:szCs w:val="11"/>
                <w:color w:val="0000EE"/>
              </w:rPr>
            </w:pPr>
            <w:hyperlink r:id="rId659"/>
            <w:r>
              <w:rPr>
                <w:rFonts w:ascii="Times New Roman" w:cs="Times New Roman" w:eastAsia="Times New Roman" w:hAnsi="Times New Roman"/>
                <w:sz w:val="21"/>
                <w:szCs w:val="21"/>
                <w:color w:val="000000"/>
                <w:vertAlign w:val="superscript"/>
              </w:rPr>
              <w:t>​​</w:t>
            </w:r>
            <w:hyperlink r:id="rId659">
              <w:r>
                <w:rPr>
                  <w:rFonts w:ascii="Times New Roman" w:cs="Times New Roman" w:eastAsia="Times New Roman" w:hAnsi="Times New Roman"/>
                  <w:sz w:val="11"/>
                  <w:szCs w:val="11"/>
                  <w:color w:val="0000EE"/>
                </w:rPr>
                <w:t>Offer Letter, dated as of September 15, 2021, by and between the Registrant and Martin Babler.</w:t>
              </w:r>
            </w:hyperlink>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80" w:type="dxa"/>
            <w:vAlign w:val="bottom"/>
            <w:gridSpan w:val="1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10.13#^</w:t>
            </w:r>
          </w:p>
        </w:tc>
        <w:tc>
          <w:tcPr>
            <w:tcW w:w="5120" w:type="dxa"/>
            <w:vAlign w:val="bottom"/>
            <w:gridSpan w:val="26"/>
          </w:tcPr>
          <w:p>
            <w:pPr>
              <w:spacing w:after="0" w:line="163" w:lineRule="exact"/>
              <w:rPr>
                <w:rFonts w:ascii="Times New Roman" w:cs="Times New Roman" w:eastAsia="Times New Roman" w:hAnsi="Times New Roman"/>
                <w:sz w:val="10"/>
                <w:szCs w:val="10"/>
                <w:color w:val="0000EE"/>
              </w:rPr>
            </w:pPr>
            <w:hyperlink r:id="rId660"/>
            <w:r>
              <w:rPr>
                <w:rFonts w:ascii="Times New Roman" w:cs="Times New Roman" w:eastAsia="Times New Roman" w:hAnsi="Times New Roman"/>
                <w:sz w:val="18"/>
                <w:szCs w:val="18"/>
                <w:color w:val="000000"/>
                <w:vertAlign w:val="superscript"/>
              </w:rPr>
              <w:t>​​</w:t>
            </w:r>
            <w:hyperlink r:id="rId660">
              <w:r>
                <w:rPr>
                  <w:rFonts w:ascii="Times New Roman" w:cs="Times New Roman" w:eastAsia="Times New Roman" w:hAnsi="Times New Roman"/>
                  <w:sz w:val="10"/>
                  <w:szCs w:val="10"/>
                  <w:color w:val="0000EE"/>
                </w:rPr>
                <w:t>Offer Letter, dated as of September 15, 2021, by and between the Registrant and David Goldstein.</w:t>
              </w:r>
            </w:hyperlink>
            <w:r>
              <w:rPr>
                <w:rFonts w:ascii="Times New Roman" w:cs="Times New Roman" w:eastAsia="Times New Roman" w:hAnsi="Times New Roman"/>
                <w:sz w:val="18"/>
                <w:szCs w:val="18"/>
                <w:color w:val="000000"/>
                <w:vertAlign w:val="superscript"/>
              </w:rPr>
              <w:t>​</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80" w:type="dxa"/>
            <w:vAlign w:val="bottom"/>
            <w:gridSpan w:val="1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10.14#^</w:t>
            </w:r>
          </w:p>
        </w:tc>
        <w:tc>
          <w:tcPr>
            <w:tcW w:w="5080" w:type="dxa"/>
            <w:vAlign w:val="bottom"/>
            <w:gridSpan w:val="25"/>
          </w:tcPr>
          <w:p>
            <w:pPr>
              <w:spacing w:after="0" w:line="163" w:lineRule="exact"/>
              <w:rPr>
                <w:rFonts w:ascii="Times New Roman" w:cs="Times New Roman" w:eastAsia="Times New Roman" w:hAnsi="Times New Roman"/>
                <w:sz w:val="10"/>
                <w:szCs w:val="10"/>
                <w:color w:val="0000EE"/>
              </w:rPr>
            </w:pPr>
            <w:hyperlink r:id="rId661"/>
            <w:r>
              <w:rPr>
                <w:rFonts w:ascii="Times New Roman" w:cs="Times New Roman" w:eastAsia="Times New Roman" w:hAnsi="Times New Roman"/>
                <w:sz w:val="18"/>
                <w:szCs w:val="18"/>
                <w:color w:val="000000"/>
                <w:vertAlign w:val="superscript"/>
              </w:rPr>
              <w:t>​​</w:t>
            </w:r>
            <w:hyperlink r:id="rId661">
              <w:r>
                <w:rPr>
                  <w:rFonts w:ascii="Times New Roman" w:cs="Times New Roman" w:eastAsia="Times New Roman" w:hAnsi="Times New Roman"/>
                  <w:sz w:val="10"/>
                  <w:szCs w:val="10"/>
                  <w:color w:val="0000EE"/>
                </w:rPr>
                <w:t>Offer Letter, dated as of September 15, 2021, by and between the Registrant and Roy Hardiman.</w:t>
              </w:r>
            </w:hyperlink>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80" w:type="dxa"/>
            <w:vAlign w:val="bottom"/>
            <w:gridSpan w:val="1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10.15#*^</w:t>
            </w:r>
          </w:p>
        </w:tc>
        <w:tc>
          <w:tcPr>
            <w:tcW w:w="5080" w:type="dxa"/>
            <w:vAlign w:val="bottom"/>
            <w:gridSpan w:val="25"/>
          </w:tcPr>
          <w:p>
            <w:pPr>
              <w:spacing w:after="0" w:line="163" w:lineRule="exact"/>
              <w:rPr>
                <w:rFonts w:ascii="Times New Roman" w:cs="Times New Roman" w:eastAsia="Times New Roman" w:hAnsi="Times New Roman"/>
                <w:sz w:val="10"/>
                <w:szCs w:val="10"/>
                <w:color w:val="0000EE"/>
              </w:rPr>
            </w:pPr>
            <w:hyperlink r:id="rId662"/>
            <w:r>
              <w:rPr>
                <w:rFonts w:ascii="Times New Roman" w:cs="Times New Roman" w:eastAsia="Times New Roman" w:hAnsi="Times New Roman"/>
                <w:sz w:val="18"/>
                <w:szCs w:val="18"/>
                <w:color w:val="000000"/>
                <w:vertAlign w:val="superscript"/>
              </w:rPr>
              <w:t>​​</w:t>
            </w:r>
            <w:hyperlink r:id="rId662">
              <w:r>
                <w:rPr>
                  <w:rFonts w:ascii="Times New Roman" w:cs="Times New Roman" w:eastAsia="Times New Roman" w:hAnsi="Times New Roman"/>
                  <w:sz w:val="10"/>
                  <w:szCs w:val="10"/>
                  <w:color w:val="0000EE"/>
                </w:rPr>
                <w:t>Offer Letter, dated as of March 15, 2021, by and between the Registrant and Mark Bradley.</w:t>
              </w:r>
            </w:hyperlink>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80" w:type="dxa"/>
            <w:vAlign w:val="bottom"/>
            <w:gridSpan w:val="1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10.16#^</w:t>
            </w:r>
          </w:p>
        </w:tc>
        <w:tc>
          <w:tcPr>
            <w:tcW w:w="5120" w:type="dxa"/>
            <w:vAlign w:val="bottom"/>
            <w:gridSpan w:val="26"/>
          </w:tcPr>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hyperlink r:id="rId663">
              <w:r>
                <w:rPr>
                  <w:rFonts w:ascii="Times New Roman" w:cs="Times New Roman" w:eastAsia="Times New Roman" w:hAnsi="Times New Roman"/>
                  <w:sz w:val="12"/>
                  <w:szCs w:val="12"/>
                  <w:color w:val="0000EE"/>
                </w:rPr>
                <w:t>Amendment to Offer Letter, dated as of July 18, 2023, by and between the Registrant and Mark</w:t>
              </w:r>
            </w:hyperlink>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60" w:type="dxa"/>
            <w:vAlign w:val="bottom"/>
            <w:tcBorders>
              <w:top w:val="single" w:sz="8" w:color="0000EE"/>
            </w:tcBorders>
            <w:gridSpan w:val="13"/>
          </w:tcPr>
          <w:p>
            <w:pPr>
              <w:spacing w:after="0" w:line="127" w:lineRule="exact"/>
              <w:rPr>
                <w:rFonts w:ascii="Times New Roman" w:cs="Times New Roman" w:eastAsia="Times New Roman" w:hAnsi="Times New Roman"/>
                <w:sz w:val="12"/>
                <w:szCs w:val="12"/>
                <w:color w:val="0000EE"/>
              </w:rPr>
            </w:pPr>
            <w:hyperlink r:id="rId663">
              <w:r>
                <w:rPr>
                  <w:rFonts w:ascii="Times New Roman" w:cs="Times New Roman" w:eastAsia="Times New Roman" w:hAnsi="Times New Roman"/>
                  <w:sz w:val="12"/>
                  <w:szCs w:val="12"/>
                  <w:color w:val="0000EE"/>
                </w:rPr>
                <w:t>Bradley.</w:t>
              </w:r>
            </w:hyperlink>
          </w:p>
        </w:tc>
        <w:tc>
          <w:tcPr>
            <w:tcW w:w="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1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80" w:type="dxa"/>
            <w:vAlign w:val="bottom"/>
            <w:gridSpan w:val="1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10.17#^</w:t>
            </w:r>
          </w:p>
        </w:tc>
        <w:tc>
          <w:tcPr>
            <w:tcW w:w="5120" w:type="dxa"/>
            <w:vAlign w:val="bottom"/>
            <w:gridSpan w:val="26"/>
          </w:tcPr>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hyperlink r:id="rId664">
              <w:r>
                <w:rPr>
                  <w:rFonts w:ascii="Times New Roman" w:cs="Times New Roman" w:eastAsia="Times New Roman" w:hAnsi="Times New Roman"/>
                  <w:sz w:val="12"/>
                  <w:szCs w:val="12"/>
                  <w:color w:val="0000EE"/>
                </w:rPr>
                <w:t>Offer Letter, dated as of November 12, 2021, by and between the Registrant and Derrick</w:t>
              </w:r>
            </w:hyperlink>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0000EE"/>
              <w:bottom w:val="single" w:sz="8" w:color="0000EE"/>
            </w:tcBorders>
            <w:gridSpan w:val="2"/>
          </w:tcPr>
          <w:p>
            <w:pPr>
              <w:spacing w:after="0" w:line="127" w:lineRule="exact"/>
              <w:rPr>
                <w:rFonts w:ascii="Times New Roman" w:cs="Times New Roman" w:eastAsia="Times New Roman" w:hAnsi="Times New Roman"/>
                <w:sz w:val="12"/>
                <w:szCs w:val="12"/>
                <w:color w:val="0000EE"/>
              </w:rPr>
            </w:pPr>
            <w:hyperlink r:id="rId664">
              <w:r>
                <w:rPr>
                  <w:rFonts w:ascii="Times New Roman" w:cs="Times New Roman" w:eastAsia="Times New Roman" w:hAnsi="Times New Roman"/>
                  <w:sz w:val="12"/>
                  <w:szCs w:val="12"/>
                  <w:color w:val="0000EE"/>
                </w:rPr>
                <w:t>Richardson.</w:t>
              </w:r>
            </w:hyperlink>
          </w:p>
        </w:tc>
        <w:tc>
          <w:tcPr>
            <w:tcW w:w="1640" w:type="dxa"/>
            <w:vAlign w:val="bottom"/>
            <w:tcBorders>
              <w:top w:val="single" w:sz="8" w:color="0000EE"/>
            </w:tcBorders>
            <w:gridSpan w:val="11"/>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1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10.18#^</w:t>
            </w:r>
          </w:p>
        </w:tc>
        <w:tc>
          <w:tcPr>
            <w:tcW w:w="5080" w:type="dxa"/>
            <w:vAlign w:val="bottom"/>
            <w:gridSpan w:val="25"/>
          </w:tcPr>
          <w:p>
            <w:pPr>
              <w:spacing w:after="0" w:line="182" w:lineRule="exact"/>
              <w:rPr>
                <w:rFonts w:ascii="Times New Roman" w:cs="Times New Roman" w:eastAsia="Times New Roman" w:hAnsi="Times New Roman"/>
                <w:sz w:val="11"/>
                <w:szCs w:val="11"/>
                <w:color w:val="0000EE"/>
              </w:rPr>
            </w:pPr>
            <w:hyperlink r:id="rId665"/>
            <w:r>
              <w:rPr>
                <w:rFonts w:ascii="Times New Roman" w:cs="Times New Roman" w:eastAsia="Times New Roman" w:hAnsi="Times New Roman"/>
                <w:sz w:val="21"/>
                <w:szCs w:val="21"/>
                <w:color w:val="000000"/>
                <w:vertAlign w:val="superscript"/>
              </w:rPr>
              <w:t>​​</w:t>
            </w:r>
            <w:hyperlink r:id="rId665">
              <w:r>
                <w:rPr>
                  <w:rFonts w:ascii="Times New Roman" w:cs="Times New Roman" w:eastAsia="Times New Roman" w:hAnsi="Times New Roman"/>
                  <w:sz w:val="11"/>
                  <w:szCs w:val="11"/>
                  <w:color w:val="0000EE"/>
                </w:rPr>
                <w:t>Offer Letter, dated as of January 12, 2022, by and between the Registrant and Sara Klein.</w:t>
              </w:r>
            </w:hyperlink>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00" w:type="dxa"/>
            <w:vAlign w:val="bottom"/>
            <w:tcBorders>
              <w:left w:val="single" w:sz="8" w:color="0000EE"/>
            </w:tcBorders>
            <w:gridSpan w:val="1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10.19#^</w:t>
            </w:r>
          </w:p>
        </w:tc>
        <w:tc>
          <w:tcPr>
            <w:tcW w:w="5080" w:type="dxa"/>
            <w:vAlign w:val="bottom"/>
            <w:gridSpan w:val="25"/>
          </w:tcPr>
          <w:p>
            <w:pPr>
              <w:spacing w:after="0" w:line="163" w:lineRule="exact"/>
              <w:rPr>
                <w:rFonts w:ascii="Times New Roman" w:cs="Times New Roman" w:eastAsia="Times New Roman" w:hAnsi="Times New Roman"/>
                <w:sz w:val="10"/>
                <w:szCs w:val="10"/>
                <w:color w:val="0000EE"/>
              </w:rPr>
            </w:pPr>
            <w:hyperlink r:id="rId666"/>
            <w:r>
              <w:rPr>
                <w:rFonts w:ascii="Times New Roman" w:cs="Times New Roman" w:eastAsia="Times New Roman" w:hAnsi="Times New Roman"/>
                <w:sz w:val="18"/>
                <w:szCs w:val="18"/>
                <w:color w:val="000000"/>
                <w:vertAlign w:val="superscript"/>
              </w:rPr>
              <w:t>​​</w:t>
            </w:r>
            <w:hyperlink r:id="rId666">
              <w:r>
                <w:rPr>
                  <w:rFonts w:ascii="Times New Roman" w:cs="Times New Roman" w:eastAsia="Times New Roman" w:hAnsi="Times New Roman"/>
                  <w:sz w:val="10"/>
                  <w:szCs w:val="10"/>
                  <w:color w:val="0000EE"/>
                </w:rPr>
                <w:t>Offer Letter, dated as of March 22, 2022, by and between the Registrant and John Schroer.</w:t>
              </w:r>
            </w:hyperlink>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00" w:type="dxa"/>
            <w:vAlign w:val="bottom"/>
            <w:tcBorders>
              <w:left w:val="single" w:sz="8" w:color="0000EE"/>
            </w:tcBorders>
            <w:gridSpan w:val="19"/>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10.20#*^</w:t>
            </w:r>
          </w:p>
        </w:tc>
        <w:tc>
          <w:tcPr>
            <w:tcW w:w="5080" w:type="dxa"/>
            <w:vAlign w:val="bottom"/>
            <w:gridSpan w:val="25"/>
          </w:tcPr>
          <w:p>
            <w:pPr>
              <w:spacing w:after="0" w:line="163" w:lineRule="exact"/>
              <w:rPr>
                <w:rFonts w:ascii="Times New Roman" w:cs="Times New Roman" w:eastAsia="Times New Roman" w:hAnsi="Times New Roman"/>
                <w:sz w:val="10"/>
                <w:szCs w:val="10"/>
                <w:color w:val="0000EE"/>
              </w:rPr>
            </w:pPr>
            <w:hyperlink r:id="rId667"/>
            <w:r>
              <w:rPr>
                <w:rFonts w:ascii="Times New Roman" w:cs="Times New Roman" w:eastAsia="Times New Roman" w:hAnsi="Times New Roman"/>
                <w:sz w:val="18"/>
                <w:szCs w:val="18"/>
                <w:color w:val="000000"/>
                <w:vertAlign w:val="superscript"/>
              </w:rPr>
              <w:t>​​</w:t>
            </w:r>
            <w:hyperlink r:id="rId667">
              <w:r>
                <w:rPr>
                  <w:rFonts w:ascii="Times New Roman" w:cs="Times New Roman" w:eastAsia="Times New Roman" w:hAnsi="Times New Roman"/>
                  <w:sz w:val="10"/>
                  <w:szCs w:val="10"/>
                  <w:color w:val="0000EE"/>
                </w:rPr>
                <w:t>Offer Letter, dated as of June 24, 2022, by and between the Registrant and Jörn Drappa.</w:t>
              </w:r>
            </w:hyperlink>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p>
      <w:pPr>
        <w:jc w:val="both"/>
        <w:ind w:left="2260" w:right="1699" w:hanging="539"/>
        <w:spacing w:after="0" w:line="322" w:lineRule="auto"/>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10.21*¥^​​</w:t>
      </w:r>
      <w:hyperlink r:id="rId668">
        <w:r>
          <w:rPr>
            <w:rFonts w:ascii="Times New Roman" w:cs="Times New Roman" w:eastAsia="Times New Roman" w:hAnsi="Times New Roman"/>
            <w:sz w:val="12"/>
            <w:szCs w:val="12"/>
            <w:u w:val="single" w:color="auto"/>
            <w:color w:val="0000EE"/>
          </w:rPr>
          <w:t>Stock Purchase Agreement, dated as of March 5, 2021, by and among the Registrant, FronThera</w:t>
        </w:r>
      </w:hyperlink>
      <w:r>
        <w:rPr>
          <w:rFonts w:ascii="Times New Roman" w:cs="Times New Roman" w:eastAsia="Times New Roman" w:hAnsi="Times New Roman"/>
          <w:sz w:val="12"/>
          <w:szCs w:val="12"/>
          <w:color w:val="auto"/>
        </w:rPr>
        <w:t xml:space="preserve">​ </w:t>
      </w:r>
      <w:hyperlink r:id="rId668">
        <w:r>
          <w:rPr>
            <w:rFonts w:ascii="Times New Roman" w:cs="Times New Roman" w:eastAsia="Times New Roman" w:hAnsi="Times New Roman"/>
            <w:sz w:val="12"/>
            <w:szCs w:val="12"/>
            <w:u w:val="single" w:color="auto"/>
            <w:color w:val="0000EE"/>
          </w:rPr>
          <w:t>International Group Limited and FronThera U.S. Holdings, Inc.</w:t>
        </w:r>
      </w:hyperlink>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9">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70" w:name="page271"/>
    <w:bookmarkEnd w:id="270"/>
    <w:p>
      <w:pPr>
        <w:ind w:left="860"/>
        <w:spacing w:after="0"/>
        <w:rPr>
          <w:sz w:val="20"/>
          <w:szCs w:val="20"/>
          <w:color w:val="auto"/>
        </w:rPr>
      </w:pPr>
      <w:r>
        <w:rPr>
          <w:rFonts w:ascii="Calibri" w:cs="Calibri" w:eastAsia="Calibri" w:hAnsi="Calibri"/>
          <w:sz w:val="9"/>
          <w:szCs w:val="9"/>
          <w:color w:val="003366"/>
        </w:rPr>
        <w:t>TABLE OF CONTENTS</w:t>
      </w:r>
    </w:p>
    <w:p>
      <w:pPr>
        <w:sectPr>
          <w:pgSz w:w="11900" w:h="16838" w:orient="portrait"/>
          <w:cols w:equalWidth="0" w:num="1">
            <w:col w:w="9019"/>
          </w:cols>
          <w:pgMar w:left="1440" w:top="112"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b w:val="1"/>
          <w:bCs w:val="1"/>
          <w:color w:val="auto"/>
        </w:rPr>
        <w:t>Exhibit</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9"/>
          <w:szCs w:val="9"/>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12700</wp:posOffset>
            </wp:positionV>
            <wp:extent cx="220980" cy="571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0">
                      <a:extLst>
                        <a:ext uri="{28A0092B-C50C-407E-A947-70E740481C1C}"/>
                      </a:extLst>
                    </a:blip>
                    <a:srcRect/>
                    <a:stretch>
                      <a:fillRect/>
                    </a:stretch>
                  </pic:blipFill>
                  <pic:spPr bwMode="auto">
                    <a:xfrm>
                      <a:off x="0" y="0"/>
                      <a:ext cx="220980" cy="5715"/>
                    </a:xfrm>
                    <a:prstGeom prst="rect">
                      <a:avLst/>
                    </a:prstGeom>
                    <a:noFill/>
                  </pic:spPr>
                </pic:pic>
              </a:graphicData>
            </a:graphic>
          </wp:anchor>
        </w:drawing>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23.1</w:t>
      </w:r>
    </w:p>
    <w:p>
      <w:pPr>
        <w:spacing w:after="0" w:line="4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23.2</w:t>
      </w:r>
    </w:p>
    <w:p>
      <w:pPr>
        <w:spacing w:after="0" w:line="4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24.1</w:t>
      </w:r>
    </w:p>
    <w:p>
      <w:pPr>
        <w:spacing w:after="0" w:line="4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106680</wp:posOffset>
            </wp:positionV>
            <wp:extent cx="372110" cy="571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1">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ind w:left="4"/>
        <w:spacing w:after="0"/>
        <w:tabs>
          <w:tab w:leader="none" w:pos="2363" w:val="left"/>
        </w:tabs>
        <w:rPr>
          <w:sz w:val="20"/>
          <w:szCs w:val="20"/>
          <w:color w:val="auto"/>
        </w:rPr>
      </w:pPr>
      <w:r>
        <w:rPr>
          <w:rFonts w:ascii="Times New Roman" w:cs="Times New Roman" w:eastAsia="Times New Roman" w:hAnsi="Times New Roman"/>
          <w:sz w:val="19"/>
          <w:szCs w:val="19"/>
          <w:b w:val="1"/>
          <w:bCs w:val="1"/>
          <w:color w:val="auto"/>
          <w:vertAlign w:val="subscript"/>
        </w:rPr>
        <w:t>​ ​</w:t>
      </w:r>
      <w:r>
        <w:rPr>
          <w:sz w:val="20"/>
          <w:szCs w:val="20"/>
          <w:color w:val="auto"/>
        </w:rPr>
        <w:tab/>
      </w:r>
      <w:r>
        <w:rPr>
          <w:rFonts w:ascii="Times New Roman" w:cs="Times New Roman" w:eastAsia="Times New Roman" w:hAnsi="Times New Roman"/>
          <w:sz w:val="9"/>
          <w:szCs w:val="9"/>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18415</wp:posOffset>
            </wp:positionV>
            <wp:extent cx="3134360" cy="571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2">
                      <a:extLst>
                        <a:ext uri="{28A0092B-C50C-407E-A947-70E740481C1C}"/>
                      </a:extLst>
                    </a:blip>
                    <a:srcRect/>
                    <a:stretch>
                      <a:fillRect/>
                    </a:stretch>
                  </pic:blipFill>
                  <pic:spPr bwMode="auto">
                    <a:xfrm>
                      <a:off x="0" y="0"/>
                      <a:ext cx="3134360" cy="5715"/>
                    </a:xfrm>
                    <a:prstGeom prst="rect">
                      <a:avLst/>
                    </a:prstGeom>
                    <a:noFill/>
                  </pic:spPr>
                </pic:pic>
              </a:graphicData>
            </a:graphic>
          </wp:anchor>
        </w:drawing>
      </w:r>
    </w:p>
    <w:p>
      <w:pPr>
        <w:ind w:left="64" w:hanging="64"/>
        <w:spacing w:after="0" w:line="217" w:lineRule="auto"/>
        <w:tabs>
          <w:tab w:leader="none" w:pos="64" w:val="left"/>
        </w:tabs>
        <w:numPr>
          <w:ilvl w:val="0"/>
          <w:numId w:val="1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000000"/>
          <w:vertAlign w:val="superscript"/>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u w:val="single" w:color="auto"/>
          <w:color w:val="0000EE"/>
        </w:rPr>
        <w:t>Consent of PricewaterhouseCoopers LLP, Independent Registered Public Accounting Firm.</w:t>
      </w:r>
    </w:p>
    <w:p>
      <w:pPr>
        <w:ind w:left="64" w:hanging="64"/>
        <w:spacing w:after="0" w:line="182" w:lineRule="auto"/>
        <w:tabs>
          <w:tab w:leader="none" w:pos="64" w:val="left"/>
        </w:tabs>
        <w:numPr>
          <w:ilvl w:val="0"/>
          <w:numId w:val="1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000000"/>
          <w:vertAlign w:val="superscript"/>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u w:val="single" w:color="auto"/>
          <w:color w:val="0000EE"/>
        </w:rPr>
        <w:t>Consent of Cooley LLP (included in Exhibit 5.1).</w:t>
      </w:r>
    </w:p>
    <w:p>
      <w:pPr>
        <w:ind w:left="64" w:hanging="64"/>
        <w:spacing w:after="0" w:line="182" w:lineRule="auto"/>
        <w:tabs>
          <w:tab w:leader="none" w:pos="64" w:val="left"/>
        </w:tabs>
        <w:numPr>
          <w:ilvl w:val="0"/>
          <w:numId w:val="1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000000"/>
          <w:vertAlign w:val="superscript"/>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u w:val="single" w:color="auto"/>
          <w:color w:val="0000EE"/>
        </w:rPr>
        <w:t>Power of Attorney (included on signature page).</w:t>
      </w:r>
    </w:p>
    <w:p>
      <w:pPr>
        <w:ind w:left="64" w:hanging="64"/>
        <w:spacing w:after="0" w:line="235" w:lineRule="auto"/>
        <w:tabs>
          <w:tab w:leader="none" w:pos="64" w:val="left"/>
        </w:tabs>
        <w:numPr>
          <w:ilvl w:val="0"/>
          <w:numId w:val="1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000000"/>
          <w:vertAlign w:val="superscript"/>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u w:val="single" w:color="auto"/>
          <w:color w:val="0000EE"/>
        </w:rPr>
        <w:t>Filing Fee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81" w:lineRule="exact"/>
        <w:rPr>
          <w:sz w:val="20"/>
          <w:szCs w:val="20"/>
          <w:color w:val="auto"/>
        </w:rPr>
      </w:pPr>
    </w:p>
    <w:p>
      <w:pPr>
        <w:sectPr>
          <w:pgSz w:w="11900" w:h="16838" w:orient="portrait"/>
          <w:cols w:equalWidth="0" w:num="3">
            <w:col w:w="2060" w:space="136"/>
            <w:col w:w="4824" w:space="260"/>
            <w:col w:w="1739"/>
          </w:cols>
          <w:pgMar w:left="1440" w:top="112" w:right="1440" w:bottom="1440" w:gutter="0" w:footer="0" w:header="0"/>
          <w:type w:val="continuous"/>
        </w:sectPr>
      </w:pPr>
    </w:p>
    <w:p>
      <w:pPr>
        <w:ind w:left="1960" w:hanging="240"/>
        <w:spacing w:after="0"/>
        <w:tabs>
          <w:tab w:leader="none" w:pos="1960" w:val="left"/>
        </w:tabs>
        <w:numPr>
          <w:ilvl w:val="0"/>
          <w:numId w:val="1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Previously filed.</w:t>
      </w:r>
    </w:p>
    <w:p>
      <w:pPr>
        <w:spacing w:after="0" w:line="41" w:lineRule="exact"/>
        <w:rPr>
          <w:sz w:val="20"/>
          <w:szCs w:val="20"/>
          <w:color w:val="auto"/>
        </w:rPr>
      </w:pPr>
    </w:p>
    <w:p>
      <w:pPr>
        <w:ind w:left="1960" w:hanging="240"/>
        <w:spacing w:after="0"/>
        <w:tabs>
          <w:tab w:leader="none" w:pos="1960" w:val="left"/>
        </w:tabs>
        <w:numPr>
          <w:ilvl w:val="0"/>
          <w:numId w:val="1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Indicates management contract or compensatory plan.</w:t>
      </w:r>
    </w:p>
    <w:p>
      <w:pPr>
        <w:spacing w:after="0" w:line="50" w:lineRule="exact"/>
        <w:rPr>
          <w:sz w:val="20"/>
          <w:szCs w:val="20"/>
          <w:color w:val="auto"/>
        </w:rPr>
      </w:pPr>
    </w:p>
    <w:p>
      <w:pPr>
        <w:jc w:val="both"/>
        <w:ind w:left="1960" w:right="1739" w:hanging="240"/>
        <w:spacing w:after="0" w:line="239" w:lineRule="auto"/>
        <w:tabs>
          <w:tab w:leader="none" w:pos="1960" w:val="left"/>
        </w:tabs>
        <w:numPr>
          <w:ilvl w:val="0"/>
          <w:numId w:val="14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Pursuant to Item 601(b)(10) of Regulation S-K, portions of this exhibit have been omitted (indicated by “[***]”) as the registrant has determined that the omitted information (i) is not material and (ii) the type of information that the registrant customarily and actually treats as private or confidential.</w:t>
      </w:r>
    </w:p>
    <w:p>
      <w:pPr>
        <w:spacing w:after="0" w:line="32" w:lineRule="exact"/>
        <w:rPr>
          <w:sz w:val="20"/>
          <w:szCs w:val="20"/>
          <w:color w:val="auto"/>
        </w:rPr>
      </w:pPr>
    </w:p>
    <w:p>
      <w:pPr>
        <w:ind w:left="1960" w:right="1739" w:hanging="240"/>
        <w:spacing w:after="0" w:line="250" w:lineRule="auto"/>
        <w:tabs>
          <w:tab w:leader="none" w:pos="1960" w:val="left"/>
        </w:tabs>
        <w:numPr>
          <w:ilvl w:val="0"/>
          <w:numId w:val="14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Schedules have been omitted pursuant to Item 601(a)(5) of Regulation S-K. The registrant undertakes to furnish supplemental copies of any of the omitted schedules upon request by the U.S. Securities and Exchange Commission.</w:t>
      </w:r>
    </w:p>
    <w:p>
      <w:pPr>
        <w:spacing w:after="0" w:line="83" w:lineRule="exact"/>
        <w:rPr>
          <w:sz w:val="20"/>
          <w:szCs w:val="20"/>
          <w:color w:val="auto"/>
        </w:rPr>
      </w:pPr>
    </w:p>
    <w:p>
      <w:pPr>
        <w:ind w:left="1720"/>
        <w:spacing w:after="0"/>
        <w:tabs>
          <w:tab w:leader="none" w:pos="1940" w:val="left"/>
        </w:tabs>
        <w:rPr>
          <w:sz w:val="20"/>
          <w:szCs w:val="20"/>
          <w:color w:val="auto"/>
        </w:rPr>
      </w:pPr>
      <w:r>
        <w:rPr>
          <w:rFonts w:ascii="Times New Roman" w:cs="Times New Roman" w:eastAsia="Times New Roman" w:hAnsi="Times New Roman"/>
          <w:sz w:val="12"/>
          <w:szCs w:val="12"/>
          <w:color w:val="auto"/>
        </w:rPr>
        <w:t>(b)</w:t>
        <w:tab/>
        <w:t>Financial Statement Schedules.</w:t>
      </w:r>
    </w:p>
    <w:p>
      <w:pPr>
        <w:spacing w:after="0" w:line="100" w:lineRule="exact"/>
        <w:rPr>
          <w:sz w:val="20"/>
          <w:szCs w:val="20"/>
          <w:color w:val="auto"/>
        </w:rPr>
      </w:pPr>
    </w:p>
    <w:p>
      <w:pPr>
        <w:ind w:left="1720" w:right="1739"/>
        <w:spacing w:after="0" w:line="291" w:lineRule="auto"/>
        <w:rPr>
          <w:sz w:val="20"/>
          <w:szCs w:val="20"/>
          <w:color w:val="auto"/>
        </w:rPr>
      </w:pPr>
      <w:r>
        <w:rPr>
          <w:rFonts w:ascii="Times New Roman" w:cs="Times New Roman" w:eastAsia="Times New Roman" w:hAnsi="Times New Roman"/>
          <w:sz w:val="12"/>
          <w:szCs w:val="12"/>
          <w:color w:val="auto"/>
        </w:rPr>
        <w:t>All financial statement schedules are omitted because the information required to be set forth therein is not applicable or is shown in the financial statements or the notes thereto.</w:t>
      </w:r>
    </w:p>
    <w:p>
      <w:pPr>
        <w:spacing w:after="0" w:line="10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Item 17. Undertakings.</w:t>
      </w:r>
    </w:p>
    <w:p>
      <w:pPr>
        <w:spacing w:after="0" w:line="111" w:lineRule="exact"/>
        <w:rPr>
          <w:sz w:val="20"/>
          <w:szCs w:val="20"/>
          <w:color w:val="auto"/>
        </w:rPr>
      </w:pPr>
    </w:p>
    <w:p>
      <w:pPr>
        <w:jc w:val="both"/>
        <w:ind w:left="1720" w:right="1739"/>
        <w:spacing w:after="0" w:line="272" w:lineRule="auto"/>
        <w:tabs>
          <w:tab w:leader="none" w:pos="1974"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1" w:lineRule="exact"/>
        <w:rPr>
          <w:rFonts w:ascii="Times New Roman" w:cs="Times New Roman" w:eastAsia="Times New Roman" w:hAnsi="Times New Roman"/>
          <w:sz w:val="12"/>
          <w:szCs w:val="12"/>
          <w:color w:val="auto"/>
        </w:rPr>
      </w:pPr>
    </w:p>
    <w:p>
      <w:pPr>
        <w:jc w:val="both"/>
        <w:ind w:left="1720" w:right="1739"/>
        <w:spacing w:after="0" w:line="258" w:lineRule="auto"/>
        <w:tabs>
          <w:tab w:leader="none" w:pos="1977"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20" w:lineRule="exact"/>
        <w:rPr>
          <w:rFonts w:ascii="Times New Roman" w:cs="Times New Roman" w:eastAsia="Times New Roman" w:hAnsi="Times New Roman"/>
          <w:sz w:val="12"/>
          <w:szCs w:val="12"/>
          <w:color w:val="auto"/>
        </w:rPr>
      </w:pPr>
    </w:p>
    <w:p>
      <w:pPr>
        <w:ind w:left="1960" w:hanging="240"/>
        <w:spacing w:after="0"/>
        <w:tabs>
          <w:tab w:leader="none" w:pos="1960"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undersigned registrant hereby undertakes that:</w:t>
      </w:r>
    </w:p>
    <w:p>
      <w:pPr>
        <w:spacing w:after="0" w:line="109" w:lineRule="exact"/>
        <w:rPr>
          <w:rFonts w:ascii="Times New Roman" w:cs="Times New Roman" w:eastAsia="Times New Roman" w:hAnsi="Times New Roman"/>
          <w:sz w:val="12"/>
          <w:szCs w:val="12"/>
          <w:color w:val="auto"/>
        </w:rPr>
      </w:pPr>
    </w:p>
    <w:p>
      <w:pPr>
        <w:jc w:val="both"/>
        <w:ind w:left="1960" w:right="1739" w:firstLine="4"/>
        <w:spacing w:after="0" w:line="265" w:lineRule="auto"/>
        <w:tabs>
          <w:tab w:leader="none" w:pos="2234" w:val="left"/>
        </w:tabs>
        <w:numPr>
          <w:ilvl w:val="1"/>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determining any liability under the Securities Act, the information omitted from the form of prospectus filed as part of this registration statement in reliance on Rule 430A and contained in a form of prospectus filed by the registrant under Rule 424(b)(1) or (4) or 497(h) under the Securities Act will be deemed to be part of this registration statement as of the time it was declared effective.</w:t>
      </w:r>
    </w:p>
    <w:p>
      <w:pPr>
        <w:spacing w:after="0" w:line="223" w:lineRule="exact"/>
        <w:rPr>
          <w:rFonts w:ascii="Times New Roman" w:cs="Times New Roman" w:eastAsia="Times New Roman" w:hAnsi="Times New Roman"/>
          <w:sz w:val="12"/>
          <w:szCs w:val="12"/>
          <w:color w:val="auto"/>
        </w:rPr>
      </w:pPr>
    </w:p>
    <w:p>
      <w:pPr>
        <w:jc w:val="both"/>
        <w:ind w:left="1960" w:right="1739" w:firstLine="4"/>
        <w:spacing w:after="0" w:line="266" w:lineRule="auto"/>
        <w:tabs>
          <w:tab w:leader="none" w:pos="2313" w:val="left"/>
        </w:tabs>
        <w:numPr>
          <w:ilvl w:val="1"/>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determining any liability under the Securities Act,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3">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type w:val="continuous"/>
        </w:sectPr>
      </w:pPr>
    </w:p>
    <w:bookmarkStart w:id="271" w:name="page272"/>
    <w:bookmarkEnd w:id="271"/>
    <w:p>
      <w:pPr>
        <w:ind w:left="86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65" w:lineRule="exact"/>
        <w:rPr>
          <w:sz w:val="20"/>
          <w:szCs w:val="20"/>
          <w:color w:val="auto"/>
        </w:rPr>
      </w:pPr>
    </w:p>
    <w:p>
      <w:pPr>
        <w:jc w:val="both"/>
        <w:ind w:left="1720" w:right="1739"/>
        <w:spacing w:after="0" w:line="257" w:lineRule="auto"/>
        <w:rPr>
          <w:sz w:val="20"/>
          <w:szCs w:val="20"/>
          <w:color w:val="auto"/>
        </w:rPr>
      </w:pPr>
      <w:r>
        <w:rPr>
          <w:rFonts w:ascii="Times New Roman" w:cs="Times New Roman" w:eastAsia="Times New Roman" w:hAnsi="Times New Roman"/>
          <w:sz w:val="12"/>
          <w:szCs w:val="12"/>
          <w:color w:val="auto"/>
        </w:rPr>
        <w:t>Pursuant to the requirements of the Securities Act of 1933, as amended, the registrant has duly caused this Amendment No. 2 to the registration statement to be signed on its behalf by the undersigned, thereunto duly authorized, in the City of South San Francisco, State of California, on June 24, 2024.</w:t>
      </w:r>
    </w:p>
    <w:p>
      <w:pPr>
        <w:spacing w:after="0" w:line="4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2"/>
          <w:szCs w:val="12"/>
          <w:color w:val="auto"/>
        </w:rPr>
        <w:t>By: /s/ Martin Babler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31115</wp:posOffset>
            </wp:positionV>
            <wp:extent cx="1517650" cy="571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4">
                      <a:extLst>
                        <a:ext uri="{28A0092B-C50C-407E-A947-70E740481C1C}"/>
                      </a:extLst>
                    </a:blip>
                    <a:srcRect/>
                    <a:stretch>
                      <a:fillRect/>
                    </a:stretch>
                  </pic:blipFill>
                  <pic:spPr bwMode="auto">
                    <a:xfrm>
                      <a:off x="0" y="0"/>
                      <a:ext cx="1517650" cy="5715"/>
                    </a:xfrm>
                    <a:prstGeom prst="rect">
                      <a:avLst/>
                    </a:prstGeom>
                    <a:noFill/>
                  </pic:spPr>
                </pic:pic>
              </a:graphicData>
            </a:graphic>
          </wp:anchor>
        </w:drawing>
      </w:r>
    </w:p>
    <w:p>
      <w:pPr>
        <w:spacing w:after="0" w:line="4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2"/>
          <w:szCs w:val="12"/>
          <w:color w:val="auto"/>
        </w:rPr>
        <w:t>Name:  Martin Babler</w:t>
      </w:r>
    </w:p>
    <w:p>
      <w:pPr>
        <w:spacing w:after="0" w:line="2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2"/>
          <w:szCs w:val="12"/>
          <w:color w:val="auto"/>
        </w:rPr>
        <w:t>Title:    Chief Executive Officer</w:t>
      </w:r>
    </w:p>
    <w:p>
      <w:pPr>
        <w:spacing w:after="0" w:line="33" w:lineRule="exact"/>
        <w:rPr>
          <w:sz w:val="20"/>
          <w:szCs w:val="20"/>
          <w:color w:val="auto"/>
        </w:rPr>
      </w:pPr>
    </w:p>
    <w:p>
      <w:pPr>
        <w:jc w:val="both"/>
        <w:ind w:left="1720" w:right="1739"/>
        <w:spacing w:after="0" w:line="247" w:lineRule="auto"/>
        <w:rPr>
          <w:sz w:val="20"/>
          <w:szCs w:val="20"/>
          <w:color w:val="auto"/>
        </w:rPr>
      </w:pPr>
      <w:r>
        <w:rPr>
          <w:rFonts w:ascii="Times New Roman" w:cs="Times New Roman" w:eastAsia="Times New Roman" w:hAnsi="Times New Roman"/>
          <w:sz w:val="12"/>
          <w:szCs w:val="12"/>
          <w:color w:val="auto"/>
        </w:rPr>
        <w:t>KNOW ALL PERSONS BY THESE PRESENTS, that each person whose signature appears below constitutes and appoints Martin Babler and John Schroer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 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 fact and agents or any of them, or his substitute or substitutes, may lawfully do or cause to be done by virtue hereof.</w:t>
      </w:r>
    </w:p>
    <w:p>
      <w:pPr>
        <w:spacing w:after="0" w:line="173" w:lineRule="exact"/>
        <w:rPr>
          <w:sz w:val="20"/>
          <w:szCs w:val="20"/>
          <w:color w:val="auto"/>
        </w:rPr>
      </w:pPr>
    </w:p>
    <w:p>
      <w:pPr>
        <w:jc w:val="both"/>
        <w:ind w:left="1720" w:right="1739"/>
        <w:spacing w:after="0" w:line="275" w:lineRule="auto"/>
        <w:rPr>
          <w:sz w:val="20"/>
          <w:szCs w:val="20"/>
          <w:color w:val="auto"/>
        </w:rPr>
      </w:pPr>
      <w:r>
        <w:rPr>
          <w:rFonts w:ascii="Times New Roman" w:cs="Times New Roman" w:eastAsia="Times New Roman" w:hAnsi="Times New Roman"/>
          <w:sz w:val="12"/>
          <w:szCs w:val="12"/>
          <w:color w:val="auto"/>
        </w:rPr>
        <w:t>Pursuant to the requirements of the Securities Act of 1933, as amended, this Amendment No. 2 to the registration statement has been signed by the following persons in the capacities and on the dates indicated.</w:t>
      </w:r>
    </w:p>
    <w:p>
      <w:pPr>
        <w:spacing w:after="0" w:line="74" w:lineRule="exact"/>
        <w:rPr>
          <w:sz w:val="20"/>
          <w:szCs w:val="20"/>
          <w:color w:val="auto"/>
        </w:rPr>
      </w:pPr>
    </w:p>
    <w:tbl>
      <w:tblPr>
        <w:tblLayout w:type="fixed"/>
        <w:tblInd w:w="1720" w:type="dxa"/>
        <w:tblCellMar>
          <w:top w:w="0" w:type="dxa"/>
          <w:left w:w="0" w:type="dxa"/>
          <w:bottom w:w="0" w:type="dxa"/>
          <w:right w:w="0" w:type="dxa"/>
        </w:tblCellMar>
      </w:tblPr>
      <w:tr>
        <w:trPr>
          <w:trHeight w:val="154"/>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8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0"/>
                <w:szCs w:val="10"/>
                <w:b w:val="1"/>
                <w:bCs w:val="1"/>
                <w:color w:val="auto"/>
              </w:rPr>
              <w:t>Signature</w:t>
            </w:r>
          </w:p>
        </w:tc>
        <w:tc>
          <w:tcPr>
            <w:tcW w:w="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21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0"/>
                <w:szCs w:val="10"/>
                <w:b w:val="1"/>
                <w:bCs w:val="1"/>
                <w:color w:val="auto"/>
              </w:rPr>
              <w:t>Title</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Date</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329"/>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 Martin Babler</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216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94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72"/>
        </w:trPr>
        <w:tc>
          <w:tcPr>
            <w:tcW w:w="36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60" w:type="dxa"/>
            <w:vAlign w:val="bottom"/>
            <w:vMerge w:val="restart"/>
          </w:tcPr>
          <w:p>
            <w:pPr>
              <w:spacing w:after="0" w:line="131" w:lineRule="exact"/>
              <w:rPr>
                <w:sz w:val="20"/>
                <w:szCs w:val="20"/>
                <w:color w:val="auto"/>
              </w:rPr>
            </w:pPr>
            <w:r>
              <w:rPr>
                <w:rFonts w:ascii="Times New Roman" w:cs="Times New Roman" w:eastAsia="Times New Roman" w:hAnsi="Times New Roman"/>
                <w:sz w:val="12"/>
                <w:szCs w:val="12"/>
                <w:color w:val="auto"/>
              </w:rPr>
              <w:t>and Director (</w:t>
            </w:r>
            <w:r>
              <w:rPr>
                <w:rFonts w:ascii="Times New Roman" w:cs="Times New Roman" w:eastAsia="Times New Roman" w:hAnsi="Times New Roman"/>
                <w:sz w:val="12"/>
                <w:szCs w:val="12"/>
                <w:i w:val="1"/>
                <w:iCs w:val="1"/>
                <w:color w:val="auto"/>
              </w:rPr>
              <w:t>Principal Executive</w:t>
            </w:r>
          </w:p>
        </w:tc>
        <w:tc>
          <w:tcPr>
            <w:tcW w:w="160" w:type="dxa"/>
            <w:vAlign w:val="bottom"/>
          </w:tcPr>
          <w:p>
            <w:pPr>
              <w:spacing w:after="0"/>
              <w:rPr>
                <w:sz w:val="6"/>
                <w:szCs w:val="6"/>
                <w:color w:val="auto"/>
              </w:rPr>
            </w:pPr>
          </w:p>
        </w:tc>
        <w:tc>
          <w:tcPr>
            <w:tcW w:w="94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auto"/>
              </w:rPr>
              <w:t>June 24, 2024</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Martin Babler</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5"/>
        </w:trPr>
        <w:tc>
          <w:tcPr>
            <w:tcW w:w="21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Officer</w:t>
            </w:r>
            <w:r>
              <w:rPr>
                <w:rFonts w:ascii="Times New Roman" w:cs="Times New Roman" w:eastAsia="Times New Roman" w:hAnsi="Times New Roman"/>
                <w:sz w:val="12"/>
                <w:szCs w:val="12"/>
                <w:color w:val="auto"/>
              </w:rPr>
              <w:t>)</w:t>
            </w: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3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 John Schroer</w:t>
            </w: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 ​</w:t>
            </w:r>
          </w:p>
        </w:tc>
        <w:tc>
          <w:tcPr>
            <w:tcW w:w="2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Chief Financial Officer (</w:t>
            </w:r>
            <w:r>
              <w:rPr>
                <w:rFonts w:ascii="Times New Roman" w:cs="Times New Roman" w:eastAsia="Times New Roman" w:hAnsi="Times New Roman"/>
                <w:sz w:val="12"/>
                <w:szCs w:val="12"/>
                <w:i w:val="1"/>
                <w:iCs w:val="1"/>
                <w:color w:val="auto"/>
              </w:rPr>
              <w:t>Principal</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June 24, 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65"/>
        </w:trPr>
        <w:tc>
          <w:tcPr>
            <w:tcW w:w="360" w:type="dxa"/>
            <w:vAlign w:val="bottom"/>
            <w:tcBorders>
              <w:bottom w:val="single" w:sz="8" w:color="auto"/>
            </w:tcBorders>
          </w:tcPr>
          <w:p>
            <w:pPr>
              <w:spacing w:after="0" w:line="66" w:lineRule="exact"/>
              <w:rPr>
                <w:sz w:val="20"/>
                <w:szCs w:val="20"/>
                <w:color w:val="auto"/>
              </w:rPr>
            </w:pPr>
            <w:r>
              <w:rPr>
                <w:rFonts w:ascii="Times New Roman" w:cs="Times New Roman" w:eastAsia="Times New Roman" w:hAnsi="Times New Roman"/>
                <w:sz w:val="7"/>
                <w:szCs w:val="7"/>
                <w:color w:val="auto"/>
              </w:rPr>
              <w:t>​</w:t>
            </w:r>
          </w:p>
        </w:tc>
        <w:tc>
          <w:tcPr>
            <w:tcW w:w="1820" w:type="dxa"/>
            <w:vAlign w:val="bottom"/>
            <w:tcBorders>
              <w:bottom w:val="single" w:sz="8" w:color="auto"/>
            </w:tcBorders>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216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John Schroer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Financial and Accounting Officer</w:t>
            </w: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 Patrick Machado</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360" w:type="dxa"/>
            <w:vAlign w:val="bottom"/>
          </w:tcPr>
          <w:p>
            <w:pPr>
              <w:spacing w:after="0" w:line="92" w:lineRule="exact"/>
              <w:rPr>
                <w:sz w:val="20"/>
                <w:szCs w:val="20"/>
                <w:color w:val="auto"/>
              </w:rPr>
            </w:pPr>
            <w:r>
              <w:rPr>
                <w:rFonts w:ascii="Times New Roman" w:cs="Times New Roman" w:eastAsia="Times New Roman" w:hAnsi="Times New Roman"/>
                <w:sz w:val="10"/>
                <w:szCs w:val="10"/>
                <w:color w:val="auto"/>
              </w:rPr>
              <w:t>​</w:t>
            </w:r>
          </w:p>
        </w:tc>
        <w:tc>
          <w:tcPr>
            <w:tcW w:w="1820" w:type="dxa"/>
            <w:vAlign w:val="bottom"/>
          </w:tcPr>
          <w:p>
            <w:pPr>
              <w:spacing w:after="0"/>
              <w:rPr>
                <w:sz w:val="7"/>
                <w:szCs w:val="7"/>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 ​ Director</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June 24, 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67"/>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Patrick Machado, J.D.</w:t>
            </w:r>
          </w:p>
        </w:tc>
        <w:tc>
          <w:tcPr>
            <w:tcW w:w="2280" w:type="dxa"/>
            <w:vAlign w:val="bottom"/>
            <w:gridSpan w:val="3"/>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1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360" w:type="dxa"/>
            <w:vAlign w:val="bottom"/>
          </w:tcPr>
          <w:p>
            <w:pPr>
              <w:spacing w:after="0" w:line="92" w:lineRule="exact"/>
              <w:rPr>
                <w:sz w:val="20"/>
                <w:szCs w:val="20"/>
                <w:color w:val="auto"/>
              </w:rPr>
            </w:pPr>
            <w:r>
              <w:rPr>
                <w:rFonts w:ascii="Times New Roman" w:cs="Times New Roman" w:eastAsia="Times New Roman" w:hAnsi="Times New Roman"/>
                <w:sz w:val="10"/>
                <w:szCs w:val="10"/>
                <w:color w:val="auto"/>
              </w:rPr>
              <w:t>​</w:t>
            </w:r>
          </w:p>
        </w:tc>
        <w:tc>
          <w:tcPr>
            <w:tcW w:w="1820" w:type="dxa"/>
            <w:vAlign w:val="bottom"/>
          </w:tcPr>
          <w:p>
            <w:pPr>
              <w:spacing w:after="0"/>
              <w:rPr>
                <w:sz w:val="7"/>
                <w:szCs w:val="7"/>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 ​ Director</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June 24, 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67"/>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Alan B. Colowick, M.D., M.P.H.</w:t>
            </w:r>
          </w:p>
        </w:tc>
        <w:tc>
          <w:tcPr>
            <w:tcW w:w="2280" w:type="dxa"/>
            <w:vAlign w:val="bottom"/>
            <w:gridSpan w:val="3"/>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1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360" w:type="dxa"/>
            <w:vAlign w:val="bottom"/>
          </w:tcPr>
          <w:p>
            <w:pPr>
              <w:spacing w:after="0" w:line="92" w:lineRule="exact"/>
              <w:rPr>
                <w:sz w:val="20"/>
                <w:szCs w:val="20"/>
                <w:color w:val="auto"/>
              </w:rPr>
            </w:pPr>
            <w:r>
              <w:rPr>
                <w:rFonts w:ascii="Times New Roman" w:cs="Times New Roman" w:eastAsia="Times New Roman" w:hAnsi="Times New Roman"/>
                <w:sz w:val="10"/>
                <w:szCs w:val="10"/>
                <w:color w:val="auto"/>
              </w:rPr>
              <w:t>​</w:t>
            </w:r>
          </w:p>
        </w:tc>
        <w:tc>
          <w:tcPr>
            <w:tcW w:w="1820" w:type="dxa"/>
            <w:vAlign w:val="bottom"/>
          </w:tcPr>
          <w:p>
            <w:pPr>
              <w:spacing w:after="0"/>
              <w:rPr>
                <w:sz w:val="7"/>
                <w:szCs w:val="7"/>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 ​ Director</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June 24, 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67"/>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Sapna Srivastava, Ph.D.</w:t>
            </w:r>
          </w:p>
        </w:tc>
        <w:tc>
          <w:tcPr>
            <w:tcW w:w="2280" w:type="dxa"/>
            <w:vAlign w:val="bottom"/>
            <w:gridSpan w:val="3"/>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1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360" w:type="dxa"/>
            <w:vAlign w:val="bottom"/>
          </w:tcPr>
          <w:p>
            <w:pPr>
              <w:spacing w:after="0" w:line="92" w:lineRule="exact"/>
              <w:rPr>
                <w:sz w:val="20"/>
                <w:szCs w:val="20"/>
                <w:color w:val="auto"/>
              </w:rPr>
            </w:pPr>
            <w:r>
              <w:rPr>
                <w:rFonts w:ascii="Times New Roman" w:cs="Times New Roman" w:eastAsia="Times New Roman" w:hAnsi="Times New Roman"/>
                <w:sz w:val="10"/>
                <w:szCs w:val="10"/>
                <w:color w:val="auto"/>
              </w:rPr>
              <w:t>​</w:t>
            </w:r>
          </w:p>
        </w:tc>
        <w:tc>
          <w:tcPr>
            <w:tcW w:w="1820" w:type="dxa"/>
            <w:vAlign w:val="bottom"/>
          </w:tcPr>
          <w:p>
            <w:pPr>
              <w:spacing w:after="0"/>
              <w:rPr>
                <w:sz w:val="7"/>
                <w:szCs w:val="7"/>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 ​ Director</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June 24, 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67"/>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James B. Tananbaum, M.D.</w:t>
            </w:r>
          </w:p>
        </w:tc>
        <w:tc>
          <w:tcPr>
            <w:tcW w:w="2280" w:type="dxa"/>
            <w:vAlign w:val="bottom"/>
            <w:gridSpan w:val="3"/>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1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360" w:type="dxa"/>
            <w:vAlign w:val="bottom"/>
          </w:tcPr>
          <w:p>
            <w:pPr>
              <w:spacing w:after="0" w:line="92" w:lineRule="exact"/>
              <w:rPr>
                <w:sz w:val="20"/>
                <w:szCs w:val="20"/>
                <w:color w:val="auto"/>
              </w:rPr>
            </w:pPr>
            <w:r>
              <w:rPr>
                <w:rFonts w:ascii="Times New Roman" w:cs="Times New Roman" w:eastAsia="Times New Roman" w:hAnsi="Times New Roman"/>
                <w:sz w:val="10"/>
                <w:szCs w:val="10"/>
                <w:color w:val="auto"/>
              </w:rPr>
              <w:t>​</w:t>
            </w:r>
          </w:p>
        </w:tc>
        <w:tc>
          <w:tcPr>
            <w:tcW w:w="1820" w:type="dxa"/>
            <w:vAlign w:val="bottom"/>
          </w:tcPr>
          <w:p>
            <w:pPr>
              <w:spacing w:after="0"/>
              <w:rPr>
                <w:sz w:val="7"/>
                <w:szCs w:val="7"/>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 ​ Director</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June 24, 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67"/>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Zhengbin Yao, Ph.D.</w:t>
            </w:r>
          </w:p>
        </w:tc>
        <w:tc>
          <w:tcPr>
            <w:tcW w:w="2280" w:type="dxa"/>
            <w:vAlign w:val="bottom"/>
            <w:gridSpan w:val="3"/>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1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3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1820" w:type="dxa"/>
            <w:vAlign w:val="bottom"/>
          </w:tcPr>
          <w:p>
            <w:pPr>
              <w:spacing w:after="0"/>
              <w:rPr>
                <w:sz w:val="8"/>
                <w:szCs w:val="8"/>
                <w:color w:val="auto"/>
              </w:rPr>
            </w:pPr>
          </w:p>
        </w:tc>
        <w:tc>
          <w:tcPr>
            <w:tcW w:w="2280" w:type="dxa"/>
            <w:vAlign w:val="bottom"/>
            <w:gridSpan w:val="3"/>
          </w:tcPr>
          <w:p>
            <w:pPr>
              <w:spacing w:after="0" w:line="101" w:lineRule="exact"/>
              <w:rPr>
                <w:sz w:val="20"/>
                <w:szCs w:val="20"/>
                <w:color w:val="auto"/>
              </w:rPr>
            </w:pPr>
            <w:r>
              <w:rPr>
                <w:rFonts w:ascii="Times New Roman" w:cs="Times New Roman" w:eastAsia="Times New Roman" w:hAnsi="Times New Roman"/>
                <w:sz w:val="11"/>
                <w:szCs w:val="11"/>
                <w:color w:val="auto"/>
              </w:rPr>
              <w:t>​ ​ Director</w:t>
            </w:r>
          </w:p>
        </w:tc>
        <w:tc>
          <w:tcPr>
            <w:tcW w:w="1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 ​</w:t>
            </w:r>
          </w:p>
        </w:tc>
        <w:tc>
          <w:tcPr>
            <w:tcW w:w="940" w:type="dxa"/>
            <w:vAlign w:val="bottom"/>
          </w:tcPr>
          <w:p>
            <w:pPr>
              <w:jc w:val="center"/>
              <w:spacing w:after="0" w:line="101" w:lineRule="exact"/>
              <w:rPr>
                <w:sz w:val="20"/>
                <w:szCs w:val="20"/>
                <w:color w:val="auto"/>
              </w:rPr>
            </w:pPr>
            <w:r>
              <w:rPr>
                <w:rFonts w:ascii="Times New Roman" w:cs="Times New Roman" w:eastAsia="Times New Roman" w:hAnsi="Times New Roman"/>
                <w:sz w:val="11"/>
                <w:szCs w:val="11"/>
                <w:color w:val="auto"/>
              </w:rPr>
              <w:t>June 24, 2024</w:t>
            </w:r>
          </w:p>
        </w:tc>
        <w:tc>
          <w:tcPr>
            <w:tcW w:w="4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2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Srinivas Akkaraju, M.D., Ph.D.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auto"/>
              </w:rPr>
              <w:t>​* By:</w:t>
            </w:r>
          </w:p>
        </w:tc>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Martin Babler</w:t>
            </w:r>
          </w:p>
        </w:tc>
        <w:tc>
          <w:tcPr>
            <w:tcW w:w="20" w:type="dxa"/>
            <w:vAlign w:val="bottom"/>
            <w:tcBorders>
              <w:bottom w:val="single" w:sz="8" w:color="auto"/>
            </w:tcBorders>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 ​</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6"/>
        </w:trPr>
        <w:tc>
          <w:tcPr>
            <w:tcW w:w="360" w:type="dxa"/>
            <w:vAlign w:val="bottom"/>
          </w:tcPr>
          <w:p>
            <w:pPr>
              <w:spacing w:after="0"/>
              <w:rPr>
                <w:sz w:val="12"/>
                <w:szCs w:val="12"/>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2"/>
                <w:szCs w:val="12"/>
                <w:color w:val="auto"/>
              </w:rPr>
              <w:t>Martin Babler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-1958975</wp:posOffset>
            </wp:positionV>
            <wp:extent cx="1378585" cy="571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5">
                      <a:extLst>
                        <a:ext uri="{28A0092B-C50C-407E-A947-70E740481C1C}"/>
                      </a:extLst>
                    </a:blip>
                    <a:srcRect/>
                    <a:stretch>
                      <a:fillRect/>
                    </a:stretch>
                  </pic:blipFill>
                  <pic:spPr bwMode="auto">
                    <a:xfrm>
                      <a:off x="0" y="0"/>
                      <a:ext cx="137858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-1673860</wp:posOffset>
            </wp:positionV>
            <wp:extent cx="1378585" cy="571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6">
                      <a:extLst>
                        <a:ext uri="{28A0092B-C50C-407E-A947-70E740481C1C}"/>
                      </a:extLst>
                    </a:blip>
                    <a:srcRect/>
                    <a:stretch>
                      <a:fillRect/>
                    </a:stretch>
                  </pic:blipFill>
                  <pic:spPr bwMode="auto">
                    <a:xfrm>
                      <a:off x="0" y="0"/>
                      <a:ext cx="137858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-1388745</wp:posOffset>
            </wp:positionV>
            <wp:extent cx="1378585" cy="571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7">
                      <a:extLst>
                        <a:ext uri="{28A0092B-C50C-407E-A947-70E740481C1C}"/>
                      </a:extLst>
                    </a:blip>
                    <a:srcRect/>
                    <a:stretch>
                      <a:fillRect/>
                    </a:stretch>
                  </pic:blipFill>
                  <pic:spPr bwMode="auto">
                    <a:xfrm>
                      <a:off x="0" y="0"/>
                      <a:ext cx="137858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-1103630</wp:posOffset>
            </wp:positionV>
            <wp:extent cx="1378585" cy="571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8">
                      <a:extLst>
                        <a:ext uri="{28A0092B-C50C-407E-A947-70E740481C1C}"/>
                      </a:extLst>
                    </a:blip>
                    <a:srcRect/>
                    <a:stretch>
                      <a:fillRect/>
                    </a:stretch>
                  </pic:blipFill>
                  <pic:spPr bwMode="auto">
                    <a:xfrm>
                      <a:off x="0" y="0"/>
                      <a:ext cx="137858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-819150</wp:posOffset>
            </wp:positionV>
            <wp:extent cx="1378585" cy="571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9">
                      <a:extLst>
                        <a:ext uri="{28A0092B-C50C-407E-A947-70E740481C1C}"/>
                      </a:extLst>
                    </a:blip>
                    <a:srcRect/>
                    <a:stretch>
                      <a:fillRect/>
                    </a:stretch>
                  </pic:blipFill>
                  <pic:spPr bwMode="auto">
                    <a:xfrm>
                      <a:off x="0" y="0"/>
                      <a:ext cx="1378585" cy="571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-534035</wp:posOffset>
            </wp:positionV>
            <wp:extent cx="1378585" cy="571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0">
                      <a:extLst>
                        <a:ext uri="{28A0092B-C50C-407E-A947-70E740481C1C}"/>
                      </a:extLst>
                    </a:blip>
                    <a:srcRect/>
                    <a:stretch>
                      <a:fillRect/>
                    </a:stretch>
                  </pic:blipFill>
                  <pic:spPr bwMode="auto">
                    <a:xfrm>
                      <a:off x="0" y="0"/>
                      <a:ext cx="1378585" cy="5715"/>
                    </a:xfrm>
                    <a:prstGeom prst="rect">
                      <a:avLst/>
                    </a:prstGeom>
                    <a:noFill/>
                  </pic:spPr>
                </pic:pic>
              </a:graphicData>
            </a:graphic>
          </wp:anchor>
        </w:drawing>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169545</wp:posOffset>
            </wp:positionV>
            <wp:extent cx="4643120" cy="3683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1">
                      <a:extLst>
                        <a:ext uri="{28A0092B-C50C-407E-A947-70E740481C1C}"/>
                      </a:extLst>
                    </a:blip>
                    <a:srcRect/>
                    <a:stretch>
                      <a:fillRect/>
                    </a:stretch>
                  </pic:blipFill>
                  <pic:spPr bwMode="auto">
                    <a:xfrm>
                      <a:off x="0" y="0"/>
                      <a:ext cx="4643120"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2"/>
          <w:szCs w:val="12"/>
          <w:b w:val="1"/>
          <w:bCs w:val="1"/>
          <w:color w:val="auto"/>
        </w:rPr>
        <w:t>Exhibit 1.1</w:t>
      </w:r>
    </w:p>
    <w:p>
      <w:pPr>
        <w:spacing w:after="0" w:line="15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2"/>
          <w:szCs w:val="12"/>
          <w:b w:val="1"/>
          <w:bCs w:val="1"/>
          <w:color w:val="auto"/>
        </w:rPr>
        <w:t>[_______________] Shares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UNDERWRITING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304165</wp:posOffset>
            </wp:positionV>
            <wp:extent cx="7176135" cy="571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2">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290" w:right="299" w:bottom="1440" w:gutter="0" w:footer="0" w:header="0"/>
        </w:sectPr>
      </w:pPr>
    </w:p>
    <w:bookmarkStart w:id="273" w:name="page274"/>
    <w:bookmarkEnd w:id="273"/>
    <w:p>
      <w:pPr>
        <w:ind w:left="10000"/>
        <w:spacing w:after="0"/>
        <w:rPr>
          <w:sz w:val="20"/>
          <w:szCs w:val="20"/>
          <w:color w:val="auto"/>
        </w:rPr>
      </w:pPr>
      <w:r>
        <w:rPr>
          <w:rFonts w:ascii="Times New Roman" w:cs="Times New Roman" w:eastAsia="Times New Roman" w:hAnsi="Times New Roman"/>
          <w:sz w:val="12"/>
          <w:szCs w:val="12"/>
          <w:color w:val="auto"/>
        </w:rPr>
        <w:t>[_______________],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Morgan Stanley &amp; Co.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Leerink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Cantor Fitzgerald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Guggenheim Securities, LLC</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As Representatives of the several Underwriters named in Schedule I hereto.</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Morgan Stanley &amp; Co. LLC</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1585 Broadway</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New York, NY 10036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Leerink Partners LLC</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1301 Avenue of the Americas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12th Floor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New York, NY 10019</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Cantor Fitzgerald &amp; Co.</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110 East 59th Street</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6th Floor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New York, NY 10022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Guggenheim Securities, LLC</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330 Madison Avenue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New York, NY 10017</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53"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2"/>
          <w:szCs w:val="12"/>
          <w:color w:val="auto"/>
        </w:rPr>
        <w:t>Alumis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proposes, subject to terms and conditions stated in this agreement (this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to issue and sell to the several Underwriters named in Schedule I hereto (the “</w:t>
      </w:r>
      <w:r>
        <w:rPr>
          <w:rFonts w:ascii="Times New Roman" w:cs="Times New Roman" w:eastAsia="Times New Roman" w:hAnsi="Times New Roman"/>
          <w:sz w:val="12"/>
          <w:szCs w:val="12"/>
          <w:b w:val="1"/>
          <w:bCs w:val="1"/>
          <w:color w:val="auto"/>
        </w:rPr>
        <w:t>Underwriters</w:t>
      </w:r>
      <w:r>
        <w:rPr>
          <w:rFonts w:ascii="Times New Roman" w:cs="Times New Roman" w:eastAsia="Times New Roman" w:hAnsi="Times New Roman"/>
          <w:sz w:val="12"/>
          <w:szCs w:val="12"/>
          <w:color w:val="auto"/>
        </w:rPr>
        <w:t>”), for whom Morgan Stanley &amp; Co. LLC, Leerink Partners LLC, Cantor Fitzgerald &amp; Co. and Guggenheim Securities, LLC are acting as representatives (the “</w:t>
      </w:r>
      <w:r>
        <w:rPr>
          <w:rFonts w:ascii="Times New Roman" w:cs="Times New Roman" w:eastAsia="Times New Roman" w:hAnsi="Times New Roman"/>
          <w:sz w:val="12"/>
          <w:szCs w:val="12"/>
          <w:b w:val="1"/>
          <w:bCs w:val="1"/>
          <w:color w:val="auto"/>
        </w:rPr>
        <w:t>Representatives</w:t>
      </w:r>
      <w:r>
        <w:rPr>
          <w:rFonts w:ascii="Times New Roman" w:cs="Times New Roman" w:eastAsia="Times New Roman" w:hAnsi="Times New Roman"/>
          <w:sz w:val="12"/>
          <w:szCs w:val="12"/>
          <w:color w:val="auto"/>
        </w:rPr>
        <w:t>”), [_________] shares of its common</w:t>
      </w:r>
    </w:p>
    <w:p>
      <w:pPr>
        <w:spacing w:after="0"/>
        <w:rPr>
          <w:sz w:val="20"/>
          <w:szCs w:val="20"/>
          <w:color w:val="auto"/>
        </w:rPr>
      </w:pPr>
      <w:r>
        <w:rPr>
          <w:rFonts w:ascii="Times New Roman" w:cs="Times New Roman" w:eastAsia="Times New Roman" w:hAnsi="Times New Roman"/>
          <w:sz w:val="12"/>
          <w:szCs w:val="12"/>
          <w:color w:val="auto"/>
        </w:rPr>
        <w:t>stock, par value $0.0001 per share (the “</w:t>
      </w:r>
      <w:r>
        <w:rPr>
          <w:rFonts w:ascii="Times New Roman" w:cs="Times New Roman" w:eastAsia="Times New Roman" w:hAnsi="Times New Roman"/>
          <w:sz w:val="12"/>
          <w:szCs w:val="12"/>
          <w:b w:val="1"/>
          <w:bCs w:val="1"/>
          <w:color w:val="auto"/>
        </w:rPr>
        <w:t>Firm Shares</w:t>
      </w:r>
      <w:r>
        <w:rPr>
          <w:rFonts w:ascii="Times New Roman" w:cs="Times New Roman" w:eastAsia="Times New Roman" w:hAnsi="Times New Roman"/>
          <w:sz w:val="12"/>
          <w:szCs w:val="12"/>
          <w:color w:val="auto"/>
        </w:rPr>
        <w:t>”). The Company also proposes to issue and sell to the several Underwriters not more than an additional [_________] shares of its common stock, par value $0.0001 per share</w:t>
      </w:r>
    </w:p>
    <w:p>
      <w:pPr>
        <w:spacing w:after="0" w:line="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Additional Shares</w:t>
      </w:r>
      <w:r>
        <w:rPr>
          <w:rFonts w:ascii="Times New Roman" w:cs="Times New Roman" w:eastAsia="Times New Roman" w:hAnsi="Times New Roman"/>
          <w:sz w:val="12"/>
          <w:szCs w:val="12"/>
          <w:color w:val="auto"/>
        </w:rPr>
        <w:t>”), if and to the extent that the Representatives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2"/>
          <w:szCs w:val="12"/>
          <w:color w:val="auto"/>
        </w:rPr>
        <w:t>” The shares of common stock, par value $0.0001 per share, of the Company to be outstanding after giving effect to the sales contemplated hereby are hereinafter referred to as the “</w:t>
      </w:r>
      <w:r>
        <w:rPr>
          <w:rFonts w:ascii="Times New Roman" w:cs="Times New Roman" w:eastAsia="Times New Roman" w:hAnsi="Times New Roman"/>
          <w:sz w:val="12"/>
          <w:szCs w:val="12"/>
          <w:b w:val="1"/>
          <w:bCs w:val="1"/>
          <w:color w:val="auto"/>
        </w:rPr>
        <w:t>Common Stock</w:t>
      </w:r>
      <w:r>
        <w:rPr>
          <w:rFonts w:ascii="Times New Roman" w:cs="Times New Roman" w:eastAsia="Times New Roman" w:hAnsi="Times New Roman"/>
          <w:sz w:val="12"/>
          <w:szCs w:val="12"/>
          <w:color w:val="auto"/>
        </w:rPr>
        <w:t xml:space="preserve">.” In the event that the Company has no subsidiaries, or only one subsidiary, then all references herein to “subsidiaries” of the Company shall be deemed to refer to no subsidiary, or such single subsidiary,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76135" cy="571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3">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74" w:name="page275"/>
    <w:bookmarkEnd w:id="274"/>
    <w:p>
      <w:pPr>
        <w:jc w:val="both"/>
        <w:ind w:firstLine="440"/>
        <w:spacing w:after="0" w:line="263" w:lineRule="auto"/>
        <w:rPr>
          <w:sz w:val="20"/>
          <w:szCs w:val="20"/>
          <w:color w:val="auto"/>
        </w:rPr>
      </w:pPr>
      <w:r>
        <w:rPr>
          <w:rFonts w:ascii="Times New Roman" w:cs="Times New Roman" w:eastAsia="Times New Roman" w:hAnsi="Times New Roman"/>
          <w:sz w:val="12"/>
          <w:szCs w:val="12"/>
          <w:color w:val="auto"/>
        </w:rPr>
        <w:t>The Company has filed with the Securities and Exchange Commission (the “</w:t>
      </w:r>
      <w:r>
        <w:rPr>
          <w:rFonts w:ascii="Times New Roman" w:cs="Times New Roman" w:eastAsia="Times New Roman" w:hAnsi="Times New Roman"/>
          <w:sz w:val="12"/>
          <w:szCs w:val="12"/>
          <w:b w:val="1"/>
          <w:bCs w:val="1"/>
          <w:color w:val="auto"/>
        </w:rPr>
        <w:t>Commission</w:t>
      </w:r>
      <w:r>
        <w:rPr>
          <w:rFonts w:ascii="Times New Roman" w:cs="Times New Roman" w:eastAsia="Times New Roman" w:hAnsi="Times New Roman"/>
          <w:sz w:val="12"/>
          <w:szCs w:val="12"/>
          <w:color w:val="auto"/>
        </w:rPr>
        <w:t>”) a registration statement on Form S-1 (File No. 333-280068), including a preliminary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is hereinafter referred to as the “</w:t>
      </w:r>
      <w:r>
        <w:rPr>
          <w:rFonts w:ascii="Times New Roman" w:cs="Times New Roman" w:eastAsia="Times New Roman" w:hAnsi="Times New Roman"/>
          <w:sz w:val="12"/>
          <w:szCs w:val="12"/>
          <w:b w:val="1"/>
          <w:bCs w:val="1"/>
          <w:color w:val="auto"/>
        </w:rPr>
        <w:t>Registration Statement</w:t>
      </w:r>
      <w:r>
        <w:rPr>
          <w:rFonts w:ascii="Times New Roman" w:cs="Times New Roman" w:eastAsia="Times New Roman" w:hAnsi="Times New Roman"/>
          <w:sz w:val="12"/>
          <w:szCs w:val="12"/>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2"/>
          <w:szCs w:val="12"/>
          <w:b w:val="1"/>
          <w:bCs w:val="1"/>
          <w:color w:val="auto"/>
        </w:rPr>
        <w:t>Prospectus</w:t>
      </w:r>
      <w:r>
        <w:rPr>
          <w:rFonts w:ascii="Times New Roman" w:cs="Times New Roman" w:eastAsia="Times New Roman" w:hAnsi="Times New Roman"/>
          <w:sz w:val="12"/>
          <w:szCs w:val="12"/>
          <w:color w:val="auto"/>
        </w:rPr>
        <w:t>.” If the Company has filed an abbreviated registration statement to register additional shares of Common Stock pursuant to Rule 462(b) under the Securities Act (a “</w:t>
      </w:r>
      <w:r>
        <w:rPr>
          <w:rFonts w:ascii="Times New Roman" w:cs="Times New Roman" w:eastAsia="Times New Roman" w:hAnsi="Times New Roman"/>
          <w:sz w:val="12"/>
          <w:szCs w:val="12"/>
          <w:b w:val="1"/>
          <w:bCs w:val="1"/>
          <w:color w:val="auto"/>
        </w:rPr>
        <w:t>Rule 462 Registration Statement</w:t>
      </w:r>
      <w:r>
        <w:rPr>
          <w:rFonts w:ascii="Times New Roman" w:cs="Times New Roman" w:eastAsia="Times New Roman" w:hAnsi="Times New Roman"/>
          <w:sz w:val="12"/>
          <w:szCs w:val="12"/>
          <w:color w:val="auto"/>
        </w:rPr>
        <w:t>”), then any reference herein to the term “</w:t>
      </w:r>
      <w:r>
        <w:rPr>
          <w:rFonts w:ascii="Times New Roman" w:cs="Times New Roman" w:eastAsia="Times New Roman" w:hAnsi="Times New Roman"/>
          <w:sz w:val="12"/>
          <w:szCs w:val="12"/>
          <w:b w:val="1"/>
          <w:bCs w:val="1"/>
          <w:color w:val="auto"/>
        </w:rPr>
        <w:t>Registration Statement</w:t>
      </w:r>
      <w:r>
        <w:rPr>
          <w:rFonts w:ascii="Times New Roman" w:cs="Times New Roman" w:eastAsia="Times New Roman" w:hAnsi="Times New Roman"/>
          <w:sz w:val="12"/>
          <w:szCs w:val="12"/>
          <w:color w:val="auto"/>
        </w:rPr>
        <w:t>” shall be deemed to include such Rule 462 Registration Statement.</w:t>
      </w:r>
    </w:p>
    <w:p>
      <w:pPr>
        <w:spacing w:after="0" w:line="270" w:lineRule="exact"/>
        <w:rPr>
          <w:sz w:val="20"/>
          <w:szCs w:val="20"/>
          <w:color w:val="auto"/>
        </w:rPr>
      </w:pPr>
    </w:p>
    <w:p>
      <w:pPr>
        <w:jc w:val="both"/>
        <w:ind w:firstLine="440"/>
        <w:spacing w:after="0" w:line="264" w:lineRule="auto"/>
        <w:rPr>
          <w:sz w:val="20"/>
          <w:szCs w:val="20"/>
          <w:color w:val="auto"/>
        </w:rPr>
      </w:pPr>
      <w:r>
        <w:rPr>
          <w:rFonts w:ascii="Times New Roman" w:cs="Times New Roman" w:eastAsia="Times New Roman" w:hAnsi="Times New Roman"/>
          <w:sz w:val="12"/>
          <w:szCs w:val="12"/>
          <w:color w:val="auto"/>
        </w:rPr>
        <w:t>For purposes of this Agreement, “</w:t>
      </w:r>
      <w:r>
        <w:rPr>
          <w:rFonts w:ascii="Times New Roman" w:cs="Times New Roman" w:eastAsia="Times New Roman" w:hAnsi="Times New Roman"/>
          <w:sz w:val="12"/>
          <w:szCs w:val="12"/>
          <w:b w:val="1"/>
          <w:bCs w:val="1"/>
          <w:color w:val="auto"/>
        </w:rPr>
        <w:t>free writing prospectus</w:t>
      </w:r>
      <w:r>
        <w:rPr>
          <w:rFonts w:ascii="Times New Roman" w:cs="Times New Roman" w:eastAsia="Times New Roman" w:hAnsi="Times New Roman"/>
          <w:sz w:val="12"/>
          <w:szCs w:val="12"/>
          <w:color w:val="auto"/>
        </w:rPr>
        <w:t>” has the meaning set forth in Rule 405 under the Securities Act, “</w:t>
      </w:r>
      <w:r>
        <w:rPr>
          <w:rFonts w:ascii="Times New Roman" w:cs="Times New Roman" w:eastAsia="Times New Roman" w:hAnsi="Times New Roman"/>
          <w:sz w:val="12"/>
          <w:szCs w:val="12"/>
          <w:b w:val="1"/>
          <w:bCs w:val="1"/>
          <w:color w:val="auto"/>
        </w:rPr>
        <w:t>preliminary prospectus</w:t>
      </w:r>
      <w:r>
        <w:rPr>
          <w:rFonts w:ascii="Times New Roman" w:cs="Times New Roman" w:eastAsia="Times New Roman" w:hAnsi="Times New Roman"/>
          <w:sz w:val="12"/>
          <w:szCs w:val="12"/>
          <w:color w:val="auto"/>
        </w:rPr>
        <w:t>” shall mean each prospectus used prior to the effectiveness of the Registration Statement, and each prospectus that omitted information pursuant to Rule 430A under the Securities Act that was used after such effectiveness and prior to the execution and delivery of this Agreement, “</w:t>
      </w:r>
      <w:r>
        <w:rPr>
          <w:rFonts w:ascii="Times New Roman" w:cs="Times New Roman" w:eastAsia="Times New Roman" w:hAnsi="Times New Roman"/>
          <w:sz w:val="12"/>
          <w:szCs w:val="12"/>
          <w:b w:val="1"/>
          <w:bCs w:val="1"/>
          <w:color w:val="auto"/>
        </w:rPr>
        <w:t>Time of Sale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Prospectus</w:t>
      </w:r>
      <w:r>
        <w:rPr>
          <w:rFonts w:ascii="Times New Roman" w:cs="Times New Roman" w:eastAsia="Times New Roman" w:hAnsi="Times New Roman"/>
          <w:sz w:val="12"/>
          <w:szCs w:val="12"/>
          <w:color w:val="auto"/>
        </w:rPr>
        <w:t>” means the preliminary prospectus contained in the Registration Statement at the time of its effectiveness together with the documents and pricing information set forth in Schedule II hereto, and “</w:t>
      </w:r>
      <w:r>
        <w:rPr>
          <w:rFonts w:ascii="Times New Roman" w:cs="Times New Roman" w:eastAsia="Times New Roman" w:hAnsi="Times New Roman"/>
          <w:sz w:val="12"/>
          <w:szCs w:val="12"/>
          <w:b w:val="1"/>
          <w:bCs w:val="1"/>
          <w:color w:val="auto"/>
        </w:rPr>
        <w:t>broadly available road show</w:t>
      </w:r>
      <w:r>
        <w:rPr>
          <w:rFonts w:ascii="Times New Roman" w:cs="Times New Roman" w:eastAsia="Times New Roman" w:hAnsi="Times New Roman"/>
          <w:sz w:val="12"/>
          <w:szCs w:val="12"/>
          <w:color w:val="auto"/>
        </w:rPr>
        <w:t>” means a “bona fide electronic road show” as defined in Rule 433(h)(5) under the Securities Act that has been made available without restriction to any person. As used herein, the terms “Registration Statement,”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“preliminary prospectus,” “Time of Sale Prospectus” and “Prospectus” shall include the documents, if any, incorporated by reference therein as of the date hereof.</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1.            </w:t>
      </w:r>
      <w:r>
        <w:rPr>
          <w:rFonts w:ascii="Times New Roman" w:cs="Times New Roman" w:eastAsia="Times New Roman" w:hAnsi="Times New Roman"/>
          <w:sz w:val="12"/>
          <w:szCs w:val="12"/>
          <w:i w:val="1"/>
          <w:iCs w:val="1"/>
          <w:color w:val="auto"/>
        </w:rPr>
        <w:t>Representations and Warranties</w:t>
      </w:r>
      <w:r>
        <w:rPr>
          <w:rFonts w:ascii="Times New Roman" w:cs="Times New Roman" w:eastAsia="Times New Roman" w:hAnsi="Times New Roman"/>
          <w:sz w:val="12"/>
          <w:szCs w:val="12"/>
          <w:color w:val="auto"/>
        </w:rPr>
        <w:t>. The Company represents and warrants to and agrees with each of the Underwriters that:</w:t>
      </w:r>
    </w:p>
    <w:p>
      <w:pPr>
        <w:spacing w:after="0" w:line="157" w:lineRule="exact"/>
        <w:rPr>
          <w:sz w:val="20"/>
          <w:szCs w:val="20"/>
          <w:color w:val="auto"/>
        </w:rPr>
      </w:pPr>
    </w:p>
    <w:p>
      <w:pPr>
        <w:jc w:val="both"/>
        <w:ind w:firstLine="440"/>
        <w:spacing w:after="0" w:line="291" w:lineRule="auto"/>
        <w:rPr>
          <w:sz w:val="20"/>
          <w:szCs w:val="20"/>
          <w:color w:val="auto"/>
        </w:rPr>
      </w:pPr>
      <w:r>
        <w:rPr>
          <w:rFonts w:ascii="Times New Roman" w:cs="Times New Roman" w:eastAsia="Times New Roman" w:hAnsi="Times New Roman"/>
          <w:sz w:val="12"/>
          <w:szCs w:val="12"/>
          <w:color w:val="auto"/>
        </w:rPr>
        <w:t>(a)            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w:t>
      </w:r>
    </w:p>
    <w:p>
      <w:pPr>
        <w:spacing w:after="0" w:line="105"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2"/>
          <w:szCs w:val="12"/>
          <w:color w:val="auto"/>
        </w:rPr>
        <w:t>(b)            (i) The Registration Statement, when it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as of the date of such amendment or supplement, will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as of its date, does not contain and, as amended or supplemented, if applicable, as of the date of such amendment or supplement,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76135" cy="571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4">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275" w:name="page276"/>
    <w:bookmarkEnd w:id="275"/>
    <w:p>
      <w:pPr>
        <w:jc w:val="both"/>
        <w:ind w:firstLine="440"/>
        <w:spacing w:after="0" w:line="262" w:lineRule="auto"/>
        <w:rPr>
          <w:sz w:val="20"/>
          <w:szCs w:val="20"/>
          <w:color w:val="auto"/>
        </w:rPr>
      </w:pPr>
      <w:r>
        <w:rPr>
          <w:rFonts w:ascii="Times New Roman" w:cs="Times New Roman" w:eastAsia="Times New Roman" w:hAnsi="Times New Roman"/>
          <w:sz w:val="12"/>
          <w:szCs w:val="12"/>
          <w:color w:val="auto"/>
        </w:rPr>
        <w:t>(c)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as of the date of such filing, in all material respects with the applicable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Representatives’ prior consent, prepare, use or refer to, any free writing prospectus.</w:t>
      </w:r>
    </w:p>
    <w:p>
      <w:pPr>
        <w:spacing w:after="0" w:line="12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2"/>
          <w:szCs w:val="12"/>
          <w:color w:val="auto"/>
        </w:rPr>
        <w:t>(d)            The Company has been duly incorporated, is validly existing as a corporation in good standing under the laws of the jurisdiction of its incorporation, has the corporate power and authority to own or lease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 and its subsidiaries, taken as a whole.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(e)            The Company has no subsidiaries and does not, directly or indirectly, own any capital stock or other equity or ownership or proprietary interest in any corporation, partnership, association, trust or other entity.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(f)            This Agreement has been duly authorized, executed and delivered by the Company.</w:t>
      </w:r>
    </w:p>
    <w:p>
      <w:pPr>
        <w:spacing w:after="0" w:line="155" w:lineRule="exact"/>
        <w:rPr>
          <w:sz w:val="20"/>
          <w:szCs w:val="20"/>
          <w:color w:val="auto"/>
        </w:rPr>
      </w:pPr>
    </w:p>
    <w:p>
      <w:pPr>
        <w:jc w:val="both"/>
        <w:ind w:firstLine="440"/>
        <w:spacing w:after="0" w:line="291" w:lineRule="auto"/>
        <w:rPr>
          <w:sz w:val="20"/>
          <w:szCs w:val="20"/>
          <w:color w:val="auto"/>
        </w:rPr>
      </w:pPr>
      <w:r>
        <w:rPr>
          <w:rFonts w:ascii="Times New Roman" w:cs="Times New Roman" w:eastAsia="Times New Roman" w:hAnsi="Times New Roman"/>
          <w:sz w:val="12"/>
          <w:szCs w:val="12"/>
          <w:color w:val="auto"/>
        </w:rPr>
        <w:t>(g)            The authorized capital stock of the Company conforms as to legal matters, in all material respects, to the description thereof contained in each of the Registration Statement, the Time of Sale Prospectus and the Prospectus.</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(h)            The shares of Common Stock outstanding prior to the issuance of the Shares have been duly authorized and are validly issued, fully paid and non-assessable.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76135" cy="571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5">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76" w:name="page277"/>
    <w:bookmarkEnd w:id="276"/>
    <w:p>
      <w:pPr>
        <w:jc w:val="both"/>
        <w:ind w:firstLine="440"/>
        <w:spacing w:after="0" w:line="291" w:lineRule="auto"/>
        <w:rPr>
          <w:sz w:val="20"/>
          <w:szCs w:val="20"/>
          <w:color w:val="auto"/>
        </w:rPr>
      </w:pPr>
      <w:r>
        <w:rPr>
          <w:rFonts w:ascii="Times New Roman" w:cs="Times New Roman" w:eastAsia="Times New Roman" w:hAnsi="Times New Roman"/>
          <w:sz w:val="12"/>
          <w:szCs w:val="12"/>
          <w:color w:val="auto"/>
        </w:rPr>
        <w:t>(i)             The Shares have been duly authorized and, when issued, delivered and paid for in accordance with the terms of this Agreement, will be validly issued, fully paid and non-assessable, and the issuance of the Shares will not be subject to any preemptive or similar rights that have not been validly waived.</w:t>
      </w:r>
    </w:p>
    <w:p>
      <w:pPr>
        <w:spacing w:after="0" w:line="105"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2"/>
          <w:szCs w:val="12"/>
          <w:color w:val="auto"/>
        </w:rPr>
        <w:t>(j)             The execution and delivery by the Company of, and the performance by the Company of its obligations under, this Agreement will not contravene (i) any provision of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in this case of clauses (i), (iii) and (iv), where such contravention would not, individually or in the aggregate, reasonably be expected to have a material adverse effect on the Company, and no consent, approval, authorization or order of, or qualification with, any governmental body, agency or court is required for the performance by the Company of its obligations under this Agreement, except such as have been obtained or waived or as may be required by the securities or Blue Sky laws of the various states or foreign jurisdictions or the rules and regulations of the Financial Industry Regulatory Authority (“FINRA”) in connection with the offer and sale of the Shares.</w:t>
      </w:r>
    </w:p>
    <w:p>
      <w:pPr>
        <w:spacing w:after="0" w:line="122" w:lineRule="exact"/>
        <w:rPr>
          <w:sz w:val="20"/>
          <w:szCs w:val="20"/>
          <w:color w:val="auto"/>
        </w:rPr>
      </w:pPr>
    </w:p>
    <w:p>
      <w:pPr>
        <w:jc w:val="both"/>
        <w:ind w:right="20" w:firstLine="440"/>
        <w:spacing w:after="0" w:line="291" w:lineRule="auto"/>
        <w:rPr>
          <w:sz w:val="20"/>
          <w:szCs w:val="20"/>
          <w:color w:val="auto"/>
        </w:rPr>
      </w:pPr>
      <w:r>
        <w:rPr>
          <w:rFonts w:ascii="Times New Roman" w:cs="Times New Roman" w:eastAsia="Times New Roman" w:hAnsi="Times New Roman"/>
          <w:sz w:val="12"/>
          <w:szCs w:val="12"/>
          <w:color w:val="auto"/>
        </w:rPr>
        <w:t>(k)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05"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2"/>
          <w:szCs w:val="12"/>
          <w:color w:val="auto"/>
        </w:rPr>
        <w:t>(l)             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the Time of Sale Prospectus and proceedings that would not, singly or in the aggregate, reasonably be expected to have a material adverse effect on the Company and its subsidiaries, taken as a whole,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in all material respects; and there are no statutes, regulations, contracts or other documents to which the Company is subject or by which the Company is bound that are required to be described in the Registration Statement or the Prospectus or to be filed as exhibits to the Registration Statement that are not described in all material respects or filed as required.</w:t>
      </w:r>
    </w:p>
    <w:p>
      <w:pPr>
        <w:spacing w:after="0" w:line="122" w:lineRule="exact"/>
        <w:rPr>
          <w:sz w:val="20"/>
          <w:szCs w:val="20"/>
          <w:color w:val="auto"/>
        </w:rPr>
      </w:pPr>
    </w:p>
    <w:p>
      <w:pPr>
        <w:jc w:val="both"/>
        <w:ind w:right="20" w:firstLine="440"/>
        <w:spacing w:after="0" w:line="291" w:lineRule="auto"/>
        <w:rPr>
          <w:sz w:val="20"/>
          <w:szCs w:val="20"/>
          <w:color w:val="auto"/>
        </w:rPr>
      </w:pPr>
      <w:r>
        <w:rPr>
          <w:rFonts w:ascii="Times New Roman" w:cs="Times New Roman" w:eastAsia="Times New Roman" w:hAnsi="Times New Roman"/>
          <w:sz w:val="12"/>
          <w:szCs w:val="12"/>
          <w:color w:val="auto"/>
        </w:rPr>
        <w:t>(m)           Each preliminary prospectus filed as part of the Registration Statement as originally filed or as part of any amendment thereto, or filed pursuant to Rule 424 under the Securities Act, complied when so filed in all material respects with the applicable requirements of the Securities Act and the applicable rules and regulations of the Commission thereunder.</w:t>
      </w:r>
    </w:p>
    <w:p>
      <w:pPr>
        <w:spacing w:after="0" w:line="105" w:lineRule="exact"/>
        <w:rPr>
          <w:sz w:val="20"/>
          <w:szCs w:val="20"/>
          <w:color w:val="auto"/>
        </w:rPr>
      </w:pPr>
    </w:p>
    <w:p>
      <w:pPr>
        <w:jc w:val="both"/>
        <w:ind w:firstLine="440"/>
        <w:spacing w:after="0" w:line="291" w:lineRule="auto"/>
        <w:rPr>
          <w:sz w:val="20"/>
          <w:szCs w:val="20"/>
          <w:color w:val="auto"/>
        </w:rPr>
      </w:pPr>
      <w:r>
        <w:rPr>
          <w:rFonts w:ascii="Times New Roman" w:cs="Times New Roman" w:eastAsia="Times New Roman" w:hAnsi="Times New Roman"/>
          <w:sz w:val="12"/>
          <w:szCs w:val="12"/>
          <w:color w:val="auto"/>
        </w:rPr>
        <w:t>(n)            The Company is not, and immediately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76135" cy="571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6">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77" w:name="page278"/>
    <w:bookmarkEnd w:id="277"/>
    <w:p>
      <w:pPr>
        <w:jc w:val="both"/>
        <w:ind w:firstLine="440"/>
        <w:spacing w:after="0" w:line="263" w:lineRule="auto"/>
        <w:rPr>
          <w:sz w:val="20"/>
          <w:szCs w:val="20"/>
          <w:color w:val="auto"/>
        </w:rPr>
      </w:pPr>
      <w:r>
        <w:rPr>
          <w:rFonts w:ascii="Times New Roman" w:cs="Times New Roman" w:eastAsia="Times New Roman" w:hAnsi="Times New Roman"/>
          <w:sz w:val="12"/>
          <w:szCs w:val="12"/>
          <w:color w:val="auto"/>
        </w:rPr>
        <w:t>(o)            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(collectively, “</w:t>
      </w:r>
      <w:r>
        <w:rPr>
          <w:rFonts w:ascii="Times New Roman" w:cs="Times New Roman" w:eastAsia="Times New Roman" w:hAnsi="Times New Roman"/>
          <w:sz w:val="12"/>
          <w:szCs w:val="12"/>
          <w:b w:val="1"/>
          <w:bCs w:val="1"/>
          <w:color w:val="auto"/>
        </w:rPr>
        <w:t>Environmental Laws</w:t>
      </w:r>
      <w:r>
        <w:rPr>
          <w:rFonts w:ascii="Times New Roman" w:cs="Times New Roman" w:eastAsia="Times New Roman" w:hAnsi="Times New Roman"/>
          <w:sz w:val="12"/>
          <w:szCs w:val="12"/>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spacing w:after="0" w:line="123" w:lineRule="exact"/>
        <w:rPr>
          <w:sz w:val="20"/>
          <w:szCs w:val="20"/>
          <w:color w:val="auto"/>
        </w:rPr>
      </w:pPr>
    </w:p>
    <w:p>
      <w:pPr>
        <w:jc w:val="both"/>
        <w:ind w:firstLine="440"/>
        <w:spacing w:after="0" w:line="272" w:lineRule="auto"/>
        <w:rPr>
          <w:sz w:val="20"/>
          <w:szCs w:val="20"/>
          <w:color w:val="auto"/>
        </w:rPr>
      </w:pPr>
      <w:r>
        <w:rPr>
          <w:rFonts w:ascii="Times New Roman" w:cs="Times New Roman" w:eastAsia="Times New Roman" w:hAnsi="Times New Roman"/>
          <w:sz w:val="12"/>
          <w:szCs w:val="12"/>
          <w:color w:val="auto"/>
        </w:rPr>
        <w:t>(p)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117" w:lineRule="exact"/>
        <w:rPr>
          <w:sz w:val="20"/>
          <w:szCs w:val="20"/>
          <w:color w:val="auto"/>
        </w:rPr>
      </w:pPr>
    </w:p>
    <w:p>
      <w:pPr>
        <w:jc w:val="both"/>
        <w:ind w:firstLine="440"/>
        <w:spacing w:after="0" w:line="272" w:lineRule="auto"/>
        <w:rPr>
          <w:sz w:val="20"/>
          <w:szCs w:val="20"/>
          <w:color w:val="auto"/>
        </w:rPr>
      </w:pPr>
      <w:r>
        <w:rPr>
          <w:rFonts w:ascii="Times New Roman" w:cs="Times New Roman" w:eastAsia="Times New Roman" w:hAnsi="Times New Roman"/>
          <w:sz w:val="12"/>
          <w:szCs w:val="12"/>
          <w:color w:val="auto"/>
        </w:rPr>
        <w:t>(q)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as otherwise have been validly waived in connection with the issuance and sale of the Shares contemplated hereby and as described in the Time of Sale Prospectus and the Prospectus.</w:t>
      </w:r>
    </w:p>
    <w:p>
      <w:pPr>
        <w:spacing w:after="0" w:line="117" w:lineRule="exact"/>
        <w:rPr>
          <w:sz w:val="20"/>
          <w:szCs w:val="20"/>
          <w:color w:val="auto"/>
        </w:rPr>
      </w:pPr>
    </w:p>
    <w:p>
      <w:pPr>
        <w:jc w:val="both"/>
        <w:ind w:firstLine="440"/>
        <w:spacing w:after="0" w:line="263" w:lineRule="auto"/>
        <w:rPr>
          <w:sz w:val="20"/>
          <w:szCs w:val="20"/>
          <w:color w:val="auto"/>
        </w:rPr>
      </w:pPr>
      <w:r>
        <w:rPr>
          <w:rFonts w:ascii="Times New Roman" w:cs="Times New Roman" w:eastAsia="Times New Roman" w:hAnsi="Times New Roman"/>
          <w:sz w:val="12"/>
          <w:szCs w:val="12"/>
          <w:color w:val="auto"/>
        </w:rPr>
        <w:t>(r)            None of the Company or any of its subsidiaries or affiliates, or any director, officer, or employee thereof, or, to the Company’s 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person to improperly influence official action by that person for the benefit of the Company or its subsidiaries or affiliates, or to otherwise secure any improper advantage, or to any person in violation of (a) the U.S. Foreign Corrupt Practices Act of 1977, as amended, (b) the UK Bribery Act 2010, and (c) any other applicable law, regulation, order, decree or directive having the force of law and relating to bribery or corruption (collectively, the “</w:t>
      </w:r>
      <w:r>
        <w:rPr>
          <w:rFonts w:ascii="Times New Roman" w:cs="Times New Roman" w:eastAsia="Times New Roman" w:hAnsi="Times New Roman"/>
          <w:sz w:val="12"/>
          <w:szCs w:val="12"/>
          <w:b w:val="1"/>
          <w:bCs w:val="1"/>
          <w:color w:val="auto"/>
        </w:rPr>
        <w:t>Anti-Corruption Laws”</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jc w:val="both"/>
        <w:ind w:firstLine="440"/>
        <w:spacing w:after="0" w:line="272" w:lineRule="auto"/>
        <w:rPr>
          <w:sz w:val="20"/>
          <w:szCs w:val="20"/>
          <w:color w:val="auto"/>
        </w:rPr>
      </w:pPr>
      <w:r>
        <w:rPr>
          <w:rFonts w:ascii="Times New Roman" w:cs="Times New Roman" w:eastAsia="Times New Roman" w:hAnsi="Times New Roman"/>
          <w:sz w:val="12"/>
          <w:szCs w:val="12"/>
          <w:color w:val="auto"/>
        </w:rPr>
        <w:t>(s)            The operations of the Company and each of its subsidiaries are and have been conducted at all times in material compliance with all applicable anti-money laundering laws, rules, and regulations, including the financial recordkeeping and reporting requirements contained therein, and including the Bank Secrecy Act of 1970, applicable provisions of the USA PATRIOT Act of 2001, the Money Laundering Control Act of 1986, and the Anti-Money Laundering Act of 2020, (collectively, the “</w:t>
      </w:r>
      <w:r>
        <w:rPr>
          <w:rFonts w:ascii="Times New Roman" w:cs="Times New Roman" w:eastAsia="Times New Roman" w:hAnsi="Times New Roman"/>
          <w:sz w:val="12"/>
          <w:szCs w:val="12"/>
          <w:b w:val="1"/>
          <w:bCs w:val="1"/>
          <w:color w:val="auto"/>
        </w:rPr>
        <w:t>Anti-Money Laundering Laws</w:t>
      </w:r>
      <w:r>
        <w:rPr>
          <w:rFonts w:ascii="Times New Roman" w:cs="Times New Roman" w:eastAsia="Times New Roman" w:hAnsi="Times New Roman"/>
          <w:sz w:val="12"/>
          <w:szCs w:val="12"/>
          <w:color w:val="auto"/>
        </w:rPr>
        <w:t>”).</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76135" cy="571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7">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78" w:name="page279"/>
    <w:bookmarkEnd w:id="278"/>
    <w:p>
      <w:pPr>
        <w:ind w:left="440"/>
        <w:spacing w:after="0"/>
        <w:rPr>
          <w:sz w:val="20"/>
          <w:szCs w:val="20"/>
          <w:color w:val="auto"/>
        </w:rPr>
      </w:pPr>
      <w:r>
        <w:rPr>
          <w:rFonts w:ascii="Times New Roman" w:cs="Times New Roman" w:eastAsia="Times New Roman" w:hAnsi="Times New Roman"/>
          <w:sz w:val="12"/>
          <w:szCs w:val="12"/>
          <w:color w:val="auto"/>
        </w:rPr>
        <w:t>(t)            (i) None of the Company, any of its subsidiaries, or any director, officer, employee thereof , or to the Company’s knowledge, any agent, affiliate or representative of the Company, is an individual or entity (“</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that is, or is owned or controlled by one or more Persons that are:</w:t>
      </w:r>
    </w:p>
    <w:p>
      <w:pPr>
        <w:spacing w:after="0" w:line="143" w:lineRule="exact"/>
        <w:rPr>
          <w:sz w:val="20"/>
          <w:szCs w:val="20"/>
          <w:color w:val="auto"/>
        </w:rPr>
      </w:pPr>
    </w:p>
    <w:p>
      <w:pPr>
        <w:jc w:val="both"/>
        <w:ind w:right="20" w:firstLine="879"/>
        <w:spacing w:after="0" w:line="291" w:lineRule="auto"/>
        <w:rPr>
          <w:sz w:val="20"/>
          <w:szCs w:val="20"/>
          <w:color w:val="auto"/>
        </w:rPr>
      </w:pPr>
      <w:r>
        <w:rPr>
          <w:rFonts w:ascii="Times New Roman" w:cs="Times New Roman" w:eastAsia="Times New Roman" w:hAnsi="Times New Roman"/>
          <w:sz w:val="12"/>
          <w:szCs w:val="12"/>
          <w:color w:val="auto"/>
        </w:rPr>
        <w:t> (A)            the subject of any sanctions administered or enforced by the United States Government (including the U.S. Department of the Treasury’s Office of Foreign Assets Control and the U.S. Department of State), the United Nations Security Council, the European Union, His Majesty’s Treasury, or any other relevant sanctions authority (collectively, “</w:t>
      </w:r>
      <w:r>
        <w:rPr>
          <w:rFonts w:ascii="Times New Roman" w:cs="Times New Roman" w:eastAsia="Times New Roman" w:hAnsi="Times New Roman"/>
          <w:sz w:val="12"/>
          <w:szCs w:val="12"/>
          <w:b w:val="1"/>
          <w:bCs w:val="1"/>
          <w:color w:val="auto"/>
        </w:rPr>
        <w:t>Sanctions</w:t>
      </w:r>
      <w:r>
        <w:rPr>
          <w:rFonts w:ascii="Times New Roman" w:cs="Times New Roman" w:eastAsia="Times New Roman" w:hAnsi="Times New Roman"/>
          <w:sz w:val="12"/>
          <w:szCs w:val="12"/>
          <w:color w:val="auto"/>
        </w:rPr>
        <w:t>”), or</w:t>
      </w:r>
    </w:p>
    <w:p>
      <w:pPr>
        <w:spacing w:after="0" w:line="105" w:lineRule="exact"/>
        <w:rPr>
          <w:sz w:val="20"/>
          <w:szCs w:val="20"/>
          <w:color w:val="auto"/>
        </w:rPr>
      </w:pPr>
    </w:p>
    <w:p>
      <w:pPr>
        <w:jc w:val="both"/>
        <w:ind w:right="20" w:firstLine="879"/>
        <w:spacing w:after="0" w:line="291" w:lineRule="auto"/>
        <w:rPr>
          <w:sz w:val="20"/>
          <w:szCs w:val="20"/>
          <w:color w:val="auto"/>
        </w:rPr>
      </w:pPr>
      <w:r>
        <w:rPr>
          <w:rFonts w:ascii="Times New Roman" w:cs="Times New Roman" w:eastAsia="Times New Roman" w:hAnsi="Times New Roman"/>
          <w:sz w:val="12"/>
          <w:szCs w:val="12"/>
          <w:color w:val="auto"/>
        </w:rPr>
        <w:t> (B)            located, organized or resident in a country or territory that is the subject of comprehensive territorial Sanctions (including, without limitation, the so-called Donetsk People’s Republic, the so-called Luhansk People’s Republic, or any other Covered Region of Ukraine identified pursuant to Executive Order 14065, Crimea, Cuba, Iran, North Korea and Syria).</w:t>
      </w:r>
    </w:p>
    <w:p>
      <w:pPr>
        <w:spacing w:after="0" w:line="105" w:lineRule="exact"/>
        <w:rPr>
          <w:sz w:val="20"/>
          <w:szCs w:val="20"/>
          <w:color w:val="auto"/>
        </w:rPr>
      </w:pPr>
    </w:p>
    <w:p>
      <w:pPr>
        <w:ind w:left="880" w:firstLine="440"/>
        <w:spacing w:after="0" w:line="291" w:lineRule="auto"/>
        <w:rPr>
          <w:sz w:val="20"/>
          <w:szCs w:val="20"/>
          <w:color w:val="auto"/>
        </w:rPr>
      </w:pPr>
      <w:r>
        <w:rPr>
          <w:rFonts w:ascii="Times New Roman" w:cs="Times New Roman" w:eastAsia="Times New Roman" w:hAnsi="Times New Roman"/>
          <w:sz w:val="12"/>
          <w:szCs w:val="12"/>
          <w:color w:val="auto"/>
        </w:rPr>
        <w:t>(ii)            The Company and each of its subsidiaries have not engaged in, are not now engaged in, and will not engage in, any dealings or transactions with any Person, or in any country or territory, that at the time of the dealing or transaction is or was, or whose government is or was, the subject of Sanctions.</w:t>
      </w:r>
    </w:p>
    <w:p>
      <w:pPr>
        <w:spacing w:after="0" w:line="10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2"/>
          <w:szCs w:val="12"/>
          <w:color w:val="auto"/>
        </w:rPr>
        <w:t>(u)            The Company will not, directly or indirectly, use the proceeds of the offering, or lend, contribute or otherwise make available such proceeds to any subsidiary, joint venture partner or other Person: (i) to fund or facilitate any activities or business of or with any Person or in any country or territory that, at the time of such funding or facilitation, is, or whose government is, the subject of Sanctions; (ii) to fund or facilitate any money laundering or terrorist financing activities; or (iii) in any other manner that would cause or result in a violation of any Anti-Corruption Laws, Anti-Money Laundering Laws, or Sanctions by any Person (including any Person participating in the offering, whether as underwriter, advisor, investor or otherwise).</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2"/>
          <w:szCs w:val="12"/>
          <w:color w:val="auto"/>
        </w:rPr>
        <w:t>(v)            The Company and its subsidiaries have conducted and will conduct their businesses in compliance with the Anti-Corruption Laws, the Anti-Money Laundering Laws, and Sanctions, and no investigation, inquiry, action, suit or proceeding by or before any court or governmental agency, authority or body or any arbitrator involving the Company or any of its subsidiaries with respect to the Anti-Corruption Laws, the Anti-Money Laundering Laws or Sanctions is pending or, to the knowledge of the Company, threatened. The Company and its subsidiaries and affiliates have instituted and maintained and will continue to maintain policies and procedures reasonably designed to promote and achieve compliance with the Anti-Corruption Laws, the Anti-Money Laundering Laws, Sanctions, and with the representations and warranties contained herein.</w:t>
      </w:r>
    </w:p>
    <w:p>
      <w:pPr>
        <w:spacing w:after="0" w:line="121" w:lineRule="exact"/>
        <w:rPr>
          <w:sz w:val="20"/>
          <w:szCs w:val="20"/>
          <w:color w:val="auto"/>
        </w:rPr>
      </w:pPr>
    </w:p>
    <w:p>
      <w:pPr>
        <w:jc w:val="both"/>
        <w:ind w:firstLine="440"/>
        <w:spacing w:after="0" w:line="263" w:lineRule="auto"/>
        <w:rPr>
          <w:sz w:val="20"/>
          <w:szCs w:val="20"/>
          <w:color w:val="auto"/>
        </w:rPr>
      </w:pPr>
      <w:r>
        <w:rPr>
          <w:rFonts w:ascii="Times New Roman" w:cs="Times New Roman" w:eastAsia="Times New Roman" w:hAnsi="Times New Roman"/>
          <w:sz w:val="12"/>
          <w:szCs w:val="12"/>
          <w:color w:val="auto"/>
        </w:rPr>
        <w:t>(w)            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capital stock (other than from its employees or other service providers in connection with the termination of their service pursuant to the terms of the equity compensation plans or agreements described in the Time of Sale Prospectus), nor declared, paid or otherwise made any dividend or distribution of any kind on its capital stock other than ordinary and customary dividends; and (iii) there has not been any material change in the capital stock, short-term debt or long-term debt of the Company and its subsidiaries, taken as a whole, except in each case as described in each of the Registration Statement, the Time of Sale Prospectus and the Prospectus, respectively.</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76135" cy="571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8">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279" w:name="page280"/>
    <w:bookmarkEnd w:id="279"/>
    <w:p>
      <w:pPr>
        <w:jc w:val="both"/>
        <w:ind w:left="7" w:firstLine="440"/>
        <w:spacing w:after="0" w:line="266" w:lineRule="auto"/>
        <w:rPr>
          <w:sz w:val="20"/>
          <w:szCs w:val="20"/>
          <w:color w:val="auto"/>
        </w:rPr>
      </w:pPr>
      <w:r>
        <w:rPr>
          <w:rFonts w:ascii="Times New Roman" w:cs="Times New Roman" w:eastAsia="Times New Roman" w:hAnsi="Times New Roman"/>
          <w:sz w:val="12"/>
          <w:szCs w:val="12"/>
          <w:color w:val="auto"/>
        </w:rPr>
        <w:t>(x)            The Company and each of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121" w:lineRule="exact"/>
        <w:rPr>
          <w:sz w:val="20"/>
          <w:szCs w:val="20"/>
          <w:color w:val="auto"/>
        </w:rPr>
      </w:pPr>
    </w:p>
    <w:p>
      <w:pPr>
        <w:jc w:val="both"/>
        <w:ind w:left="7" w:firstLine="440"/>
        <w:spacing w:after="0" w:line="258" w:lineRule="auto"/>
        <w:rPr>
          <w:sz w:val="20"/>
          <w:szCs w:val="20"/>
          <w:color w:val="auto"/>
        </w:rPr>
      </w:pPr>
      <w:r>
        <w:rPr>
          <w:rFonts w:ascii="Times New Roman" w:cs="Times New Roman" w:eastAsia="Times New Roman" w:hAnsi="Times New Roman"/>
          <w:sz w:val="12"/>
          <w:szCs w:val="12"/>
          <w:color w:val="auto"/>
        </w:rPr>
        <w:t>(y)            (i) The Company and its subsidiaries own or possess adequate rights to all patents, inventions, copyrights, know how (including trade secrets and other unpatented and/or unpatentable proprietary or confidential information, systems or procedures), trademarks, service marks and trade names (collectively, “</w:t>
      </w:r>
      <w:r>
        <w:rPr>
          <w:rFonts w:ascii="Times New Roman" w:cs="Times New Roman" w:eastAsia="Times New Roman" w:hAnsi="Times New Roman"/>
          <w:sz w:val="12"/>
          <w:szCs w:val="12"/>
          <w:b w:val="1"/>
          <w:bCs w:val="1"/>
          <w:color w:val="auto"/>
        </w:rPr>
        <w:t>Intellectual Property Rights</w:t>
      </w:r>
      <w:r>
        <w:rPr>
          <w:rFonts w:ascii="Times New Roman" w:cs="Times New Roman" w:eastAsia="Times New Roman" w:hAnsi="Times New Roman"/>
          <w:sz w:val="12"/>
          <w:szCs w:val="12"/>
          <w:color w:val="auto"/>
        </w:rPr>
        <w:t>”) used in or reasonably necessary for the conduct of their businesses as currently conducted and as proposed to be conducted in the Registration Statement, the Pricing Disclosure Package and the Prospectus, provided that this clause shall not be construed as a representation or warranty of non-infringement of Intellectual Property; (ii) the Intellectual Property Rights owned by the Company and its subsidiaries are valid, subsisting and enforceable, and there is no pending or, to the Company’s knowledge,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which, singly or in the aggregate, if the subject of an unfavorable decision, ruling or finding, would have a material adverse effect on the Company and its subsidiaries, taken as a whole;</w:t>
      </w:r>
    </w:p>
    <w:p>
      <w:pPr>
        <w:spacing w:after="0" w:line="1" w:lineRule="exact"/>
        <w:rPr>
          <w:sz w:val="20"/>
          <w:szCs w:val="20"/>
          <w:color w:val="auto"/>
        </w:rPr>
      </w:pPr>
    </w:p>
    <w:p>
      <w:pPr>
        <w:jc w:val="both"/>
        <w:ind w:left="7" w:hanging="7"/>
        <w:spacing w:after="0" w:line="256" w:lineRule="auto"/>
        <w:tabs>
          <w:tab w:leader="none" w:pos="219"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Company’s knowledge, no third party is infringing, misappropriating or otherwise violating, or has infringed, misappropriated or otherwise violated, any Intellectual Property Rights owned by or exclusively licensed to the Company; (v) to the Company’s knowledge, neither the Company nor any of its subsidiaries infringes, misappropriates or otherwise violates, or has infringed, misappropriated or otherwise violated, any Intellectual Property Rights of any third party, or will, upon commercialization of any of the Company’s product candidates as described in the Registration Statement, the Pricing Disclosure Package or the Prospectus, infringe any patent claim of any third party; (vi) the Company is the sole owner of the Intellectual Property Rights owned by it and has the valid and enforceable right to use such Intellectual Property Rights without the obligation to obtain consent to sublicense and without a duty of accounting to co-owner, as applicable; (vii) except as disclosed in the Registration Statement, the Pricing Prospectus and the Prospectus, the Company is not obligated to pay a material royalty, grant a license or option, or provide other material consideration to any third party in connection with the Intellectual Property Rights; (viii) 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(ix) to the Company’s knowledge, no employee of the Company is in or has been in violation of any term of any employment contract, patent disclosure agreement, non-competition agreement, non-solicitation agreement, nondisclosure agreement or any restrictive covenant to or with a former employer where the basis of such violation relates to such employee’s employment with the Company; and (x) the Company and its subsidiaries use, and have used, commercially reasonable efforts designed to maintain all information intended to be maintained as a trade secret. The Company expects the product candidates described in the Registration Statement, the Pricing Disclosure Package and the Prospectus as under development by the Company to fall within the scope of the claims of one or more patents or patent applications owned by the Company, as described in the Registration Statement, the Pricing Prospectus and the Prospectus. Except as described in the Registration Statement, the Pricing Prospectus and the Prospectus, no government funding, facilities or resources of a university, college, other educational institution or research center was used in the development of any Intellectual Property Rights that are owned or purported to be owned by the Company that would confer any governmental agency or body, university, college, other educational institution or research center any claim or right of ownership to any such Intellectual Property Rights.</w:t>
      </w:r>
    </w:p>
    <w:p>
      <w:pPr>
        <w:spacing w:after="0" w:line="26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76135" cy="571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9">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280" w:name="page281"/>
    <w:bookmarkEnd w:id="280"/>
    <w:p>
      <w:pPr>
        <w:jc w:val="both"/>
        <w:ind w:firstLine="440"/>
        <w:spacing w:after="0" w:line="261" w:lineRule="auto"/>
        <w:rPr>
          <w:sz w:val="20"/>
          <w:szCs w:val="20"/>
          <w:color w:val="auto"/>
        </w:rPr>
      </w:pPr>
      <w:r>
        <w:rPr>
          <w:rFonts w:ascii="Times New Roman" w:cs="Times New Roman" w:eastAsia="Times New Roman" w:hAnsi="Times New Roman"/>
          <w:sz w:val="12"/>
          <w:szCs w:val="12"/>
          <w:color w:val="auto"/>
        </w:rPr>
        <w:t>(z)             (i) All patents and patent applications owned by the Company have, to the knowledge of the Company, been duly and properly filed and each issued patent is being diligently maintained; (ii) the Company or any of its subsidiaries is unaware of any facts that would preclude the issuance of a valid and enforceable patent on any pending patent applications included in the Intellectual Property Rights; (iii) to the knowledge of the Company, the Company and the parties prosecuting such applications have complied or are in the process of complying with their duty of candor and disclosure to the U.S. Patent and Trademark Office, and all such requirements in the relevant foreign patent authority having similar requirements as the case may be, in connection with such patents and patent applications for which it has filing, prosecution and/or maintenance responsibilities; and (iv) to the Company’s knowledge, there is no third party patent or patent application that contains claims that dominate or may dominate (as such term is described in 35 U.S.C. §135 and 37 C.F.R. 41.100 to 41.208) the issued claims of any of the patents or patent applications owned by the Company or from which the issued claims of any of the patents or patent applications owned by the Company are derived (as such term is described in 35 U.S.C. §135 and 37 C.F.R. 42.400 to 42.412).</w:t>
      </w:r>
    </w:p>
    <w:p>
      <w:pPr>
        <w:spacing w:after="0" w:line="272" w:lineRule="exact"/>
        <w:rPr>
          <w:sz w:val="20"/>
          <w:szCs w:val="20"/>
          <w:color w:val="auto"/>
        </w:rPr>
      </w:pPr>
    </w:p>
    <w:p>
      <w:pPr>
        <w:jc w:val="both"/>
        <w:ind w:firstLine="440"/>
        <w:spacing w:after="0" w:line="263" w:lineRule="auto"/>
        <w:rPr>
          <w:sz w:val="20"/>
          <w:szCs w:val="20"/>
          <w:color w:val="auto"/>
        </w:rPr>
      </w:pPr>
      <w:r>
        <w:rPr>
          <w:rFonts w:ascii="Times New Roman" w:cs="Times New Roman" w:eastAsia="Times New Roman" w:hAnsi="Times New Roman"/>
          <w:sz w:val="12"/>
          <w:szCs w:val="12"/>
          <w:color w:val="auto"/>
        </w:rPr>
        <w:t>(aa)          (i)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12"/>
          <w:szCs w:val="12"/>
          <w:b w:val="1"/>
          <w:bCs w:val="1"/>
          <w:color w:val="auto"/>
        </w:rPr>
        <w:t>Open Source Software</w:t>
      </w:r>
      <w:r>
        <w:rPr>
          <w:rFonts w:ascii="Times New Roman" w:cs="Times New Roman" w:eastAsia="Times New Roman" w:hAnsi="Times New Roman"/>
          <w:sz w:val="12"/>
          <w:szCs w:val="12"/>
          <w:color w:val="auto"/>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76135" cy="571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0">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81" w:name="page282"/>
    <w:bookmarkEnd w:id="281"/>
    <w:p>
      <w:pPr>
        <w:jc w:val="both"/>
        <w:ind w:firstLine="440"/>
        <w:spacing w:after="0" w:line="260" w:lineRule="auto"/>
        <w:rPr>
          <w:sz w:val="20"/>
          <w:szCs w:val="20"/>
          <w:color w:val="auto"/>
        </w:rPr>
      </w:pPr>
      <w:r>
        <w:rPr>
          <w:rFonts w:ascii="Times New Roman" w:cs="Times New Roman" w:eastAsia="Times New Roman" w:hAnsi="Times New Roman"/>
          <w:sz w:val="12"/>
          <w:szCs w:val="12"/>
          <w:color w:val="auto"/>
        </w:rPr>
        <w:t>(bb)         The Company and each of its subsidiaries are presently, and during the past three (3) years have been, in material compliance with their respective obligations under all applicable (A) written internal and external privacy policies, (B) binding contractual obligations, and (C) laws, statutes, judgments, orders, rules and regulations of any court or arbitrator or other governmental or regulatory authority with jurisdiction over the Company or its subsidiaries, in each case (A) through (C), governing the collection, use, transfer, import, export, storage, protection, disposal, disclosure and other processing (collectively, “</w:t>
      </w:r>
      <w:r>
        <w:rPr>
          <w:rFonts w:ascii="Times New Roman" w:cs="Times New Roman" w:eastAsia="Times New Roman" w:hAnsi="Times New Roman"/>
          <w:sz w:val="12"/>
          <w:szCs w:val="12"/>
          <w:b w:val="1"/>
          <w:bCs w:val="1"/>
          <w:color w:val="auto"/>
        </w:rPr>
        <w:t>Processing</w:t>
      </w:r>
      <w:r>
        <w:rPr>
          <w:rFonts w:ascii="Times New Roman" w:cs="Times New Roman" w:eastAsia="Times New Roman" w:hAnsi="Times New Roman"/>
          <w:sz w:val="12"/>
          <w:szCs w:val="12"/>
          <w:color w:val="auto"/>
        </w:rPr>
        <w:t>”) by the Company or any of its subsidiaries of (i) information that constitutes “personal data,” “personally identifiable information” or similar terms as defined under applicable laws and (ii) any sensitive or confidential data (collectively, “</w:t>
      </w:r>
      <w:r>
        <w:rPr>
          <w:rFonts w:ascii="Times New Roman" w:cs="Times New Roman" w:eastAsia="Times New Roman" w:hAnsi="Times New Roman"/>
          <w:sz w:val="12"/>
          <w:szCs w:val="12"/>
          <w:b w:val="1"/>
          <w:bCs w:val="1"/>
          <w:color w:val="auto"/>
        </w:rPr>
        <w:t>Data Protection Obligations</w:t>
      </w:r>
      <w:r>
        <w:rPr>
          <w:rFonts w:ascii="Times New Roman" w:cs="Times New Roman" w:eastAsia="Times New Roman" w:hAnsi="Times New Roman"/>
          <w:sz w:val="12"/>
          <w:szCs w:val="12"/>
          <w:color w:val="auto"/>
        </w:rPr>
        <w:t>”, and such data, “</w:t>
      </w:r>
      <w:r>
        <w:rPr>
          <w:rFonts w:ascii="Times New Roman" w:cs="Times New Roman" w:eastAsia="Times New Roman" w:hAnsi="Times New Roman"/>
          <w:sz w:val="12"/>
          <w:szCs w:val="12"/>
          <w:b w:val="1"/>
          <w:bCs w:val="1"/>
          <w:color w:val="auto"/>
        </w:rPr>
        <w:t>Data</w:t>
      </w:r>
      <w:r>
        <w:rPr>
          <w:rFonts w:ascii="Times New Roman" w:cs="Times New Roman" w:eastAsia="Times New Roman" w:hAnsi="Times New Roman"/>
          <w:sz w:val="12"/>
          <w:szCs w:val="12"/>
          <w:color w:val="auto"/>
        </w:rPr>
        <w:t>”). Neither the Company nor any of its subsidiaries have received any written notification of or written complaint regarding any material non-compliance with any applicable Data Protection Obligation. To the Company’s knowledge, there is no action, suit or proceeding by or before any court or governmental agency or authority pending that alleges material non-compliance with any applicable Data Protection Obligation. Except as would not, individually or in the aggregate, reasonably be expected to have a material adverse effect on the Company and its subsidiaries, taken as a whole, during the past three (3) years, the Company and its subsidiaries have, to the extent required by applicable Data Protection Obligations, provided adequate notice to and obtained any necessary consents from individuals for the Processing of Data by or for the Company and its subsidiaries.</w:t>
      </w:r>
    </w:p>
    <w:p>
      <w:pPr>
        <w:spacing w:after="0" w:line="121"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2"/>
          <w:szCs w:val="12"/>
          <w:color w:val="auto"/>
        </w:rPr>
        <w:t>(cc)          The Company’s and its subsidiaries’ information technology assets and equipment, computers, systems, networks, hardware, software, websites, applications, and databases (collectively, “</w:t>
      </w:r>
      <w:r>
        <w:rPr>
          <w:rFonts w:ascii="Times New Roman" w:cs="Times New Roman" w:eastAsia="Times New Roman" w:hAnsi="Times New Roman"/>
          <w:sz w:val="12"/>
          <w:szCs w:val="12"/>
          <w:b w:val="1"/>
          <w:bCs w:val="1"/>
          <w:color w:val="auto"/>
        </w:rPr>
        <w:t>IT Systems</w:t>
      </w:r>
      <w:r>
        <w:rPr>
          <w:rFonts w:ascii="Times New Roman" w:cs="Times New Roman" w:eastAsia="Times New Roman" w:hAnsi="Times New Roman"/>
          <w:sz w:val="12"/>
          <w:szCs w:val="12"/>
          <w:color w:val="auto"/>
        </w:rPr>
        <w:t>”) are reasonably adequate for and operate and perform in all material respects as required in connection with the operation of the business of the Company and its subsidiaries as currently conducted, and, to the Company’s knowledge, are free and clear of all material bugs, errors, defects, Trojan horses, time bombs, malware and other corruptants. The Company and each of its subsidiaries have taken commercially reasonable technical and organizational measures designed to protect the IT Systems and Data used in connection with the operation of the Company’s and its subsidiaries’ businesses. Without limiting the foregoing, the Company and its subsidiaries have used commercially reasonable efforts to establish and maintain, and have established, maintained, implemented and complied with, commercially reasonable information technology, information security, cybersecurity and data protection controls, policies and procedures designed to protect against and prevent breach, loss, unauthorized distribution, use, destruction, access, modification, or other unauthorized Processing, or compromise or misuse of any IT System (in the Company’s or its subsidiaries’ control) or Data used in connection with the operation of the Company’s and its subsidiaries’ businesses (“</w:t>
      </w:r>
      <w:r>
        <w:rPr>
          <w:rFonts w:ascii="Times New Roman" w:cs="Times New Roman" w:eastAsia="Times New Roman" w:hAnsi="Times New Roman"/>
          <w:sz w:val="12"/>
          <w:szCs w:val="12"/>
          <w:b w:val="1"/>
          <w:bCs w:val="1"/>
          <w:color w:val="auto"/>
        </w:rPr>
        <w:t>Breach</w:t>
      </w:r>
      <w:r>
        <w:rPr>
          <w:rFonts w:ascii="Times New Roman" w:cs="Times New Roman" w:eastAsia="Times New Roman" w:hAnsi="Times New Roman"/>
          <w:sz w:val="12"/>
          <w:szCs w:val="12"/>
          <w:color w:val="auto"/>
        </w:rPr>
        <w:t>”). The Company and its subsidiaries have not notified, and, to the Company’s knowledge, have not been required under Data Protection Obligations to notify, any individual, data protection authority or other third party of any material Breach; and (ii) the Company and its subsidiaries have not been notified of and have no knowledge of any material Breach or event or condition that would reasonably be expected to result in, the Company or any of its subsidiaries being required to provide such a notification.</w:t>
      </w:r>
    </w:p>
    <w:p>
      <w:pPr>
        <w:spacing w:after="0" w:line="127" w:lineRule="exact"/>
        <w:rPr>
          <w:sz w:val="20"/>
          <w:szCs w:val="20"/>
          <w:color w:val="auto"/>
        </w:rPr>
      </w:pPr>
    </w:p>
    <w:p>
      <w:pPr>
        <w:jc w:val="both"/>
        <w:ind w:right="20" w:firstLine="440"/>
        <w:spacing w:after="0" w:line="272" w:lineRule="auto"/>
        <w:rPr>
          <w:sz w:val="20"/>
          <w:szCs w:val="20"/>
          <w:color w:val="auto"/>
        </w:rPr>
      </w:pPr>
      <w:r>
        <w:rPr>
          <w:rFonts w:ascii="Times New Roman" w:cs="Times New Roman" w:eastAsia="Times New Roman" w:hAnsi="Times New Roman"/>
          <w:sz w:val="12"/>
          <w:szCs w:val="12"/>
          <w:color w:val="auto"/>
        </w:rPr>
        <w:t>(dd)       Except as would not, singly or in the aggregate, reasonably be expected to have a material adverse effect on the Company and its subsidiaries, taken as a whole, no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singly or in the aggregate, have a material adverse effect on the Company and its subsidiaries, taken as a whole.</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76135" cy="571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1">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82" w:name="page283"/>
    <w:bookmarkEnd w:id="282"/>
    <w:p>
      <w:pPr>
        <w:jc w:val="both"/>
        <w:ind w:left="7" w:right="20" w:firstLine="440"/>
        <w:spacing w:after="0" w:line="265" w:lineRule="auto"/>
        <w:rPr>
          <w:sz w:val="20"/>
          <w:szCs w:val="20"/>
          <w:color w:val="auto"/>
        </w:rPr>
      </w:pPr>
      <w:r>
        <w:rPr>
          <w:rFonts w:ascii="Times New Roman" w:cs="Times New Roman" w:eastAsia="Times New Roman" w:hAnsi="Times New Roman"/>
          <w:sz w:val="12"/>
          <w:szCs w:val="12"/>
          <w:color w:val="auto"/>
        </w:rPr>
        <w:t>(ee)       None of the following events has occurred or exists: (i) a failure to fulfill the obligations, if any, under the minimum funding standards of Section 302 of the Employee Retirement Income Security Act of 1974 (“</w:t>
      </w:r>
      <w:r>
        <w:rPr>
          <w:rFonts w:ascii="Times New Roman" w:cs="Times New Roman" w:eastAsia="Times New Roman" w:hAnsi="Times New Roman"/>
          <w:sz w:val="12"/>
          <w:szCs w:val="12"/>
          <w:b w:val="1"/>
          <w:bCs w:val="1"/>
          <w:color w:val="auto"/>
        </w:rPr>
        <w:t>ERISA</w:t>
      </w:r>
      <w:r>
        <w:rPr>
          <w:rFonts w:ascii="Times New Roman" w:cs="Times New Roman" w:eastAsia="Times New Roman" w:hAnsi="Times New Roman"/>
          <w:sz w:val="12"/>
          <w:szCs w:val="12"/>
          <w:color w:val="auto"/>
        </w:rPr>
        <w:t>”), as amended, and the regulations and published interpretations thereunder, with respect to a Plan (as defined below) determined without regard to any waiver of such obligations or extension of any amortization period;</w:t>
      </w:r>
    </w:p>
    <w:p>
      <w:pPr>
        <w:spacing w:after="0" w:line="1" w:lineRule="exact"/>
        <w:rPr>
          <w:sz w:val="20"/>
          <w:szCs w:val="20"/>
          <w:color w:val="auto"/>
        </w:rPr>
      </w:pPr>
    </w:p>
    <w:p>
      <w:pPr>
        <w:jc w:val="both"/>
        <w:ind w:left="7" w:hanging="7"/>
        <w:spacing w:after="0" w:line="254" w:lineRule="auto"/>
        <w:tabs>
          <w:tab w:leader="none" w:pos="192"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audit or investigation by the U.S. Internal Revenue Service, the U.S. Department of Labor, the Pension Benefit Guaranty Corporation or any other federal, state or foreign governmental or regulatory agency with respect to the employment or compensation of employees by the Company or any of its subsidiaries that would, singly or in the aggregate, reasonably be expected to have a material adverse effect on the Company and its subsidiaries, taken as a whole; or (iii) any breach of any contractual obligation, or any violation of law or applicable qualification standards, with respect to the employment or compensation of employees by the Company or any of its subsidiaries that would, singly or in the aggregate, reasonably be expected to have a material adverse effect on the Company and its subsidiaries, taken as a whole. Except as would not, individually or in the aggregate, reasonably be expected to result in a material adverse effect on the Company and its subsidiaries, take as a whole, none of the following events has occurred or is reasonably likely to occur: (1) a failure to maintain and operate a Plan in compliance with its terms and the requirements of any applicable statutes, orders, rules and regulations, including ERISA and the Internal Revenue Code of 1986, as amended, and the regulations and published interpretations thereunder (collectively, the “Code”); (2) a non-exempt prohibited transaction, within the meaning of Section 406 of ERISA or Section 4975 of the Code; (3) a “reportable event,” within the meaning of Section 4043(c) of ERISA, other than those events as to which notice is waived; (4) a material increase in the aggregate amount of contributions required to be made to any Plan in the current fiscal year of the Company or its subsidiaries compared to the amount of such contributions made in the most recently completed fiscal year of the Company or its subsidiaries; (5)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(6) any event or condition giving rise to a liability under Title IV of ERISA; or (7) the filing of a claim by one or more employees or former employees of the Company or any of its subsidiaries related to their employment that would, singly or in the aggregate, reasonably be expected to have a material adverse effect on the Company and its subsidiaries, taken as a whole. Neither the Company nor any member of its Controlled Group (defined as any entity, whether or not incorporated, that is under common control with the Company or its subsidiaries within the meaning of Section 4001(a)(14) of ERISA or any entity that would be regarded as a single employer with the Company or its subsidiaries under Section 414(b), (c),</w:t>
      </w:r>
    </w:p>
    <w:p>
      <w:pPr>
        <w:spacing w:after="0" w:line="6" w:lineRule="exact"/>
        <w:rPr>
          <w:rFonts w:ascii="Times New Roman" w:cs="Times New Roman" w:eastAsia="Times New Roman" w:hAnsi="Times New Roman"/>
          <w:sz w:val="12"/>
          <w:szCs w:val="12"/>
          <w:color w:val="auto"/>
        </w:rPr>
      </w:pPr>
    </w:p>
    <w:p>
      <w:pPr>
        <w:ind w:left="7" w:hanging="7"/>
        <w:spacing w:after="0" w:line="269" w:lineRule="auto"/>
        <w:tabs>
          <w:tab w:leader="none" w:pos="216"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 (o) of the Code) maintains, or has maintained, a “multiemployer plan” within the meaning of Section 4001(c)(3) of ERISA. For purposes of this paragraph and the definition of ERISA, the term “</w:t>
      </w:r>
      <w:r>
        <w:rPr>
          <w:rFonts w:ascii="Times New Roman" w:cs="Times New Roman" w:eastAsia="Times New Roman" w:hAnsi="Times New Roman"/>
          <w:sz w:val="12"/>
          <w:szCs w:val="12"/>
          <w:b w:val="1"/>
          <w:bCs w:val="1"/>
          <w:color w:val="auto"/>
        </w:rPr>
        <w:t>Plan</w:t>
      </w:r>
      <w:r>
        <w:rPr>
          <w:rFonts w:ascii="Times New Roman" w:cs="Times New Roman" w:eastAsia="Times New Roman" w:hAnsi="Times New Roman"/>
          <w:sz w:val="12"/>
          <w:szCs w:val="12"/>
          <w:color w:val="auto"/>
        </w:rPr>
        <w:t>” means a plan (within the meaning of Section 3(3) of ERISA), subject to Title IV of ERISA, with respect to which the Company or any of its subsidiaries may have any liability.</w:t>
      </w:r>
    </w:p>
    <w:p>
      <w:pPr>
        <w:spacing w:after="0" w:line="118" w:lineRule="exact"/>
        <w:rPr>
          <w:sz w:val="20"/>
          <w:szCs w:val="20"/>
          <w:color w:val="auto"/>
        </w:rPr>
      </w:pPr>
    </w:p>
    <w:p>
      <w:pPr>
        <w:jc w:val="both"/>
        <w:ind w:left="7" w:firstLine="440"/>
        <w:spacing w:after="0" w:line="266" w:lineRule="auto"/>
        <w:rPr>
          <w:sz w:val="20"/>
          <w:szCs w:val="20"/>
          <w:color w:val="auto"/>
        </w:rPr>
      </w:pPr>
      <w:r>
        <w:rPr>
          <w:rFonts w:ascii="Times New Roman" w:cs="Times New Roman" w:eastAsia="Times New Roman" w:hAnsi="Times New Roman"/>
          <w:sz w:val="12"/>
          <w:szCs w:val="12"/>
          <w:color w:val="auto"/>
        </w:rPr>
        <w:t>(ff)       The Company and each of its subsidiaries are insured by insurers of recognized financial responsibility against such losses and risks and in such amounts as in the Company’s reasonable judgment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to have a material adverse effect on the Company and its subsidiaries, taken as a whole.</w:t>
      </w:r>
    </w:p>
    <w:p>
      <w:pPr>
        <w:spacing w:after="0" w:line="26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76135" cy="571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2">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283" w:name="page284"/>
    <w:bookmarkEnd w:id="283"/>
    <w:p>
      <w:pPr>
        <w:jc w:val="both"/>
        <w:ind w:firstLine="440"/>
        <w:spacing w:after="0" w:line="272" w:lineRule="auto"/>
        <w:rPr>
          <w:sz w:val="20"/>
          <w:szCs w:val="20"/>
          <w:color w:val="auto"/>
        </w:rPr>
      </w:pPr>
      <w:r>
        <w:rPr>
          <w:rFonts w:ascii="Times New Roman" w:cs="Times New Roman" w:eastAsia="Times New Roman" w:hAnsi="Times New Roman"/>
          <w:sz w:val="12"/>
          <w:szCs w:val="12"/>
          <w:color w:val="auto"/>
        </w:rPr>
        <w:t>(gg)          The Company and each of its subsidiaries possess all certificates, authorizations and permits issued by the appropriate federal, state or foreign regulatory authorities necessary to conduct their respective businesses,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w:t>
      </w:r>
    </w:p>
    <w:p>
      <w:pPr>
        <w:spacing w:after="0" w:line="117" w:lineRule="exact"/>
        <w:rPr>
          <w:sz w:val="20"/>
          <w:szCs w:val="20"/>
          <w:color w:val="auto"/>
        </w:rPr>
      </w:pPr>
    </w:p>
    <w:p>
      <w:pPr>
        <w:jc w:val="both"/>
        <w:ind w:firstLine="440"/>
        <w:spacing w:after="0" w:line="263" w:lineRule="auto"/>
        <w:rPr>
          <w:sz w:val="20"/>
          <w:szCs w:val="20"/>
          <w:color w:val="auto"/>
        </w:rPr>
      </w:pPr>
      <w:r>
        <w:rPr>
          <w:rFonts w:ascii="Times New Roman" w:cs="Times New Roman" w:eastAsia="Times New Roman" w:hAnsi="Times New Roman"/>
          <w:sz w:val="12"/>
          <w:szCs w:val="12"/>
          <w:color w:val="auto"/>
        </w:rPr>
        <w:t>(hh)          The financial statements included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Times New Roman" w:cs="Times New Roman" w:eastAsia="Times New Roman" w:hAnsi="Times New Roman"/>
          <w:sz w:val="12"/>
          <w:szCs w:val="12"/>
          <w:b w:val="1"/>
          <w:bCs w:val="1"/>
          <w:color w:val="auto"/>
        </w:rPr>
        <w:t>U.S. GAAP</w:t>
      </w:r>
      <w:r>
        <w:rPr>
          <w:rFonts w:ascii="Times New Roman" w:cs="Times New Roman" w:eastAsia="Times New Roman" w:hAnsi="Times New Roman"/>
          <w:sz w:val="12"/>
          <w:szCs w:val="12"/>
          <w:color w:val="auto"/>
        </w:rPr>
        <w:t>”) applied on a consistent basis throughout the periods covered thereby except for any normal year-end adjustments in the Company’s quarterly financial statements. The other financial information included in each of the Registration Statement, the Time of Sale Prospectus and the Prospectus has been derived from the accounting records of the Company and its consolidated subsidiaries and presents fairly in all material respects the information shown thereby.</w:t>
      </w:r>
    </w:p>
    <w:p>
      <w:pPr>
        <w:spacing w:after="0" w:line="123" w:lineRule="exact"/>
        <w:rPr>
          <w:sz w:val="20"/>
          <w:szCs w:val="20"/>
          <w:color w:val="auto"/>
        </w:rPr>
      </w:pPr>
    </w:p>
    <w:p>
      <w:pPr>
        <w:jc w:val="both"/>
        <w:ind w:firstLine="440"/>
        <w:spacing w:after="0" w:line="272" w:lineRule="auto"/>
        <w:rPr>
          <w:sz w:val="20"/>
          <w:szCs w:val="20"/>
          <w:color w:val="auto"/>
        </w:rPr>
      </w:pPr>
      <w:r>
        <w:rPr>
          <w:rFonts w:ascii="Times New Roman" w:cs="Times New Roman" w:eastAsia="Times New Roman" w:hAnsi="Times New Roman"/>
          <w:sz w:val="12"/>
          <w:szCs w:val="12"/>
          <w:color w:val="auto"/>
        </w:rPr>
        <w:t>(ii)            PricewaterhouseCoopers LLP, which has certified certain financial statements of the Company and its subsidiaries and delivered its report with respect to the audited consolidated financial statements and schedules filed with the Commission as part of the Registration Statement and included in each of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117" w:lineRule="exact"/>
        <w:rPr>
          <w:sz w:val="20"/>
          <w:szCs w:val="20"/>
          <w:color w:val="auto"/>
        </w:rPr>
      </w:pPr>
    </w:p>
    <w:p>
      <w:pPr>
        <w:jc w:val="both"/>
        <w:ind w:firstLine="440"/>
        <w:spacing w:after="0" w:line="263" w:lineRule="auto"/>
        <w:rPr>
          <w:sz w:val="20"/>
          <w:szCs w:val="20"/>
          <w:color w:val="auto"/>
        </w:rPr>
      </w:pPr>
      <w:r>
        <w:rPr>
          <w:rFonts w:ascii="Times New Roman" w:cs="Times New Roman" w:eastAsia="Times New Roman" w:hAnsi="Times New Roman"/>
          <w:sz w:val="12"/>
          <w:szCs w:val="12"/>
          <w:color w:val="auto"/>
        </w:rPr>
        <w:t>(jj)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76135" cy="571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3">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84" w:name="page285"/>
    <w:bookmarkEnd w:id="284"/>
    <w:p>
      <w:pPr>
        <w:jc w:val="both"/>
        <w:ind w:firstLine="440"/>
        <w:spacing w:after="0" w:line="272" w:lineRule="auto"/>
        <w:rPr>
          <w:sz w:val="20"/>
          <w:szCs w:val="20"/>
          <w:color w:val="auto"/>
        </w:rPr>
      </w:pPr>
      <w:r>
        <w:rPr>
          <w:rFonts w:ascii="Times New Roman" w:cs="Times New Roman" w:eastAsia="Times New Roman" w:hAnsi="Times New Roman"/>
          <w:sz w:val="12"/>
          <w:szCs w:val="12"/>
          <w:color w:val="auto"/>
        </w:rPr>
        <w:t>(kk)          Except as described in the Time of Sale Prospectus and the Registration Statement,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117"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2"/>
          <w:szCs w:val="12"/>
          <w:color w:val="auto"/>
        </w:rPr>
        <w:t>(ll)            The Company and each of its subsidiaries have filed all U.S. federal, state, local and foreign tax returns required by law to be filed through the date of this Agreement or have requested extensions thereof (except where the failure to file would not, singly or in the aggregate, reasonably be expected to have a material adverse effect on the Company and its subsidiaries, taken as a whole) and have paid all taxes required to be paid thereon (except for cases in which the failure to pay would not, singly or in the aggregate, reasonably be expected to have a material adverse effect on the Company and its subsidiaries, taken as a whole, or, except as currently being contested in good faith and for which reserves required by U.S. GAAP have been established in the financial statements of the Company), and no tax deficiency has been determined adversely to the Company or any of its subsidiaries which, singly or in the aggregate, has had (nor does the Company nor any of its subsidiaries have any notice or knowledge of any tax deficiency that could reasonably be expected to be determined adversely to the Company or its subsidiaries and that could reasonably be expected to have) a material adverse effect on the Company and its subsidiaries, taken as a whole.</w:t>
      </w:r>
    </w:p>
    <w:p>
      <w:pPr>
        <w:spacing w:after="0" w:line="122" w:lineRule="exact"/>
        <w:rPr>
          <w:sz w:val="20"/>
          <w:szCs w:val="20"/>
          <w:color w:val="auto"/>
        </w:rPr>
      </w:pPr>
    </w:p>
    <w:p>
      <w:pPr>
        <w:jc w:val="both"/>
        <w:ind w:right="20" w:firstLine="440"/>
        <w:spacing w:after="0" w:line="291" w:lineRule="auto"/>
        <w:rPr>
          <w:sz w:val="20"/>
          <w:szCs w:val="20"/>
          <w:color w:val="auto"/>
        </w:rPr>
      </w:pPr>
      <w:r>
        <w:rPr>
          <w:rFonts w:ascii="Times New Roman" w:cs="Times New Roman" w:eastAsia="Times New Roman" w:hAnsi="Times New Roman"/>
          <w:sz w:val="12"/>
          <w:szCs w:val="12"/>
          <w:color w:val="auto"/>
        </w:rPr>
        <w:t>(mm)        From the time of initial confidential submission of the Registration Statement to the Commission through the date hereof, the Company has been and is an “emerging growth company,” as defined in Section 2(a) of the Securities Act (an “</w:t>
      </w:r>
      <w:r>
        <w:rPr>
          <w:rFonts w:ascii="Times New Roman" w:cs="Times New Roman" w:eastAsia="Times New Roman" w:hAnsi="Times New Roman"/>
          <w:sz w:val="12"/>
          <w:szCs w:val="12"/>
          <w:b w:val="1"/>
          <w:bCs w:val="1"/>
          <w:color w:val="auto"/>
        </w:rPr>
        <w:t>Emerging Growth Company</w:t>
      </w:r>
      <w:r>
        <w:rPr>
          <w:rFonts w:ascii="Times New Roman" w:cs="Times New Roman" w:eastAsia="Times New Roman" w:hAnsi="Times New Roman"/>
          <w:sz w:val="12"/>
          <w:szCs w:val="12"/>
          <w:color w:val="auto"/>
        </w:rPr>
        <w:t>”).</w:t>
      </w:r>
    </w:p>
    <w:p>
      <w:pPr>
        <w:spacing w:after="0" w:line="105" w:lineRule="exact"/>
        <w:rPr>
          <w:sz w:val="20"/>
          <w:szCs w:val="20"/>
          <w:color w:val="auto"/>
        </w:rPr>
      </w:pPr>
    </w:p>
    <w:p>
      <w:pPr>
        <w:jc w:val="both"/>
        <w:ind w:firstLine="440"/>
        <w:spacing w:after="0" w:line="263" w:lineRule="auto"/>
        <w:rPr>
          <w:sz w:val="20"/>
          <w:szCs w:val="20"/>
          <w:color w:val="auto"/>
        </w:rPr>
      </w:pPr>
      <w:r>
        <w:rPr>
          <w:rFonts w:ascii="Times New Roman" w:cs="Times New Roman" w:eastAsia="Times New Roman" w:hAnsi="Times New Roman"/>
          <w:sz w:val="12"/>
          <w:szCs w:val="12"/>
          <w:color w:val="auto"/>
        </w:rPr>
        <w:t>(nn)        The Company (i) has not alone engaged in any Testing-the-Waters Communication with any person other than Testing-the-Waters Communications with the consent of the Representatives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other than those listed on Schedule III hereto. “</w:t>
      </w:r>
      <w:r>
        <w:rPr>
          <w:rFonts w:ascii="Times New Roman" w:cs="Times New Roman" w:eastAsia="Times New Roman" w:hAnsi="Times New Roman"/>
          <w:sz w:val="12"/>
          <w:szCs w:val="12"/>
          <w:b w:val="1"/>
          <w:bCs w:val="1"/>
          <w:color w:val="auto"/>
        </w:rPr>
        <w:t>Testing-the-Waters Communication</w:t>
      </w:r>
      <w:r>
        <w:rPr>
          <w:rFonts w:ascii="Times New Roman" w:cs="Times New Roman" w:eastAsia="Times New Roman" w:hAnsi="Times New Roman"/>
          <w:sz w:val="12"/>
          <w:szCs w:val="12"/>
          <w:color w:val="auto"/>
        </w:rPr>
        <w:t>” means any communication with potential investors undertaken in reliance on Section 5(d) or Rule 163B of the Securities Act.</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76135" cy="571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4">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85" w:name="page286"/>
    <w:bookmarkEnd w:id="285"/>
    <w:p>
      <w:pPr>
        <w:jc w:val="both"/>
        <w:ind w:left="7" w:firstLine="440"/>
        <w:spacing w:after="0" w:line="256" w:lineRule="auto"/>
        <w:rPr>
          <w:sz w:val="20"/>
          <w:szCs w:val="20"/>
          <w:color w:val="auto"/>
        </w:rPr>
      </w:pPr>
      <w:r>
        <w:rPr>
          <w:rFonts w:ascii="Times New Roman" w:cs="Times New Roman" w:eastAsia="Times New Roman" w:hAnsi="Times New Roman"/>
          <w:sz w:val="12"/>
          <w:szCs w:val="12"/>
          <w:color w:val="auto"/>
        </w:rPr>
        <w:t>(oo)            Each of the Company and its subsidiaries (i) has operated and currently operates its business in compliance with all applicable Health Care Laws (as defined below) and any other applicable requirements of the Food and Drug Administration (“</w:t>
      </w:r>
      <w:r>
        <w:rPr>
          <w:rFonts w:ascii="Times New Roman" w:cs="Times New Roman" w:eastAsia="Times New Roman" w:hAnsi="Times New Roman"/>
          <w:sz w:val="12"/>
          <w:szCs w:val="12"/>
          <w:b w:val="1"/>
          <w:bCs w:val="1"/>
          <w:color w:val="auto"/>
        </w:rPr>
        <w:t>FDA</w:t>
      </w:r>
      <w:r>
        <w:rPr>
          <w:rFonts w:ascii="Times New Roman" w:cs="Times New Roman" w:eastAsia="Times New Roman" w:hAnsi="Times New Roman"/>
          <w:sz w:val="12"/>
          <w:szCs w:val="12"/>
          <w:color w:val="auto"/>
        </w:rPr>
        <w:t>”), the Department of Health and Human Services and any comparable state, local or foreign regulatory authority to which its business and operations are subject (collectively, “</w:t>
      </w:r>
      <w:r>
        <w:rPr>
          <w:rFonts w:ascii="Times New Roman" w:cs="Times New Roman" w:eastAsia="Times New Roman" w:hAnsi="Times New Roman"/>
          <w:sz w:val="12"/>
          <w:szCs w:val="12"/>
          <w:b w:val="1"/>
          <w:bCs w:val="1"/>
          <w:color w:val="auto"/>
        </w:rPr>
        <w:t>Regulatory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Authorities</w:t>
      </w:r>
      <w:r>
        <w:rPr>
          <w:rFonts w:ascii="Times New Roman" w:cs="Times New Roman" w:eastAsia="Times New Roman" w:hAnsi="Times New Roman"/>
          <w:sz w:val="12"/>
          <w:szCs w:val="12"/>
          <w:color w:val="auto"/>
        </w:rPr>
        <w:t>”), except where the failures to so comply, whether individually or in the aggregate, would not reasonably be expected to have a material adverse effect on the Company and its subsidiaries, taken as a whole; (ii) has not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received any FDA Form-483, written notice of adverse finding, warning letter, untitled letter or other correspondence or written notice from any court or arbitrator or governmental or Regulatory Authority alleging or asserting material non-compliance with (A) any applicable Health Care Laws or (B) or any licenses, certificates, approvals, clearances, exemptions, registrations, authorizations, certificates, permits and supplements or amendments thereto required pursuant any such applicable Health Care Laws (“</w:t>
      </w:r>
      <w:r>
        <w:rPr>
          <w:rFonts w:ascii="Times New Roman" w:cs="Times New Roman" w:eastAsia="Times New Roman" w:hAnsi="Times New Roman"/>
          <w:sz w:val="12"/>
          <w:szCs w:val="12"/>
          <w:b w:val="1"/>
          <w:bCs w:val="1"/>
          <w:color w:val="auto"/>
        </w:rPr>
        <w:t>Regulatory Authorizations</w:t>
      </w:r>
      <w:r>
        <w:rPr>
          <w:rFonts w:ascii="Times New Roman" w:cs="Times New Roman" w:eastAsia="Times New Roman" w:hAnsi="Times New Roman"/>
          <w:sz w:val="12"/>
          <w:szCs w:val="12"/>
          <w:color w:val="auto"/>
        </w:rPr>
        <w:t>”); (iii) possesses such valid and current Regulatory Authorizations required to conduct its business as currently conducted, and is not in violation, in any respect, of any term of any such Regulatory Authorizations, except where failures to possess, or comply with the terms of, such Regulatory Authorizations would not, whether individually or in the aggregate, reasonably be expected to have a material adverse effect on the Company and its subsidiaries, taken as a whole; (iv) has not received written notice of any claim, action, suit, proceeding, hearing, enforcement, investigation, arbitration or other action from any governmental authority or Regulatory Authority alleging that any product, operation, or activity is in material violation of any applicable Health Care Laws or Regulatory Authorizations and has no knowledge that any Regulatory Authority or governmental authority has threatened any such claim, litigation, arbitration, action, suit, investigation or proceeding; (v) has not received written notice that any Regulatory Authority has taken, is taking or intends to take action to limit, suspend, modify or revoke any Regulatory Authorizations and has no knowledge that any applicable regulatory authority is threatening such action, except for such limitations, suspensions, modifications or revocations as would not, whether individually or in the aggregate, reasonably be expected to have a material adverse effect on the Company and its subsidiaries, taken as a whole; (vi) has no knowledge of any event that has occurred which allows, or after notice or lapse of time would allow, revocation or termination thereof or results in any other impairment of the rights of the holder of any Regulatory Authorization, except for such revocations, terminations or impairments as would not, whether individually or in the aggregate, reasonably be expected to have a material adverse effect on the Company and its subsidiaries, taken as a whole</w:t>
      </w:r>
    </w:p>
    <w:p>
      <w:pPr>
        <w:spacing w:after="0" w:line="3" w:lineRule="exact"/>
        <w:rPr>
          <w:sz w:val="20"/>
          <w:szCs w:val="20"/>
          <w:color w:val="auto"/>
        </w:rPr>
      </w:pPr>
    </w:p>
    <w:p>
      <w:pPr>
        <w:jc w:val="both"/>
        <w:ind w:left="7" w:hanging="7"/>
        <w:spacing w:after="0" w:line="257" w:lineRule="auto"/>
        <w:tabs>
          <w:tab w:leader="none" w:pos="255"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filed, obtained, maintained or submitted all reports, documents, forms, notices, applications, records, claims, submissions and supplements or amendments as required by any applicable Health Care Laws or Regulatory Authorizations and all such reports, documents, forms, notices, applications, records, claims, submissions and supplements or amendments were materially complete and correct on the date filed (or were materially corrected or supplemented by a subsequent submission) except where the failures to file, obtain, maintain, submit or correct the same would not, whether individually or in the aggregate, reasonably be expected to have a material adverse effect on the Company and its subsidiaries, taken as a whole; (viii) is not a party to or have any ongoing reporting obligations pursuant to any corporate integrity agreements, deferred or non-prosecution agreements, monitoring agreements, consent decrees, settlement orders, plans of correction or similar agreements with or imposed by any applicable Regulatory Authority; and (ix) along with its employees, officers and directors, and, to the Company’s knowledge, agents, has not been excluded, suspended or debarred from participation in any government health care program or human clinical research or, to the knowledge of the Company, is subject to a governmental inquiry, investigation, proceeding, or other similar action that could reasonably be expected to result in debarment, suspension, or exclusion. The term “</w:t>
      </w:r>
      <w:r>
        <w:rPr>
          <w:rFonts w:ascii="Times New Roman" w:cs="Times New Roman" w:eastAsia="Times New Roman" w:hAnsi="Times New Roman"/>
          <w:sz w:val="12"/>
          <w:szCs w:val="12"/>
          <w:b w:val="1"/>
          <w:bCs w:val="1"/>
          <w:color w:val="auto"/>
        </w:rPr>
        <w:t>Health Care Laws</w:t>
      </w:r>
      <w:r>
        <w:rPr>
          <w:rFonts w:ascii="Times New Roman" w:cs="Times New Roman" w:eastAsia="Times New Roman" w:hAnsi="Times New Roman"/>
          <w:sz w:val="12"/>
          <w:szCs w:val="12"/>
          <w:color w:val="auto"/>
        </w:rPr>
        <w:t>” means all applicable Health Care Laws related to the research, investigation, development, production, testing, packaging, labeling, distribution, storage, shipping, transport, marketing, advertising, promotion, sale, export, import, use, handling, control, safety, efficacy, reliability or manufacturing of pharmaceutical products, including, without limitation, Title XVIII of the Social Security Act, 42 U.S.C. §§ 1395-1395hhh (the Medicare statute), Title XIX of the Social Security Act, 42 U.S.C. §§ 1396-1396v (the Medicaid statute), and any other law pertaining to or governing a government healthcare program; the Federal Anti-Kickback Statute, 42 U.S.C. § 1320a-7b(b); the civil False Claims Act, 31 U.S.C. §§ 3729 et seq.; the criminal false statements law, 42 U.S.C. 1320a-7b(a); any criminal laws relating to health care fraud and abuse, including but not limited to 18 U.S.C. Sections 286, 287, 1035, 1347 and 1349 and the health care fraud criminal provisions under the Health Insurance Portability and Accountability Act of 1996, 42 U.S.C. §§ 1320d et seq., (“</w:t>
      </w:r>
      <w:r>
        <w:rPr>
          <w:rFonts w:ascii="Times New Roman" w:cs="Times New Roman" w:eastAsia="Times New Roman" w:hAnsi="Times New Roman"/>
          <w:sz w:val="12"/>
          <w:szCs w:val="12"/>
          <w:b w:val="1"/>
          <w:bCs w:val="1"/>
          <w:color w:val="auto"/>
        </w:rPr>
        <w:t>HIPAA</w:t>
      </w:r>
      <w:r>
        <w:rPr>
          <w:rFonts w:ascii="Times New Roman" w:cs="Times New Roman" w:eastAsia="Times New Roman" w:hAnsi="Times New Roman"/>
          <w:sz w:val="12"/>
          <w:szCs w:val="12"/>
          <w:color w:val="auto"/>
        </w:rPr>
        <w:t>”); the Civil Monetary Penalties Law, 42 U.S.C. §§ 1320a-7a and 1320a-7b; the Physician Payments Sunshine Act, 42 U.S.C. § 1320a-7h; the Exclusion Laws, 42 U.S.C. § 1320a-7; Health Insurance Portability and Accountability Act of 1996, as amended by the Health Information Technology for Economic and Clinical Health Act, 42 U.S.C. §§ 17921 et seq.; the Federal Food, Drug, and Cosmetic Act, 21 U.S.C. §§ 301 et seq.; the regulations promulgated pursuant to such laws; and any comparable foreign, federal, state and local laws and regulations.</w:t>
      </w:r>
      <w:r>
        <w:rPr>
          <w:rFonts w:ascii="Times New Roman" w:cs="Times New Roman" w:eastAsia="Times New Roman" w:hAnsi="Times New Roman"/>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1797050" cy="571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5">
                      <a:extLst>
                        <a:ext uri="{28A0092B-C50C-407E-A947-70E740481C1C}"/>
                      </a:extLst>
                    </a:blip>
                    <a:srcRect/>
                    <a:stretch>
                      <a:fillRect/>
                    </a:stretch>
                  </pic:blipFill>
                  <pic:spPr bwMode="auto">
                    <a:xfrm>
                      <a:off x="0" y="0"/>
                      <a:ext cx="1797050" cy="5715"/>
                    </a:xfrm>
                    <a:prstGeom prst="rect">
                      <a:avLst/>
                    </a:prstGeom>
                    <a:noFill/>
                  </pic:spPr>
                </pic:pic>
              </a:graphicData>
            </a:graphic>
          </wp:anchor>
        </w:drawing>
      </w:r>
    </w:p>
    <w:p>
      <w:pPr>
        <w:spacing w:after="0" w:line="1" w:lineRule="exact"/>
        <w:rPr>
          <w:sz w:val="20"/>
          <w:szCs w:val="20"/>
          <w:color w:val="auto"/>
        </w:rPr>
      </w:pPr>
    </w:p>
    <w:p>
      <w:pPr>
        <w:ind w:left="87" w:hanging="87"/>
        <w:spacing w:after="0"/>
        <w:tabs>
          <w:tab w:leader="none" w:pos="87" w:val="left"/>
        </w:tabs>
        <w:numPr>
          <w:ilvl w:val="0"/>
          <w:numId w:val="15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NTD: Deletions given Company has no marketed products. Company is also not a covered entity under HIPAA.</w:t>
      </w:r>
    </w:p>
    <w:p>
      <w:pPr>
        <w:spacing w:after="0" w:line="27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76135" cy="571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6">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286" w:name="page287"/>
    <w:bookmarkEnd w:id="286"/>
    <w:p>
      <w:pPr>
        <w:jc w:val="both"/>
        <w:ind w:firstLine="440"/>
        <w:spacing w:after="0" w:line="258" w:lineRule="auto"/>
        <w:rPr>
          <w:sz w:val="20"/>
          <w:szCs w:val="20"/>
          <w:color w:val="auto"/>
        </w:rPr>
      </w:pPr>
      <w:r>
        <w:rPr>
          <w:rFonts w:ascii="Times New Roman" w:cs="Times New Roman" w:eastAsia="Times New Roman" w:hAnsi="Times New Roman"/>
          <w:sz w:val="12"/>
          <w:szCs w:val="12"/>
          <w:color w:val="auto"/>
        </w:rPr>
        <w:t>(pp)          All pre-clinical and clinical studies, tests and trials conducted by or on behalf of or sponsored by the Company or its subsidiaries, or in which the Company or its subsidiaries have participated with respect to their product candidates, including without limitation any such studies, tests and trials that are described in the Registration Statement, the Prospectus, the Time of Sale Prospectus and any preliminary prospectus, or the results of which are referred to in the Registration Statement, the Prospectus, the Time of Sale Prospectus and any preliminary prospectus, as applicable, were, and if still pending are, being conducted in all material respects in accordance with all applicable Health Care Laws, Regulatory Authorizations and any applicable rules, regulations and protocols to which such studies, tests or trials are subject. The descriptions of the results from such studies, tests and trials contained in the Registration Statement, the Prospectus, the Time of Sale Prospectus and any preliminary prospectus are accurate in all material respects, and the Company has no knowledge of any other studies, tests or trials not described in the Registration Statement, the Prospectus, the Time of Sale Prospectus and any preliminary prospectus, the results of which are inconsistent with or call into question the results described or referred to in the Registration Statement, the Prospectus, the Time of Sale Prospectus and any preliminary prospectus. Neither the Company nor its subsidiaries has received any written notices, correspondence or other communications from any Regulatory Authority, institutional review board or other entity having authority over the conduct of such studies, tests, or trials requiring or threatening the termination, material modification, clinical hold or suspension of any such studies, tests or trials currently being conducted or proposed to be conducted by or on behalf of the Company or its subsidiaries, other than ordinary course communications with respect to modifications in connection with the design and implementation of such studies, tests or trials, and, to the Company’s knowledge, there are no reasonable grounds for the same.</w:t>
      </w:r>
    </w:p>
    <w:p>
      <w:pPr>
        <w:spacing w:after="0" w:line="128" w:lineRule="exact"/>
        <w:rPr>
          <w:sz w:val="20"/>
          <w:szCs w:val="20"/>
          <w:color w:val="auto"/>
        </w:rPr>
      </w:pPr>
    </w:p>
    <w:p>
      <w:pPr>
        <w:jc w:val="both"/>
        <w:ind w:firstLine="440"/>
        <w:spacing w:after="0" w:line="272" w:lineRule="auto"/>
        <w:rPr>
          <w:sz w:val="20"/>
          <w:szCs w:val="20"/>
          <w:color w:val="auto"/>
        </w:rPr>
      </w:pPr>
      <w:r>
        <w:rPr>
          <w:rFonts w:ascii="Times New Roman" w:cs="Times New Roman" w:eastAsia="Times New Roman" w:hAnsi="Times New Roman"/>
          <w:sz w:val="12"/>
          <w:szCs w:val="12"/>
          <w:color w:val="auto"/>
        </w:rPr>
        <w:t>(qq)          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76135" cy="571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7">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87" w:name="page288"/>
    <w:bookmarkEnd w:id="287"/>
    <w:p>
      <w:pPr>
        <w:ind w:left="440"/>
        <w:spacing w:after="0"/>
        <w:rPr>
          <w:sz w:val="20"/>
          <w:szCs w:val="20"/>
          <w:color w:val="auto"/>
        </w:rPr>
      </w:pPr>
      <w:r>
        <w:rPr>
          <w:rFonts w:ascii="Times New Roman" w:cs="Times New Roman" w:eastAsia="Times New Roman" w:hAnsi="Times New Roman"/>
          <w:sz w:val="12"/>
          <w:szCs w:val="12"/>
          <w:color w:val="auto"/>
        </w:rPr>
        <w:t>(rr)           The Company does not have any securities that are rated by any “nationally recognized statistical rating organization,” as such term is defined in the Securities Exchange Act of 1934, as amended (the “</w:t>
      </w:r>
      <w:r>
        <w:rPr>
          <w:rFonts w:ascii="Times New Roman" w:cs="Times New Roman" w:eastAsia="Times New Roman" w:hAnsi="Times New Roman"/>
          <w:sz w:val="12"/>
          <w:szCs w:val="12"/>
          <w:b w:val="1"/>
          <w:bCs w:val="1"/>
          <w:color w:val="auto"/>
        </w:rPr>
        <w:t>Exchange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Act</w:t>
      </w:r>
      <w:r>
        <w:rPr>
          <w:rFonts w:ascii="Times New Roman" w:cs="Times New Roman" w:eastAsia="Times New Roman" w:hAnsi="Times New Roman"/>
          <w:sz w:val="12"/>
          <w:szCs w:val="12"/>
          <w:color w:val="auto"/>
        </w:rPr>
        <w:t>”).</w:t>
      </w:r>
    </w:p>
    <w:p>
      <w:pPr>
        <w:spacing w:after="0" w:line="141" w:lineRule="exact"/>
        <w:rPr>
          <w:sz w:val="20"/>
          <w:szCs w:val="20"/>
          <w:color w:val="auto"/>
        </w:rPr>
      </w:pPr>
    </w:p>
    <w:p>
      <w:pPr>
        <w:jc w:val="both"/>
        <w:ind w:right="20" w:firstLine="440"/>
        <w:spacing w:after="0" w:line="294" w:lineRule="auto"/>
        <w:rPr>
          <w:sz w:val="20"/>
          <w:szCs w:val="20"/>
          <w:color w:val="auto"/>
        </w:rPr>
      </w:pPr>
      <w:r>
        <w:rPr>
          <w:rFonts w:ascii="Times New Roman" w:cs="Times New Roman" w:eastAsia="Times New Roman" w:hAnsi="Times New Roman"/>
          <w:sz w:val="12"/>
          <w:szCs w:val="12"/>
          <w:color w:val="auto"/>
        </w:rPr>
        <w:t>2.              </w:t>
      </w:r>
      <w:r>
        <w:rPr>
          <w:rFonts w:ascii="Times New Roman" w:cs="Times New Roman" w:eastAsia="Times New Roman" w:hAnsi="Times New Roman"/>
          <w:sz w:val="12"/>
          <w:szCs w:val="12"/>
          <w:i w:val="1"/>
          <w:iCs w:val="1"/>
          <w:color w:val="auto"/>
        </w:rPr>
        <w:t>Agreements to Sell and Purchase.</w:t>
      </w:r>
      <w:r>
        <w:rPr>
          <w:rFonts w:ascii="Times New Roman" w:cs="Times New Roman" w:eastAsia="Times New Roman" w:hAnsi="Times New Roman"/>
          <w:sz w:val="12"/>
          <w:szCs w:val="12"/>
          <w:color w:val="auto"/>
        </w:rPr>
        <w:t xml:space="preserve"> The Company hereby agrees to sell to the several Underwriters, and each Underwriter, upon the basis of the representations and warranties herein contained, but subject to the terms and conditions hereinafter stated, agrees, severally and not jointly, to purchase from the Company the respective numbers of Firm Shares set forth in Schedule I hereto opposite its name at $[______] a share (the “</w:t>
      </w:r>
      <w:r>
        <w:rPr>
          <w:rFonts w:ascii="Times New Roman" w:cs="Times New Roman" w:eastAsia="Times New Roman" w:hAnsi="Times New Roman"/>
          <w:sz w:val="12"/>
          <w:szCs w:val="12"/>
          <w:b w:val="1"/>
          <w:bCs w:val="1"/>
          <w:color w:val="auto"/>
        </w:rPr>
        <w:t>Purchase Price</w:t>
      </w:r>
      <w:r>
        <w:rPr>
          <w:rFonts w:ascii="Times New Roman" w:cs="Times New Roman" w:eastAsia="Times New Roman" w:hAnsi="Times New Roman"/>
          <w:sz w:val="12"/>
          <w:szCs w:val="12"/>
          <w:color w:val="auto"/>
        </w:rPr>
        <w:t>”).</w:t>
      </w:r>
    </w:p>
    <w:p>
      <w:pPr>
        <w:spacing w:after="0" w:line="104" w:lineRule="exact"/>
        <w:rPr>
          <w:sz w:val="20"/>
          <w:szCs w:val="20"/>
          <w:color w:val="auto"/>
        </w:rPr>
      </w:pPr>
    </w:p>
    <w:p>
      <w:pPr>
        <w:jc w:val="both"/>
        <w:ind w:firstLine="440"/>
        <w:spacing w:after="0" w:line="265" w:lineRule="auto"/>
        <w:rPr>
          <w:sz w:val="20"/>
          <w:szCs w:val="20"/>
          <w:color w:val="auto"/>
        </w:rPr>
      </w:pPr>
      <w:r>
        <w:rPr>
          <w:rFonts w:ascii="Times New Roman" w:cs="Times New Roman" w:eastAsia="Times New Roman" w:hAnsi="Times New Roman"/>
          <w:sz w:val="12"/>
          <w:szCs w:val="12"/>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[_______________] Additional Shares at the Purchase Price, provided, however, that the amount paid by the Underwriters for any Additional Shares shall be reduced by an</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amount per share equal to any dividends declared by the Company and payable on the Firm Shares but not payable on such Additional Shares. The Representatives may exercise this right on behalf of the Underwriters in whole or from time to time in part by giving written notice to the Company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Times New Roman" w:cs="Times New Roman" w:eastAsia="Times New Roman" w:hAnsi="Times New Roman"/>
          <w:sz w:val="12"/>
          <w:szCs w:val="12"/>
          <w:b w:val="1"/>
          <w:bCs w:val="1"/>
          <w:color w:val="auto"/>
        </w:rPr>
        <w:t>Option Closing Date</w:t>
      </w:r>
      <w:r>
        <w:rPr>
          <w:rFonts w:ascii="Times New Roman" w:cs="Times New Roman" w:eastAsia="Times New Roman" w:hAnsi="Times New Roman"/>
          <w:sz w:val="12"/>
          <w:szCs w:val="12"/>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24"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2"/>
          <w:szCs w:val="12"/>
          <w:color w:val="auto"/>
        </w:rPr>
        <w:t>3.              </w:t>
      </w:r>
      <w:r>
        <w:rPr>
          <w:rFonts w:ascii="Times New Roman" w:cs="Times New Roman" w:eastAsia="Times New Roman" w:hAnsi="Times New Roman"/>
          <w:sz w:val="12"/>
          <w:szCs w:val="12"/>
          <w:i w:val="1"/>
          <w:iCs w:val="1"/>
          <w:color w:val="auto"/>
        </w:rPr>
        <w:t>Terms of Public Offering</w:t>
      </w:r>
      <w:r>
        <w:rPr>
          <w:rFonts w:ascii="Times New Roman" w:cs="Times New Roman" w:eastAsia="Times New Roman" w:hAnsi="Times New Roman"/>
          <w:sz w:val="12"/>
          <w:szCs w:val="12"/>
          <w:color w:val="auto"/>
        </w:rPr>
        <w:t>. The Company is advised by the Representatives that the Underwriters propose to make a public offering of their respective portions of the Shares as soon after the Registration Statement and this Agreement have become effective as in the Representatives’ judgment is advisable. The Company is further advised by the Representatives that the Shares are to be offered to the public initially at $[_____________] a share</w:t>
      </w:r>
    </w:p>
    <w:p>
      <w:pPr>
        <w:spacing w:after="0"/>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Public Offering Price</w:t>
      </w:r>
      <w:r>
        <w:rPr>
          <w:rFonts w:ascii="Times New Roman" w:cs="Times New Roman" w:eastAsia="Times New Roman" w:hAnsi="Times New Roman"/>
          <w:sz w:val="12"/>
          <w:szCs w:val="12"/>
          <w:color w:val="auto"/>
        </w:rPr>
        <w:t>”) and to certain dealers selected by the Representatives at a price that represents a concession not in excess of $[______] a share under the Public Offering Price, and that any Underwriter may allow,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such dealers may reallow, a concession, not in excess of $[_____] a share, to any Underwriter or to certain other dealers.</w:t>
      </w:r>
    </w:p>
    <w:p>
      <w:pPr>
        <w:spacing w:after="0" w:line="141" w:lineRule="exact"/>
        <w:rPr>
          <w:sz w:val="20"/>
          <w:szCs w:val="20"/>
          <w:color w:val="auto"/>
        </w:rPr>
      </w:pPr>
    </w:p>
    <w:p>
      <w:pPr>
        <w:jc w:val="both"/>
        <w:ind w:firstLine="440"/>
        <w:spacing w:after="0" w:line="274" w:lineRule="auto"/>
        <w:rPr>
          <w:sz w:val="20"/>
          <w:szCs w:val="20"/>
          <w:color w:val="auto"/>
        </w:rPr>
      </w:pPr>
      <w:r>
        <w:rPr>
          <w:rFonts w:ascii="Times New Roman" w:cs="Times New Roman" w:eastAsia="Times New Roman" w:hAnsi="Times New Roman"/>
          <w:sz w:val="12"/>
          <w:szCs w:val="12"/>
          <w:color w:val="auto"/>
        </w:rPr>
        <w:t>4.              </w:t>
      </w:r>
      <w:r>
        <w:rPr>
          <w:rFonts w:ascii="Times New Roman" w:cs="Times New Roman" w:eastAsia="Times New Roman" w:hAnsi="Times New Roman"/>
          <w:sz w:val="12"/>
          <w:szCs w:val="12"/>
          <w:i w:val="1"/>
          <w:iCs w:val="1"/>
          <w:color w:val="auto"/>
        </w:rPr>
        <w:t>Payment and Delivery.</w:t>
      </w:r>
      <w:r>
        <w:rPr>
          <w:rFonts w:ascii="Times New Roman" w:cs="Times New Roman" w:eastAsia="Times New Roman" w:hAnsi="Times New Roman"/>
          <w:sz w:val="12"/>
          <w:szCs w:val="12"/>
          <w:color w:val="auto"/>
        </w:rPr>
        <w:t xml:space="preserve"> Payment for the Firm Shares shall be made to the Company in Federal or other funds immediately available in New York City against delivery of such Firm Shares for the respective accounts of the several Underwriters at 10:00 a.m., New York City time, on [____________], 2024, or at such other time on the same or such other date, not later than [_________], 2024, as shall be designated in writing by the Representatives. The time and date of such payment are hereinafter referred to as the “</w:t>
      </w:r>
      <w:r>
        <w:rPr>
          <w:rFonts w:ascii="Times New Roman" w:cs="Times New Roman" w:eastAsia="Times New Roman" w:hAnsi="Times New Roman"/>
          <w:sz w:val="12"/>
          <w:szCs w:val="12"/>
          <w:b w:val="1"/>
          <w:bCs w:val="1"/>
          <w:color w:val="auto"/>
        </w:rPr>
        <w:t>Closing Date</w:t>
      </w:r>
      <w:r>
        <w:rPr>
          <w:rFonts w:ascii="Times New Roman" w:cs="Times New Roman" w:eastAsia="Times New Roman" w:hAnsi="Times New Roman"/>
          <w:sz w:val="12"/>
          <w:szCs w:val="12"/>
          <w:color w:val="auto"/>
        </w:rPr>
        <w:t>.”</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76135" cy="571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8">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288" w:name="page289"/>
    <w:bookmarkEnd w:id="288"/>
    <w:p>
      <w:pPr>
        <w:jc w:val="both"/>
        <w:ind w:right="20" w:firstLine="440"/>
        <w:spacing w:after="0" w:line="272" w:lineRule="auto"/>
        <w:rPr>
          <w:sz w:val="20"/>
          <w:szCs w:val="20"/>
          <w:color w:val="auto"/>
        </w:rPr>
      </w:pPr>
      <w:r>
        <w:rPr>
          <w:rFonts w:ascii="Times New Roman" w:cs="Times New Roman" w:eastAsia="Times New Roman" w:hAnsi="Times New Roman"/>
          <w:sz w:val="12"/>
          <w:szCs w:val="12"/>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[_______], 2024, as shall be designated in writing by the Representatives.</w:t>
      </w:r>
    </w:p>
    <w:p>
      <w:pPr>
        <w:spacing w:after="0" w:line="117" w:lineRule="exact"/>
        <w:rPr>
          <w:sz w:val="20"/>
          <w:szCs w:val="20"/>
          <w:color w:val="auto"/>
        </w:rPr>
      </w:pPr>
    </w:p>
    <w:p>
      <w:pPr>
        <w:jc w:val="both"/>
        <w:ind w:right="20" w:firstLine="440"/>
        <w:spacing w:after="0" w:line="272" w:lineRule="auto"/>
        <w:rPr>
          <w:sz w:val="20"/>
          <w:szCs w:val="20"/>
          <w:color w:val="auto"/>
        </w:rPr>
      </w:pPr>
      <w:r>
        <w:rPr>
          <w:rFonts w:ascii="Times New Roman" w:cs="Times New Roman" w:eastAsia="Times New Roman" w:hAnsi="Times New Roman"/>
          <w:sz w:val="12"/>
          <w:szCs w:val="12"/>
          <w:color w:val="auto"/>
        </w:rPr>
        <w:t>The Firm Shares and Additional Shares shall be registered in such names and in such denominations as the Representatives shall request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with any transfer taxes payable in connection with the transfer of the Shares to the Underwriters duly paid, against payment of the Purchase Price therefor.</w:t>
      </w:r>
    </w:p>
    <w:p>
      <w:pPr>
        <w:spacing w:after="0" w:line="115" w:lineRule="exact"/>
        <w:rPr>
          <w:sz w:val="20"/>
          <w:szCs w:val="20"/>
          <w:color w:val="auto"/>
        </w:rPr>
      </w:pPr>
    </w:p>
    <w:p>
      <w:pPr>
        <w:jc w:val="both"/>
        <w:ind w:firstLine="440"/>
        <w:spacing w:after="0" w:line="294" w:lineRule="auto"/>
        <w:rPr>
          <w:sz w:val="20"/>
          <w:szCs w:val="20"/>
          <w:color w:val="auto"/>
        </w:rPr>
      </w:pPr>
      <w:r>
        <w:rPr>
          <w:rFonts w:ascii="Times New Roman" w:cs="Times New Roman" w:eastAsia="Times New Roman" w:hAnsi="Times New Roman"/>
          <w:sz w:val="12"/>
          <w:szCs w:val="12"/>
          <w:color w:val="auto"/>
        </w:rPr>
        <w:t>5.              </w:t>
      </w:r>
      <w:r>
        <w:rPr>
          <w:rFonts w:ascii="Times New Roman" w:cs="Times New Roman" w:eastAsia="Times New Roman" w:hAnsi="Times New Roman"/>
          <w:sz w:val="12"/>
          <w:szCs w:val="12"/>
          <w:i w:val="1"/>
          <w:iCs w:val="1"/>
          <w:color w:val="auto"/>
        </w:rPr>
        <w:t>Conditions to the Underwriters’ Obligations</w:t>
      </w:r>
      <w:r>
        <w:rPr>
          <w:rFonts w:ascii="Times New Roman" w:cs="Times New Roman" w:eastAsia="Times New Roman" w:hAnsi="Times New Roman"/>
          <w:sz w:val="12"/>
          <w:szCs w:val="12"/>
          <w:color w:val="auto"/>
        </w:rPr>
        <w:t>. The obligations of the Company to sell the Shares to the Underwriters and the several obligations of the Underwriters to purchase and pay for the Shares on the Closing Date are subject to the condition that the Registration Statement shall have become effective not later than [_____] p.m. (New York City time) on the date hereof.</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several obligations of the Underwriters are subject to the following further conditions: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            Subsequent to the execution and delivery of this Agreement and prior to the Closing Date:</w:t>
      </w:r>
    </w:p>
    <w:p>
      <w:pPr>
        <w:spacing w:after="0" w:line="155" w:lineRule="exact"/>
        <w:rPr>
          <w:sz w:val="20"/>
          <w:szCs w:val="20"/>
          <w:color w:val="auto"/>
        </w:rPr>
      </w:pPr>
    </w:p>
    <w:p>
      <w:pPr>
        <w:jc w:val="both"/>
        <w:ind w:left="880" w:firstLine="440"/>
        <w:spacing w:after="0" w:line="291" w:lineRule="auto"/>
        <w:rPr>
          <w:sz w:val="20"/>
          <w:szCs w:val="20"/>
          <w:color w:val="auto"/>
        </w:rPr>
      </w:pPr>
      <w:r>
        <w:rPr>
          <w:rFonts w:ascii="Times New Roman" w:cs="Times New Roman" w:eastAsia="Times New Roman" w:hAnsi="Times New Roman"/>
          <w:sz w:val="12"/>
          <w:szCs w:val="12"/>
          <w:color w:val="auto"/>
        </w:rPr>
        <w:t>(i)            no order suspending the effectiveness of the Registration Statement shall be in effect, and no proceeding for such purpose or pursuant to Section 8A under the Securities Act shall be pending before or threatened by the Commission; and</w:t>
      </w:r>
    </w:p>
    <w:p>
      <w:pPr>
        <w:spacing w:after="0" w:line="105" w:lineRule="exact"/>
        <w:rPr>
          <w:sz w:val="20"/>
          <w:szCs w:val="20"/>
          <w:color w:val="auto"/>
        </w:rPr>
      </w:pPr>
    </w:p>
    <w:p>
      <w:pPr>
        <w:jc w:val="both"/>
        <w:ind w:left="880" w:firstLine="440"/>
        <w:spacing w:after="0" w:line="272" w:lineRule="auto"/>
        <w:rPr>
          <w:sz w:val="20"/>
          <w:szCs w:val="20"/>
          <w:color w:val="auto"/>
        </w:rPr>
      </w:pPr>
      <w:r>
        <w:rPr>
          <w:rFonts w:ascii="Times New Roman" w:cs="Times New Roman" w:eastAsia="Times New Roman" w:hAnsi="Times New Roman"/>
          <w:sz w:val="12"/>
          <w:szCs w:val="12"/>
          <w:color w:val="auto"/>
        </w:rPr>
        <w:t>(ii)            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spacing w:after="0" w:line="117" w:lineRule="exact"/>
        <w:rPr>
          <w:sz w:val="20"/>
          <w:szCs w:val="20"/>
          <w:color w:val="auto"/>
        </w:rPr>
      </w:pPr>
    </w:p>
    <w:p>
      <w:pPr>
        <w:jc w:val="both"/>
        <w:ind w:firstLine="440"/>
        <w:spacing w:after="0" w:line="272" w:lineRule="auto"/>
        <w:rPr>
          <w:sz w:val="20"/>
          <w:szCs w:val="20"/>
          <w:color w:val="auto"/>
        </w:rPr>
      </w:pPr>
      <w:r>
        <w:rPr>
          <w:rFonts w:ascii="Times New Roman" w:cs="Times New Roman" w:eastAsia="Times New Roman" w:hAnsi="Times New Roman"/>
          <w:sz w:val="12"/>
          <w:szCs w:val="12"/>
          <w:color w:val="auto"/>
        </w:rPr>
        <w:t>(b)            The Underwriters shall have received on the Closing Date a certificate, dated the Closing Date and signed by an executive officer of the Company, to the effect set forth in Sections 5(a)(i)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officer signing and delivering such certificate may rely upon the best of his or her knowledge as to proceedings threatened.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76135" cy="571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9">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89" w:name="page290"/>
    <w:bookmarkEnd w:id="289"/>
    <w:p>
      <w:pPr>
        <w:jc w:val="both"/>
        <w:ind w:right="20" w:firstLine="440"/>
        <w:spacing w:after="0" w:line="291" w:lineRule="auto"/>
        <w:rPr>
          <w:sz w:val="20"/>
          <w:szCs w:val="20"/>
          <w:color w:val="auto"/>
        </w:rPr>
      </w:pPr>
      <w:r>
        <w:rPr>
          <w:rFonts w:ascii="Times New Roman" w:cs="Times New Roman" w:eastAsia="Times New Roman" w:hAnsi="Times New Roman"/>
          <w:sz w:val="12"/>
          <w:szCs w:val="12"/>
          <w:color w:val="auto"/>
        </w:rPr>
        <w:t>(c)             The Underwriters shall have received on the Closing Date an opinion and negative assurance letter of Cooley LLP, outside counsel for the Company, dated the Closing Date, in form and substance reasonably satisfactory to the Underwriters:</w:t>
      </w:r>
    </w:p>
    <w:p>
      <w:pPr>
        <w:spacing w:after="0" w:line="105" w:lineRule="exact"/>
        <w:rPr>
          <w:sz w:val="20"/>
          <w:szCs w:val="20"/>
          <w:color w:val="auto"/>
        </w:rPr>
      </w:pPr>
    </w:p>
    <w:p>
      <w:pPr>
        <w:jc w:val="both"/>
        <w:ind w:firstLine="440"/>
        <w:spacing w:after="0" w:line="291" w:lineRule="auto"/>
        <w:rPr>
          <w:sz w:val="20"/>
          <w:szCs w:val="20"/>
          <w:color w:val="auto"/>
        </w:rPr>
      </w:pPr>
      <w:r>
        <w:rPr>
          <w:rFonts w:ascii="Times New Roman" w:cs="Times New Roman" w:eastAsia="Times New Roman" w:hAnsi="Times New Roman"/>
          <w:sz w:val="12"/>
          <w:szCs w:val="12"/>
          <w:color w:val="auto"/>
        </w:rPr>
        <w:t>(d)             The Underwriters shall have received on the Closing Date an opinion and negative assurance letter of Latham &amp; Watkins LLP, counsel for the Underwriters, dated the Closing Date, in form and substance reasonably satisfactory to the Underwriters.</w:t>
      </w:r>
    </w:p>
    <w:p>
      <w:pPr>
        <w:spacing w:after="0" w:line="105" w:lineRule="exact"/>
        <w:rPr>
          <w:sz w:val="20"/>
          <w:szCs w:val="20"/>
          <w:color w:val="auto"/>
        </w:rPr>
      </w:pPr>
    </w:p>
    <w:p>
      <w:pPr>
        <w:jc w:val="both"/>
        <w:ind w:firstLine="440"/>
        <w:spacing w:after="0" w:line="291" w:lineRule="auto"/>
        <w:rPr>
          <w:sz w:val="20"/>
          <w:szCs w:val="20"/>
          <w:color w:val="auto"/>
        </w:rPr>
      </w:pPr>
      <w:r>
        <w:rPr>
          <w:rFonts w:ascii="Times New Roman" w:cs="Times New Roman" w:eastAsia="Times New Roman" w:hAnsi="Times New Roman"/>
          <w:sz w:val="12"/>
          <w:szCs w:val="12"/>
          <w:color w:val="auto"/>
        </w:rPr>
        <w:t>(e)             The Underwriters shall have received on the Closing Date an opinion of Goodwin Procter LLP, intellectual property counsel for certain Intellectual Property licensed to the Company, dated as of the closing date, in form and substance reasonably satisfactory to the Underwriters.</w:t>
      </w:r>
    </w:p>
    <w:p>
      <w:pPr>
        <w:spacing w:after="0" w:line="105" w:lineRule="exact"/>
        <w:rPr>
          <w:sz w:val="20"/>
          <w:szCs w:val="20"/>
          <w:color w:val="auto"/>
        </w:rPr>
      </w:pPr>
    </w:p>
    <w:p>
      <w:pPr>
        <w:jc w:val="both"/>
        <w:ind w:right="20" w:firstLine="440"/>
        <w:spacing w:after="0" w:line="291" w:lineRule="auto"/>
        <w:rPr>
          <w:sz w:val="20"/>
          <w:szCs w:val="20"/>
          <w:color w:val="auto"/>
        </w:rPr>
      </w:pPr>
      <w:r>
        <w:rPr>
          <w:rFonts w:ascii="Times New Roman" w:cs="Times New Roman" w:eastAsia="Times New Roman" w:hAnsi="Times New Roman"/>
          <w:sz w:val="12"/>
          <w:szCs w:val="12"/>
          <w:color w:val="auto"/>
        </w:rPr>
        <w:t>(f)             The Underwriters shall have received on the Closing Date an opinion of Hyman, Phelps &amp; McNamara, P.C., regulatory counsel to the Company, dated as of the closing date, in form and substance reasonably satisfactory to the Underwriters.</w:t>
      </w:r>
    </w:p>
    <w:p>
      <w:pPr>
        <w:spacing w:after="0" w:line="105" w:lineRule="exact"/>
        <w:rPr>
          <w:sz w:val="20"/>
          <w:szCs w:val="20"/>
          <w:color w:val="auto"/>
        </w:rPr>
      </w:pPr>
    </w:p>
    <w:p>
      <w:pPr>
        <w:jc w:val="both"/>
        <w:ind w:right="20" w:firstLine="440"/>
        <w:spacing w:after="0" w:line="272" w:lineRule="auto"/>
        <w:rPr>
          <w:sz w:val="20"/>
          <w:szCs w:val="20"/>
          <w:color w:val="auto"/>
        </w:rPr>
      </w:pPr>
      <w:r>
        <w:rPr>
          <w:rFonts w:ascii="Times New Roman" w:cs="Times New Roman" w:eastAsia="Times New Roman" w:hAnsi="Times New Roman"/>
          <w:sz w:val="12"/>
          <w:szCs w:val="12"/>
          <w:color w:val="auto"/>
        </w:rPr>
        <w:t>With respect to the negative assurance letters to be delivered pursuant to Sections 5(c) and 5(d) above, Cooley LLP and Latham &amp; Watkins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17" w:lineRule="exact"/>
        <w:rPr>
          <w:sz w:val="20"/>
          <w:szCs w:val="20"/>
          <w:color w:val="auto"/>
        </w:rPr>
      </w:pPr>
    </w:p>
    <w:p>
      <w:pPr>
        <w:jc w:val="both"/>
        <w:ind w:firstLine="440"/>
        <w:spacing w:after="0" w:line="291" w:lineRule="auto"/>
        <w:rPr>
          <w:sz w:val="20"/>
          <w:szCs w:val="20"/>
          <w:color w:val="auto"/>
        </w:rPr>
      </w:pPr>
      <w:r>
        <w:rPr>
          <w:rFonts w:ascii="Times New Roman" w:cs="Times New Roman" w:eastAsia="Times New Roman" w:hAnsi="Times New Roman"/>
          <w:sz w:val="12"/>
          <w:szCs w:val="12"/>
          <w:color w:val="auto"/>
        </w:rPr>
        <w:t>The opinions of Cooley LLP, Goodwin Procter LLP and Hyman, Phelps &amp; McNamara, P.C. described in Section 5(c), 5(e) and 5(f) above shall be rendered to the Underwriters at the request of the Company and shall so state therein.</w:t>
      </w:r>
    </w:p>
    <w:p>
      <w:pPr>
        <w:spacing w:after="0" w:line="105" w:lineRule="exact"/>
        <w:rPr>
          <w:sz w:val="20"/>
          <w:szCs w:val="20"/>
          <w:color w:val="auto"/>
        </w:rPr>
      </w:pPr>
    </w:p>
    <w:p>
      <w:pPr>
        <w:jc w:val="both"/>
        <w:ind w:firstLine="440"/>
        <w:spacing w:after="0" w:line="270" w:lineRule="auto"/>
        <w:rPr>
          <w:sz w:val="20"/>
          <w:szCs w:val="20"/>
          <w:color w:val="auto"/>
        </w:rPr>
      </w:pPr>
      <w:r>
        <w:rPr>
          <w:rFonts w:ascii="Times New Roman" w:cs="Times New Roman" w:eastAsia="Times New Roman" w:hAnsi="Times New Roman"/>
          <w:sz w:val="12"/>
          <w:szCs w:val="12"/>
          <w:color w:val="auto"/>
        </w:rPr>
        <w:t xml:space="preserve">(g)             The Underwriters shall have received, on each of the date hereof and the Closing Date, a letter dated the date hereof or the Closing Date, as the case may be, in form and substance satisfactory to the Underwriters, from PricewaterhouseCoopers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letter delivered on the Closing Date shall use a “cut-off date” not earlier than the date hereof.</w:t>
      </w:r>
    </w:p>
    <w:p>
      <w:pPr>
        <w:spacing w:after="0" w:line="267" w:lineRule="exact"/>
        <w:rPr>
          <w:sz w:val="20"/>
          <w:szCs w:val="20"/>
          <w:color w:val="auto"/>
        </w:rPr>
      </w:pPr>
    </w:p>
    <w:p>
      <w:pPr>
        <w:jc w:val="both"/>
        <w:ind w:firstLine="440"/>
        <w:spacing w:after="0" w:line="291" w:lineRule="auto"/>
        <w:rPr>
          <w:sz w:val="20"/>
          <w:szCs w:val="20"/>
          <w:color w:val="auto"/>
        </w:rPr>
      </w:pPr>
      <w:r>
        <w:rPr>
          <w:rFonts w:ascii="Times New Roman" w:cs="Times New Roman" w:eastAsia="Times New Roman" w:hAnsi="Times New Roman"/>
          <w:sz w:val="12"/>
          <w:szCs w:val="12"/>
          <w:color w:val="auto"/>
        </w:rPr>
        <w:t>(h)            The “lock-up” agreements, each substantially in the form of Exhibit A hereto, between the Representatives and certain shareholders, officers and directors of the Company relating to restrictions on sales and certain other dispositions of shares of Common Stock or certain other securities, delivered to the Representatives on or before the date hereof (the “</w:t>
      </w:r>
      <w:r>
        <w:rPr>
          <w:rFonts w:ascii="Times New Roman" w:cs="Times New Roman" w:eastAsia="Times New Roman" w:hAnsi="Times New Roman"/>
          <w:sz w:val="12"/>
          <w:szCs w:val="12"/>
          <w:b w:val="1"/>
          <w:bCs w:val="1"/>
          <w:color w:val="auto"/>
        </w:rPr>
        <w:t>Lock-up Agreements</w:t>
      </w:r>
      <w:r>
        <w:rPr>
          <w:rFonts w:ascii="Times New Roman" w:cs="Times New Roman" w:eastAsia="Times New Roman" w:hAnsi="Times New Roman"/>
          <w:sz w:val="12"/>
          <w:szCs w:val="12"/>
          <w:color w:val="auto"/>
        </w:rPr>
        <w:t>”), shall be in full force and effect on the Closing Date.</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76135" cy="571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0">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90" w:name="page291"/>
    <w:bookmarkEnd w:id="290"/>
    <w:p>
      <w:pPr>
        <w:ind w:left="440"/>
        <w:spacing w:after="0"/>
        <w:rPr>
          <w:sz w:val="20"/>
          <w:szCs w:val="20"/>
          <w:color w:val="auto"/>
        </w:rPr>
      </w:pPr>
      <w:r>
        <w:rPr>
          <w:rFonts w:ascii="Times New Roman" w:cs="Times New Roman" w:eastAsia="Times New Roman" w:hAnsi="Times New Roman"/>
          <w:sz w:val="12"/>
          <w:szCs w:val="12"/>
          <w:color w:val="auto"/>
        </w:rPr>
        <w:t>(i)              The several obligations of the Underwriters to purchase Additional Shares hereunder are subject to the delivery to the Representatives on the applicable Option Closing Date of the following:</w:t>
      </w:r>
    </w:p>
    <w:p>
      <w:pPr>
        <w:spacing w:after="0" w:line="155" w:lineRule="exact"/>
        <w:rPr>
          <w:sz w:val="20"/>
          <w:szCs w:val="20"/>
          <w:color w:val="auto"/>
        </w:rPr>
      </w:pPr>
    </w:p>
    <w:p>
      <w:pPr>
        <w:jc w:val="both"/>
        <w:ind w:left="880" w:right="20" w:firstLine="440"/>
        <w:spacing w:after="0" w:line="291" w:lineRule="auto"/>
        <w:rPr>
          <w:sz w:val="20"/>
          <w:szCs w:val="20"/>
          <w:color w:val="auto"/>
        </w:rPr>
      </w:pPr>
      <w:r>
        <w:rPr>
          <w:rFonts w:ascii="Times New Roman" w:cs="Times New Roman" w:eastAsia="Times New Roman" w:hAnsi="Times New Roman"/>
          <w:sz w:val="12"/>
          <w:szCs w:val="12"/>
          <w:color w:val="auto"/>
        </w:rPr>
        <w:t>(i)            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105" w:lineRule="exact"/>
        <w:rPr>
          <w:sz w:val="20"/>
          <w:szCs w:val="20"/>
          <w:color w:val="auto"/>
        </w:rPr>
      </w:pPr>
    </w:p>
    <w:p>
      <w:pPr>
        <w:jc w:val="both"/>
        <w:ind w:left="880" w:firstLine="440"/>
        <w:spacing w:after="0" w:line="291" w:lineRule="auto"/>
        <w:rPr>
          <w:sz w:val="20"/>
          <w:szCs w:val="20"/>
          <w:color w:val="auto"/>
        </w:rPr>
      </w:pPr>
      <w:r>
        <w:rPr>
          <w:rFonts w:ascii="Times New Roman" w:cs="Times New Roman" w:eastAsia="Times New Roman" w:hAnsi="Times New Roman"/>
          <w:sz w:val="12"/>
          <w:szCs w:val="12"/>
          <w:color w:val="auto"/>
        </w:rPr>
        <w:t>(ii)            an opinion and negative assurance letter of Cooley LLP, outside counsel for the Company, dated the Option Closing Date, relating to the Additional Shares to be purchased on such Option Closing Date and otherwise to the same effect as the opinion required by Section 5(c) hereof;</w:t>
      </w:r>
    </w:p>
    <w:p>
      <w:pPr>
        <w:spacing w:after="0" w:line="105" w:lineRule="exact"/>
        <w:rPr>
          <w:sz w:val="20"/>
          <w:szCs w:val="20"/>
          <w:color w:val="auto"/>
        </w:rPr>
      </w:pPr>
    </w:p>
    <w:p>
      <w:pPr>
        <w:jc w:val="both"/>
        <w:ind w:left="880" w:firstLine="440"/>
        <w:spacing w:after="0" w:line="291" w:lineRule="auto"/>
        <w:rPr>
          <w:sz w:val="20"/>
          <w:szCs w:val="20"/>
          <w:color w:val="auto"/>
        </w:rPr>
      </w:pPr>
      <w:r>
        <w:rPr>
          <w:rFonts w:ascii="Times New Roman" w:cs="Times New Roman" w:eastAsia="Times New Roman" w:hAnsi="Times New Roman"/>
          <w:sz w:val="12"/>
          <w:szCs w:val="12"/>
          <w:color w:val="auto"/>
        </w:rPr>
        <w:t>(iii)            an opinion and negative assurance letter of Latham &amp; Watkins LLP, counsel for the Underwriters, dated the Option Closing Date, relating to the Additional Shares to be purchased on such Option Closing Date and otherwise to the same effect as the opinion required by Section 5(d) hereof;</w:t>
      </w:r>
    </w:p>
    <w:p>
      <w:pPr>
        <w:spacing w:after="0" w:line="105" w:lineRule="exact"/>
        <w:rPr>
          <w:sz w:val="20"/>
          <w:szCs w:val="20"/>
          <w:color w:val="auto"/>
        </w:rPr>
      </w:pPr>
    </w:p>
    <w:p>
      <w:pPr>
        <w:jc w:val="both"/>
        <w:ind w:left="880" w:firstLine="440"/>
        <w:spacing w:after="0" w:line="291" w:lineRule="auto"/>
        <w:rPr>
          <w:sz w:val="20"/>
          <w:szCs w:val="20"/>
          <w:color w:val="auto"/>
        </w:rPr>
      </w:pPr>
      <w:r>
        <w:rPr>
          <w:rFonts w:ascii="Times New Roman" w:cs="Times New Roman" w:eastAsia="Times New Roman" w:hAnsi="Times New Roman"/>
          <w:sz w:val="12"/>
          <w:szCs w:val="12"/>
          <w:color w:val="auto"/>
        </w:rPr>
        <w:t>(iv)            an opinion of Goodwin Procter LLP, intellectual property counsel for certain Intellectual Property, dated the Option Closing Date, relating to the Additional Shares to be purchased on such Option Closing Date and otherwise to the same effect as the opinion required by Section 5(e) hereof;</w:t>
      </w:r>
    </w:p>
    <w:p>
      <w:pPr>
        <w:spacing w:after="0" w:line="105" w:lineRule="exact"/>
        <w:rPr>
          <w:sz w:val="20"/>
          <w:szCs w:val="20"/>
          <w:color w:val="auto"/>
        </w:rPr>
      </w:pPr>
    </w:p>
    <w:p>
      <w:pPr>
        <w:jc w:val="both"/>
        <w:ind w:left="880" w:firstLine="440"/>
        <w:spacing w:after="0" w:line="291" w:lineRule="auto"/>
        <w:rPr>
          <w:sz w:val="20"/>
          <w:szCs w:val="20"/>
          <w:color w:val="auto"/>
        </w:rPr>
      </w:pPr>
      <w:r>
        <w:rPr>
          <w:rFonts w:ascii="Times New Roman" w:cs="Times New Roman" w:eastAsia="Times New Roman" w:hAnsi="Times New Roman"/>
          <w:sz w:val="12"/>
          <w:szCs w:val="12"/>
          <w:color w:val="auto"/>
        </w:rPr>
        <w:t>(v)            an opinion of Hyman, Phelps &amp; McNamara, P.C., regulatory counsel to the Company, dated the Option Closing Date, relating to the Additional Shares to be purchased on such Option Closing Date and otherwise to the same effect as the opinion required by Section 5(f) hereof;</w:t>
      </w:r>
    </w:p>
    <w:p>
      <w:pPr>
        <w:spacing w:after="0" w:line="105" w:lineRule="exact"/>
        <w:rPr>
          <w:sz w:val="20"/>
          <w:szCs w:val="20"/>
          <w:color w:val="auto"/>
        </w:rPr>
      </w:pPr>
    </w:p>
    <w:p>
      <w:pPr>
        <w:jc w:val="both"/>
        <w:ind w:left="880" w:firstLine="440"/>
        <w:spacing w:after="0" w:line="272" w:lineRule="auto"/>
        <w:rPr>
          <w:sz w:val="20"/>
          <w:szCs w:val="20"/>
          <w:color w:val="auto"/>
        </w:rPr>
      </w:pPr>
      <w:r>
        <w:rPr>
          <w:rFonts w:ascii="Times New Roman" w:cs="Times New Roman" w:eastAsia="Times New Roman" w:hAnsi="Times New Roman"/>
          <w:sz w:val="12"/>
          <w:szCs w:val="12"/>
          <w:color w:val="auto"/>
        </w:rPr>
        <w:t xml:space="preserve">(vi)            a letter dated the Option Closing Date, in form and substance satisfactory to the Underwriters, from PricewaterhouseCoopers LLP, independent public accountants, substantially in the same form and substance as the letter furnished to the Underwriters pursuant to Section 5(g) hereof;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letter delivered on the Option Closing Date shall use a “cut-off date” not earlier than two business days prior to such Option Closing Date; and</w:t>
      </w:r>
    </w:p>
    <w:p>
      <w:pPr>
        <w:spacing w:after="0" w:line="117" w:lineRule="exact"/>
        <w:rPr>
          <w:sz w:val="20"/>
          <w:szCs w:val="20"/>
          <w:color w:val="auto"/>
        </w:rPr>
      </w:pPr>
    </w:p>
    <w:p>
      <w:pPr>
        <w:jc w:val="both"/>
        <w:ind w:left="880" w:firstLine="440"/>
        <w:spacing w:after="0" w:line="291" w:lineRule="auto"/>
        <w:rPr>
          <w:sz w:val="20"/>
          <w:szCs w:val="20"/>
          <w:color w:val="auto"/>
        </w:rPr>
      </w:pPr>
      <w:r>
        <w:rPr>
          <w:rFonts w:ascii="Times New Roman" w:cs="Times New Roman" w:eastAsia="Times New Roman" w:hAnsi="Times New Roman"/>
          <w:sz w:val="12"/>
          <w:szCs w:val="12"/>
          <w:color w:val="auto"/>
        </w:rPr>
        <w:t>(vii)            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6.            </w:t>
      </w:r>
      <w:r>
        <w:rPr>
          <w:rFonts w:ascii="Times New Roman" w:cs="Times New Roman" w:eastAsia="Times New Roman" w:hAnsi="Times New Roman"/>
          <w:sz w:val="12"/>
          <w:szCs w:val="12"/>
          <w:i w:val="1"/>
          <w:iCs w:val="1"/>
          <w:color w:val="auto"/>
        </w:rPr>
        <w:t>Covenants of the Company</w:t>
      </w:r>
      <w:r>
        <w:rPr>
          <w:rFonts w:ascii="Times New Roman" w:cs="Times New Roman" w:eastAsia="Times New Roman" w:hAnsi="Times New Roman"/>
          <w:sz w:val="12"/>
          <w:szCs w:val="12"/>
          <w:color w:val="auto"/>
        </w:rPr>
        <w:t>. The Company covenants with each Underwriter as follows:</w:t>
      </w:r>
    </w:p>
    <w:p>
      <w:pPr>
        <w:spacing w:after="0" w:line="15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2"/>
          <w:szCs w:val="12"/>
          <w:color w:val="auto"/>
        </w:rPr>
        <w:t>(a)             To furnish to the Representatives, upon written request, without charge, five signed copies of the Registration Statement (including exhibits thereto) and for delivery to each other Underwriter a conformed copy of the Registration Statement (without exhibits thereto) (which may be an electronic facsimile)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the Representatives may reasonably request.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76135" cy="571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1">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91" w:name="page292"/>
    <w:bookmarkEnd w:id="291"/>
    <w:p>
      <w:pPr>
        <w:jc w:val="both"/>
        <w:ind w:firstLine="440"/>
        <w:spacing w:after="0" w:line="272" w:lineRule="auto"/>
        <w:rPr>
          <w:sz w:val="20"/>
          <w:szCs w:val="20"/>
          <w:color w:val="auto"/>
        </w:rPr>
      </w:pPr>
      <w:r>
        <w:rPr>
          <w:rFonts w:ascii="Times New Roman" w:cs="Times New Roman" w:eastAsia="Times New Roman" w:hAnsi="Times New Roman"/>
          <w:sz w:val="12"/>
          <w:szCs w:val="12"/>
          <w:color w:val="auto"/>
        </w:rPr>
        <w:t>(b)            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in writing, and to file with the Commission within the applicable period specified in Rule 424(b) under the Securities Act any prospectus required to be filed pursuant to such Rule.</w:t>
      </w:r>
    </w:p>
    <w:p>
      <w:pPr>
        <w:spacing w:after="0" w:line="117" w:lineRule="exact"/>
        <w:rPr>
          <w:sz w:val="20"/>
          <w:szCs w:val="20"/>
          <w:color w:val="auto"/>
        </w:rPr>
      </w:pPr>
    </w:p>
    <w:p>
      <w:pPr>
        <w:jc w:val="both"/>
        <w:ind w:firstLine="440"/>
        <w:spacing w:after="0" w:line="291" w:lineRule="auto"/>
        <w:rPr>
          <w:sz w:val="20"/>
          <w:szCs w:val="20"/>
          <w:color w:val="auto"/>
        </w:rPr>
      </w:pPr>
      <w:r>
        <w:rPr>
          <w:rFonts w:ascii="Times New Roman" w:cs="Times New Roman" w:eastAsia="Times New Roman" w:hAnsi="Times New Roman"/>
          <w:sz w:val="12"/>
          <w:szCs w:val="12"/>
          <w:color w:val="auto"/>
        </w:rPr>
        <w:t>(c)            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105" w:lineRule="exact"/>
        <w:rPr>
          <w:sz w:val="20"/>
          <w:szCs w:val="20"/>
          <w:color w:val="auto"/>
        </w:rPr>
      </w:pPr>
    </w:p>
    <w:p>
      <w:pPr>
        <w:jc w:val="both"/>
        <w:ind w:right="20" w:firstLine="440"/>
        <w:spacing w:after="0" w:line="291" w:lineRule="auto"/>
        <w:rPr>
          <w:sz w:val="20"/>
          <w:szCs w:val="20"/>
          <w:color w:val="auto"/>
        </w:rPr>
      </w:pPr>
      <w:r>
        <w:rPr>
          <w:rFonts w:ascii="Times New Roman" w:cs="Times New Roman" w:eastAsia="Times New Roman" w:hAnsi="Times New Roman"/>
          <w:sz w:val="12"/>
          <w:szCs w:val="12"/>
          <w:color w:val="auto"/>
        </w:rPr>
        <w:t>(d)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05" w:lineRule="exact"/>
        <w:rPr>
          <w:sz w:val="20"/>
          <w:szCs w:val="20"/>
          <w:color w:val="auto"/>
        </w:rPr>
      </w:pPr>
    </w:p>
    <w:p>
      <w:pPr>
        <w:jc w:val="both"/>
        <w:ind w:firstLine="440"/>
        <w:spacing w:after="0" w:line="260" w:lineRule="auto"/>
        <w:rPr>
          <w:sz w:val="20"/>
          <w:szCs w:val="20"/>
          <w:color w:val="auto"/>
        </w:rPr>
      </w:pPr>
      <w:r>
        <w:rPr>
          <w:rFonts w:ascii="Times New Roman" w:cs="Times New Roman" w:eastAsia="Times New Roman" w:hAnsi="Times New Roman"/>
          <w:sz w:val="12"/>
          <w:szCs w:val="12"/>
          <w:color w:val="auto"/>
        </w:rPr>
        <w:t>(e)            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under which they were made, not misleading, or if any event shall occur or condition exist as a result of which the Time of Sale Prospectus conflicts with the information contained in the Registration Statement then on file, or if, in the reasonable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26" w:lineRule="exact"/>
        <w:rPr>
          <w:sz w:val="20"/>
          <w:szCs w:val="20"/>
          <w:color w:val="auto"/>
        </w:rPr>
      </w:pPr>
    </w:p>
    <w:p>
      <w:pPr>
        <w:jc w:val="both"/>
        <w:ind w:firstLine="440"/>
        <w:spacing w:after="0" w:line="260" w:lineRule="auto"/>
        <w:rPr>
          <w:sz w:val="20"/>
          <w:szCs w:val="20"/>
          <w:color w:val="auto"/>
        </w:rPr>
      </w:pPr>
      <w:r>
        <w:rPr>
          <w:rFonts w:ascii="Times New Roman" w:cs="Times New Roman" w:eastAsia="Times New Roman" w:hAnsi="Times New Roman"/>
          <w:sz w:val="12"/>
          <w:szCs w:val="12"/>
          <w:color w:val="auto"/>
        </w:rPr>
        <w:t>(f)            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76135" cy="571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2">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92" w:name="page293"/>
    <w:bookmarkEnd w:id="292"/>
    <w:p>
      <w:pPr>
        <w:ind w:left="447"/>
        <w:spacing w:after="0"/>
        <w:rPr>
          <w:sz w:val="20"/>
          <w:szCs w:val="20"/>
          <w:color w:val="auto"/>
        </w:rPr>
      </w:pPr>
      <w:r>
        <w:rPr>
          <w:rFonts w:ascii="Times New Roman" w:cs="Times New Roman" w:eastAsia="Times New Roman" w:hAnsi="Times New Roman"/>
          <w:sz w:val="12"/>
          <w:szCs w:val="12"/>
          <w:color w:val="auto"/>
        </w:rPr>
        <w:t xml:space="preserve">(g)            To endeavor to qualify the Shares for offer and sale under the securities or Blue Sky laws of such jurisdictions as the Representatives shall reasonably request,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Company shall not be required to</w:t>
      </w:r>
    </w:p>
    <w:p>
      <w:pPr>
        <w:spacing w:after="0" w:line="23" w:lineRule="exact"/>
        <w:rPr>
          <w:sz w:val="20"/>
          <w:szCs w:val="20"/>
          <w:color w:val="auto"/>
        </w:rPr>
      </w:pPr>
    </w:p>
    <w:p>
      <w:pPr>
        <w:ind w:left="147" w:hanging="147"/>
        <w:spacing w:after="0"/>
        <w:tabs>
          <w:tab w:leader="none" w:pos="147"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qualify as a foreign corporation or other entity as a dealer in securities in any such jurisdiction where it would not otherwise be required to so qualify, (ii) file any general consent to service of process in any such jurisdiction or</w:t>
      </w:r>
    </w:p>
    <w:p>
      <w:pPr>
        <w:spacing w:after="0" w:line="8" w:lineRule="exact"/>
        <w:rPr>
          <w:rFonts w:ascii="Times New Roman" w:cs="Times New Roman" w:eastAsia="Times New Roman" w:hAnsi="Times New Roman"/>
          <w:sz w:val="12"/>
          <w:szCs w:val="12"/>
          <w:color w:val="auto"/>
        </w:rPr>
      </w:pPr>
    </w:p>
    <w:p>
      <w:pPr>
        <w:ind w:left="207" w:hanging="207"/>
        <w:spacing w:after="0"/>
        <w:tabs>
          <w:tab w:leader="none" w:pos="207"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itself to taxation in any such jurisdiction if it is not otherwise so subject.</w:t>
      </w:r>
    </w:p>
    <w:p>
      <w:pPr>
        <w:spacing w:after="0" w:line="143" w:lineRule="exact"/>
        <w:rPr>
          <w:sz w:val="20"/>
          <w:szCs w:val="20"/>
          <w:color w:val="auto"/>
        </w:rPr>
      </w:pPr>
    </w:p>
    <w:p>
      <w:pPr>
        <w:jc w:val="both"/>
        <w:ind w:left="7" w:firstLine="440"/>
        <w:spacing w:after="0" w:line="272" w:lineRule="auto"/>
        <w:rPr>
          <w:sz w:val="20"/>
          <w:szCs w:val="20"/>
          <w:color w:val="auto"/>
        </w:rPr>
      </w:pPr>
      <w:r>
        <w:rPr>
          <w:rFonts w:ascii="Times New Roman" w:cs="Times New Roman" w:eastAsia="Times New Roman" w:hAnsi="Times New Roman"/>
          <w:sz w:val="12"/>
          <w:szCs w:val="12"/>
          <w:color w:val="auto"/>
        </w:rPr>
        <w:t>(h)            To make generally available (which may be satisfied by filing with the Commission on its Electronic Data Gathering, Analysis and Retrieval System) to the Company’s securityholders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17" w:lineRule="exact"/>
        <w:rPr>
          <w:sz w:val="20"/>
          <w:szCs w:val="20"/>
          <w:color w:val="auto"/>
        </w:rPr>
      </w:pPr>
    </w:p>
    <w:p>
      <w:pPr>
        <w:jc w:val="both"/>
        <w:ind w:left="7" w:firstLine="440"/>
        <w:spacing w:after="0" w:line="256" w:lineRule="auto"/>
        <w:rPr>
          <w:sz w:val="20"/>
          <w:szCs w:val="20"/>
          <w:color w:val="auto"/>
        </w:rPr>
      </w:pPr>
      <w:r>
        <w:rPr>
          <w:rFonts w:ascii="Times New Roman" w:cs="Times New Roman" w:eastAsia="Times New Roman" w:hAnsi="Times New Roman"/>
          <w:sz w:val="12"/>
          <w:szCs w:val="12"/>
          <w:color w:val="auto"/>
        </w:rPr>
        <w:t>(i)            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Shares by FINRA (provided that the amount payable by the Company with respect to fees and expenses of counsel for the Underwriters pursuant to subsection (iii) and this subsection (iv) shall not exceed $40,000 in the aggregate), (v) all fees and expenses in connection with the preparation and filing of the registration statement on Form 8-A relating to the Common Stock and all costs and expenses incident to listing the Shares on the Nasdaq Global Market and other national securities exchanges and foreign stock exchanges,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with the remaining 50% of the cost of such aircraft to be paid by the Underwriters,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11 below, the Underwriters will pay all of their costs and expenses, including fees and disbursements of their counsel, stock transfer taxes payable on resale of any of the Shares by them and any advertising expenses connected with any offers they may make and all travel and other expenses of the Underwriters or any of their employees incurred by them in connection with participation in investor presentations on any “road show” undertaken in connection with the marketing of the offering of the Shares; provided that this clause (xi) does not include the cost of any chartered aircraft, which shall be paid 50% by the Company as described in clause (viii).</w:t>
      </w:r>
    </w:p>
    <w:p>
      <w:pPr>
        <w:spacing w:after="0" w:line="27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76135" cy="571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3">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656" w:right="299" w:bottom="1440" w:gutter="0" w:footer="0" w:header="0"/>
        </w:sectPr>
      </w:pPr>
    </w:p>
    <w:bookmarkStart w:id="293" w:name="page294"/>
    <w:bookmarkEnd w:id="293"/>
    <w:p>
      <w:pPr>
        <w:jc w:val="both"/>
        <w:ind w:right="20" w:firstLine="440"/>
        <w:spacing w:after="0" w:line="291" w:lineRule="auto"/>
        <w:rPr>
          <w:sz w:val="20"/>
          <w:szCs w:val="20"/>
          <w:color w:val="auto"/>
        </w:rPr>
      </w:pPr>
      <w:r>
        <w:rPr>
          <w:rFonts w:ascii="Times New Roman" w:cs="Times New Roman" w:eastAsia="Times New Roman" w:hAnsi="Times New Roman"/>
          <w:sz w:val="12"/>
          <w:szCs w:val="12"/>
          <w:color w:val="auto"/>
        </w:rPr>
        <w:t>(j)              The Company will promptly notify the Representatives if the Company ceases to be an Emerging Growth Company at any time prior to the later of (i) completion of the distribution of the Shares within the meaning of the Securities Act and (ii) completion of the Restricted Period (as defined in this Section 6).</w:t>
      </w:r>
    </w:p>
    <w:p>
      <w:pPr>
        <w:spacing w:after="0" w:line="10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2"/>
          <w:szCs w:val="12"/>
          <w:color w:val="auto"/>
        </w:rPr>
        <w:t>(k)            If at any time following the distribution of any Testing-the-Waters Communication that is a written communication within the meaning of Rule 405 under the Securities Act there occurred or occurs an event or development as a result of which such Testing-the-Waters Communication, as then amended or supplemented,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w:t>
      </w:r>
    </w:p>
    <w:p>
      <w:pPr>
        <w:spacing w:after="0" w:line="121" w:lineRule="exact"/>
        <w:rPr>
          <w:sz w:val="20"/>
          <w:szCs w:val="20"/>
          <w:color w:val="auto"/>
        </w:rPr>
      </w:pPr>
    </w:p>
    <w:p>
      <w:pPr>
        <w:jc w:val="both"/>
        <w:ind w:firstLine="440"/>
        <w:spacing w:after="0" w:line="272" w:lineRule="auto"/>
        <w:rPr>
          <w:sz w:val="20"/>
          <w:szCs w:val="20"/>
          <w:color w:val="auto"/>
        </w:rPr>
      </w:pPr>
      <w:r>
        <w:rPr>
          <w:rFonts w:ascii="Times New Roman" w:cs="Times New Roman" w:eastAsia="Times New Roman" w:hAnsi="Times New Roman"/>
          <w:sz w:val="12"/>
          <w:szCs w:val="12"/>
          <w:color w:val="auto"/>
        </w:rPr>
        <w:t>(l)              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17"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2"/>
          <w:szCs w:val="12"/>
          <w:color w:val="auto"/>
        </w:rPr>
        <w:t>The Company also covenants with each Underwriter that, without the prior written consent of Morgan Stanley &amp; Co. LLC and Leerink Partners LLC on behalf of the Underwriters, it will not, and will not publicly disclose an intention to, during the period ending 180 days after the date of the Prospectus (the “</w:t>
      </w:r>
      <w:r>
        <w:rPr>
          <w:rFonts w:ascii="Times New Roman" w:cs="Times New Roman" w:eastAsia="Times New Roman" w:hAnsi="Times New Roman"/>
          <w:sz w:val="12"/>
          <w:szCs w:val="12"/>
          <w:b w:val="1"/>
          <w:bCs w:val="1"/>
          <w:color w:val="auto"/>
        </w:rPr>
        <w:t>Restricted Period</w:t>
      </w:r>
      <w:r>
        <w:rPr>
          <w:rFonts w:ascii="Times New Roman" w:cs="Times New Roman" w:eastAsia="Times New Roman" w:hAnsi="Times New Roman"/>
          <w:sz w:val="12"/>
          <w:szCs w:val="12"/>
          <w:color w:val="auto"/>
        </w:rPr>
        <w:t>”), (1) directly or indirectly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(2) enter into any swap or other arrangement that transfers to another, in whole or in part, any of the economic consequences of ownership of the shares of Common Stock, whether any such transaction described in clause (1) or (2) above is to be settled by delivery of shares of Common Stock or such other securities, in cash or otherwise, or (3) file any registration statement with the Commission relating to the offering of any shares of Common Stock or any securities convertible into or exercisable or exchangeable for Common Stock.</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76135" cy="571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4">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94" w:name="page295"/>
    <w:bookmarkEnd w:id="294"/>
    <w:p>
      <w:pPr>
        <w:jc w:val="both"/>
        <w:ind w:left="7" w:firstLine="440"/>
        <w:spacing w:after="0" w:line="257" w:lineRule="auto"/>
        <w:rPr>
          <w:sz w:val="20"/>
          <w:szCs w:val="20"/>
          <w:color w:val="auto"/>
        </w:rPr>
      </w:pPr>
      <w:r>
        <w:rPr>
          <w:rFonts w:ascii="Times New Roman" w:cs="Times New Roman" w:eastAsia="Times New Roman" w:hAnsi="Times New Roman"/>
          <w:sz w:val="12"/>
          <w:szCs w:val="12"/>
          <w:color w:val="auto"/>
        </w:rPr>
        <w:t xml:space="preserve">The restrictions contained in the preceding paragraph shall not apply to (A) the Shares to be sold hereunder; (B) the issuance by the Company of shares of Common Stock upon the exercise of an option or warrant or the conversion of a security outstanding on the date hereof as described in each of the Time of Sale Prospectus and Prospectus; (C) grants of options, restricted stock or other compensatory equity awards and the issuance of shares of Common Stock in connection with the exercise, vesting and/or settlement of any of the foregoing to employees, officers, directors, advisors or consultants of the Company pursuant to the terms of a plan in effect on the date hereof and as described in the Time of Sale Prospectus; (D) shares of Common Stock or any securities convertible into, or exercisable or exchangeable for, shares of Common Stock, or the entrance into an agreement to issue shares of Common Stock or any securities convertible into, or exercisable or exchangeable for, shares of Common Stock, in connection with any merger, joint venture, strategic alliances, commercial or other collaborative transaction or the acquisition or licenses of the business, property, technology or other assets of another individual or entity or the assumption of an employee benefit plan in connection with a merger or acquisition;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aggregate number of shares of Common Stock or any other securities convertible into, or exercisable or exchangeable for, shares of Common Stock that the Company may issue or agree to issue pursuant to this clause (D) shall not exceed 10% of the total outstanding share capital of the Company immediately following the issuance of the Shares; and provided further, that the recipients of any such shares of Common Stock and securities issued pursuant to this clause</w:t>
      </w:r>
    </w:p>
    <w:p>
      <w:pPr>
        <w:spacing w:after="0" w:line="2" w:lineRule="exact"/>
        <w:rPr>
          <w:sz w:val="20"/>
          <w:szCs w:val="20"/>
          <w:color w:val="auto"/>
        </w:rPr>
      </w:pPr>
    </w:p>
    <w:p>
      <w:pPr>
        <w:jc w:val="both"/>
        <w:ind w:left="7" w:hanging="7"/>
        <w:spacing w:after="0" w:line="258" w:lineRule="auto"/>
        <w:tabs>
          <w:tab w:leader="none" w:pos="207"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during the Restricted Period shall enter into an agreement substantially in the form of Exhibit A hereto on or prior to such issuance; (E) facilitating the establishment of a trading plan on behalf of a shareholder, officer or director of the Company pursuant to Rule 10b5-1 under the Exchange Act for the transfer of shares of Common Stock,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 such plan does not provide for the transfer of shares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shares of Common Stock may be made under such plan during the Restricted Period; or (F) the filing of any registration statement on Form S-8 relating to securities (i) granted or to be granted pursuant to any plan in effect on the date hereof and described in the Time of Sale Prospectus or (ii) otherwise eligible to be included on a registration statement on Form S-8 and described in the Time of Sale Prospectus.</w:t>
      </w:r>
    </w:p>
    <w:p>
      <w:pPr>
        <w:spacing w:after="0" w:line="125" w:lineRule="exact"/>
        <w:rPr>
          <w:sz w:val="20"/>
          <w:szCs w:val="20"/>
          <w:color w:val="auto"/>
        </w:rPr>
      </w:pPr>
    </w:p>
    <w:p>
      <w:pPr>
        <w:jc w:val="both"/>
        <w:ind w:left="7" w:right="20" w:firstLine="440"/>
        <w:spacing w:after="0" w:line="272" w:lineRule="auto"/>
        <w:rPr>
          <w:sz w:val="20"/>
          <w:szCs w:val="20"/>
          <w:color w:val="auto"/>
        </w:rPr>
      </w:pPr>
      <w:r>
        <w:rPr>
          <w:rFonts w:ascii="Times New Roman" w:cs="Times New Roman" w:eastAsia="Times New Roman" w:hAnsi="Times New Roman"/>
          <w:sz w:val="12"/>
          <w:szCs w:val="12"/>
          <w:color w:val="auto"/>
        </w:rPr>
        <w:t>If Morgan Stanley &amp; Co. LLC, in its sole discretion, agrees to release or waive the restrictions on the transfer of Shares set forth in a Lock-up Agreement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15" w:lineRule="exact"/>
        <w:rPr>
          <w:sz w:val="20"/>
          <w:szCs w:val="20"/>
          <w:color w:val="auto"/>
        </w:rPr>
      </w:pPr>
    </w:p>
    <w:p>
      <w:pPr>
        <w:jc w:val="both"/>
        <w:ind w:left="7" w:firstLine="440"/>
        <w:spacing w:after="0" w:line="294" w:lineRule="auto"/>
        <w:rPr>
          <w:sz w:val="20"/>
          <w:szCs w:val="20"/>
          <w:color w:val="auto"/>
        </w:rPr>
      </w:pPr>
      <w:r>
        <w:rPr>
          <w:rFonts w:ascii="Times New Roman" w:cs="Times New Roman" w:eastAsia="Times New Roman" w:hAnsi="Times New Roman"/>
          <w:sz w:val="12"/>
          <w:szCs w:val="12"/>
          <w:color w:val="auto"/>
        </w:rPr>
        <w:t>7.              </w:t>
      </w:r>
      <w:r>
        <w:rPr>
          <w:rFonts w:ascii="Times New Roman" w:cs="Times New Roman" w:eastAsia="Times New Roman" w:hAnsi="Times New Roman"/>
          <w:sz w:val="12"/>
          <w:szCs w:val="12"/>
          <w:i w:val="1"/>
          <w:iCs w:val="1"/>
          <w:color w:val="auto"/>
        </w:rPr>
        <w:t>Covenants of the Underwriters</w:t>
      </w:r>
      <w:r>
        <w:rPr>
          <w:rFonts w:ascii="Times New Roman" w:cs="Times New Roman" w:eastAsia="Times New Roman" w:hAnsi="Times New Roman"/>
          <w:sz w:val="12"/>
          <w:szCs w:val="12"/>
          <w:color w:val="auto"/>
        </w:rPr>
        <w:t>. Each Underwriter, severally and not jointly, covenants with the Company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24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76135" cy="571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5">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295" w:name="page296"/>
    <w:bookmarkEnd w:id="295"/>
    <w:p>
      <w:pPr>
        <w:jc w:val="both"/>
        <w:ind w:firstLine="440"/>
        <w:spacing w:after="0" w:line="259" w:lineRule="auto"/>
        <w:rPr>
          <w:sz w:val="20"/>
          <w:szCs w:val="20"/>
          <w:color w:val="auto"/>
        </w:rPr>
      </w:pPr>
      <w:r>
        <w:rPr>
          <w:rFonts w:ascii="Times New Roman" w:cs="Times New Roman" w:eastAsia="Times New Roman" w:hAnsi="Times New Roman"/>
          <w:sz w:val="12"/>
          <w:szCs w:val="12"/>
          <w:color w:val="auto"/>
        </w:rPr>
        <w:t>8.              </w:t>
      </w:r>
      <w:r>
        <w:rPr>
          <w:rFonts w:ascii="Times New Roman" w:cs="Times New Roman" w:eastAsia="Times New Roman" w:hAnsi="Times New Roman"/>
          <w:sz w:val="12"/>
          <w:szCs w:val="12"/>
          <w:i w:val="1"/>
          <w:iCs w:val="1"/>
          <w:color w:val="auto"/>
        </w:rPr>
        <w:t>Indemnity and Contribution.</w:t>
      </w:r>
      <w:r>
        <w:rPr>
          <w:rFonts w:ascii="Times New Roman" w:cs="Times New Roman" w:eastAsia="Times New Roman" w:hAnsi="Times New Roman"/>
          <w:sz w:val="12"/>
          <w:szCs w:val="12"/>
          <w:color w:val="auto"/>
        </w:rPr>
        <w:t xml:space="preserve"> (a) 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Times New Roman" w:cs="Times New Roman" w:eastAsia="Times New Roman" w:hAnsi="Times New Roman"/>
          <w:sz w:val="12"/>
          <w:szCs w:val="12"/>
          <w:b w:val="1"/>
          <w:bCs w:val="1"/>
          <w:color w:val="auto"/>
        </w:rPr>
        <w:t>road show</w:t>
      </w:r>
      <w:r>
        <w:rPr>
          <w:rFonts w:ascii="Times New Roman" w:cs="Times New Roman" w:eastAsia="Times New Roman" w:hAnsi="Times New Roman"/>
          <w:sz w:val="12"/>
          <w:szCs w:val="12"/>
          <w:color w:val="auto"/>
        </w:rPr>
        <w:t>”),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paragraph (b) below.</w:t>
      </w:r>
    </w:p>
    <w:p>
      <w:pPr>
        <w:spacing w:after="0" w:line="127"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2"/>
          <w:szCs w:val="12"/>
          <w:color w:val="auto"/>
        </w:rPr>
        <w:t>(b)            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 or any Testing-the-Waters Communication, it being understood and agreed that the only such information shall be [the [third] paragraph under the caption “Underwriters” in the Prospectus concerning the terms of the offering by the Underwriters, the [seventh] paragraph under the caption “Underwriters” in the Prospectus concerning sales to discretionary accounts and the [twelfth] paragraph under the caption “Underwriters” in the Prospectus concerning stabilization and overallotments by the Underwriters, excluding the provisions that (a) a short sale is covered if the short position is no greater than the number of shares available for purchase by the underwriters under the over-allotment option, (b) a naked short position is more likely to be created if the underwriters are concerned that there may be downward pressure on the price of the Common Stock in the open market after pricing that could adversely affect investors who purchase in this offering and (c) these activities may raise or maintain the market price of the Common Stock above independent market levels or prevent or retard a decline in the market price of the Common Stock].</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76135" cy="571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6">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296" w:name="page297"/>
    <w:bookmarkEnd w:id="296"/>
    <w:p>
      <w:pPr>
        <w:jc w:val="both"/>
        <w:ind w:left="7" w:firstLine="440"/>
        <w:spacing w:after="0" w:line="260" w:lineRule="auto"/>
        <w:rPr>
          <w:sz w:val="20"/>
          <w:szCs w:val="20"/>
          <w:color w:val="auto"/>
        </w:rPr>
      </w:pPr>
      <w:r>
        <w:rPr>
          <w:rFonts w:ascii="Times New Roman" w:cs="Times New Roman" w:eastAsia="Times New Roman" w:hAnsi="Times New Roman"/>
          <w:sz w:val="12"/>
          <w:szCs w:val="12"/>
          <w:color w:val="auto"/>
        </w:rPr>
        <w:t>(c)            In case any proceeding (including any governmental investigation) shall be instituted involving any person in respect of which indemnity may be sought pursuant to Section 8(a) or 8(b), such person (the “</w:t>
      </w:r>
      <w:r>
        <w:rPr>
          <w:rFonts w:ascii="Times New Roman" w:cs="Times New Roman" w:eastAsia="Times New Roman" w:hAnsi="Times New Roman"/>
          <w:sz w:val="12"/>
          <w:szCs w:val="12"/>
          <w:b w:val="1"/>
          <w:bCs w:val="1"/>
          <w:color w:val="auto"/>
        </w:rPr>
        <w:t>indemnified party</w:t>
      </w:r>
      <w:r>
        <w:rPr>
          <w:rFonts w:ascii="Times New Roman" w:cs="Times New Roman" w:eastAsia="Times New Roman" w:hAnsi="Times New Roman"/>
          <w:sz w:val="12"/>
          <w:szCs w:val="12"/>
          <w:color w:val="auto"/>
        </w:rPr>
        <w:t>”) shall promptly notify the person against whom such indemnity may be sought (the “</w:t>
      </w:r>
      <w:r>
        <w:rPr>
          <w:rFonts w:ascii="Times New Roman" w:cs="Times New Roman" w:eastAsia="Times New Roman" w:hAnsi="Times New Roman"/>
          <w:sz w:val="12"/>
          <w:szCs w:val="12"/>
          <w:b w:val="1"/>
          <w:bCs w:val="1"/>
          <w:color w:val="auto"/>
        </w:rPr>
        <w:t>indemnifying party</w:t>
      </w:r>
      <w:r>
        <w:rPr>
          <w:rFonts w:ascii="Times New Roman" w:cs="Times New Roman" w:eastAsia="Times New Roman" w:hAnsi="Times New Roman"/>
          <w:sz w:val="12"/>
          <w:szCs w:val="12"/>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w:t>
      </w:r>
    </w:p>
    <w:p>
      <w:pPr>
        <w:jc w:val="both"/>
        <w:ind w:left="7" w:hanging="7"/>
        <w:spacing w:after="0" w:line="256" w:lineRule="auto"/>
        <w:tabs>
          <w:tab w:leader="none" w:pos="153"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the fees and expenses of counsel as contemplated by the second and third sentences of this paragraph, the indemnifying party agrees that it shall be liable for any settlement of any proceeding effected without its written consent if (i) such settlement is entered into more than 60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 statement as to or an admission of fault, culpability or a failure to act by or on behalf of any indemnified party.</w:t>
      </w:r>
    </w:p>
    <w:p>
      <w:pPr>
        <w:spacing w:after="0" w:line="126" w:lineRule="exact"/>
        <w:rPr>
          <w:sz w:val="20"/>
          <w:szCs w:val="20"/>
          <w:color w:val="auto"/>
        </w:rPr>
      </w:pPr>
    </w:p>
    <w:p>
      <w:pPr>
        <w:ind w:left="7" w:firstLine="440"/>
        <w:spacing w:after="0" w:line="265" w:lineRule="auto"/>
        <w:rPr>
          <w:sz w:val="20"/>
          <w:szCs w:val="20"/>
          <w:color w:val="auto"/>
        </w:rPr>
      </w:pPr>
      <w:r>
        <w:rPr>
          <w:rFonts w:ascii="Times New Roman" w:cs="Times New Roman" w:eastAsia="Times New Roman" w:hAnsi="Times New Roman"/>
          <w:sz w:val="12"/>
          <w:szCs w:val="12"/>
          <w:color w:val="auto"/>
        </w:rPr>
        <w:t>(d)            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w:t>
      </w:r>
    </w:p>
    <w:p>
      <w:pPr>
        <w:spacing w:after="0" w:line="1" w:lineRule="exact"/>
        <w:rPr>
          <w:sz w:val="20"/>
          <w:szCs w:val="20"/>
          <w:color w:val="auto"/>
        </w:rPr>
      </w:pPr>
    </w:p>
    <w:p>
      <w:pPr>
        <w:ind w:left="147" w:hanging="147"/>
        <w:spacing w:after="0"/>
        <w:tabs>
          <w:tab w:leader="none" w:pos="147" w:val="left"/>
        </w:tabs>
        <w:numPr>
          <w:ilvl w:val="0"/>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such proportion as is appropriate to reflect the relative benefits received by the Company on the one hand and the Underwriters on the other hand from the offering of the Shares or (ii) if the allocation provided by clause 8(d)</w:t>
      </w:r>
    </w:p>
    <w:p>
      <w:pPr>
        <w:spacing w:after="0" w:line="8" w:lineRule="exact"/>
        <w:rPr>
          <w:rFonts w:ascii="Times New Roman" w:cs="Times New Roman" w:eastAsia="Times New Roman" w:hAnsi="Times New Roman"/>
          <w:sz w:val="12"/>
          <w:szCs w:val="12"/>
          <w:color w:val="auto"/>
        </w:rPr>
      </w:pPr>
    </w:p>
    <w:p>
      <w:pPr>
        <w:jc w:val="both"/>
        <w:ind w:left="7" w:hanging="7"/>
        <w:spacing w:after="0" w:line="257" w:lineRule="auto"/>
        <w:tabs>
          <w:tab w:leader="none" w:pos="163" w:val="left"/>
        </w:tabs>
        <w:numPr>
          <w:ilvl w:val="0"/>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200" w:lineRule="exact"/>
        <w:rPr>
          <w:sz w:val="20"/>
          <w:szCs w:val="20"/>
          <w:color w:val="auto"/>
        </w:rPr>
      </w:pPr>
    </w:p>
    <w:p>
      <w:pPr>
        <w:spacing w:after="0" w:line="2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76135" cy="571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7">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297" w:name="page298"/>
    <w:bookmarkEnd w:id="297"/>
    <w:p>
      <w:pPr>
        <w:jc w:val="both"/>
        <w:ind w:firstLine="440"/>
        <w:spacing w:after="0" w:line="261" w:lineRule="auto"/>
        <w:rPr>
          <w:sz w:val="20"/>
          <w:szCs w:val="20"/>
          <w:color w:val="auto"/>
        </w:rPr>
      </w:pPr>
      <w:r>
        <w:rPr>
          <w:rFonts w:ascii="Times New Roman" w:cs="Times New Roman" w:eastAsia="Times New Roman" w:hAnsi="Times New Roman"/>
          <w:sz w:val="12"/>
          <w:szCs w:val="12"/>
          <w:color w:val="auto"/>
        </w:rPr>
        <w:t xml:space="preserve">(e)            The Company and the Underwriters agree that it would not be just or equitable if contribution pursuant to this Section 8 were determined by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24" w:lineRule="exact"/>
        <w:rPr>
          <w:sz w:val="20"/>
          <w:szCs w:val="20"/>
          <w:color w:val="auto"/>
        </w:rPr>
      </w:pPr>
    </w:p>
    <w:p>
      <w:pPr>
        <w:jc w:val="both"/>
        <w:ind w:firstLine="440"/>
        <w:spacing w:after="0" w:line="272" w:lineRule="auto"/>
        <w:rPr>
          <w:sz w:val="20"/>
          <w:szCs w:val="20"/>
          <w:color w:val="auto"/>
        </w:rPr>
      </w:pPr>
      <w:r>
        <w:rPr>
          <w:rFonts w:ascii="Times New Roman" w:cs="Times New Roman" w:eastAsia="Times New Roman" w:hAnsi="Times New Roman"/>
          <w:sz w:val="12"/>
          <w:szCs w:val="12"/>
          <w:color w:val="auto"/>
        </w:rPr>
        <w:t>(f)            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76135" cy="571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8">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298" w:name="page299"/>
    <w:bookmarkEnd w:id="298"/>
    <w:p>
      <w:pPr>
        <w:jc w:val="both"/>
        <w:ind w:firstLine="440"/>
        <w:spacing w:after="0" w:line="261" w:lineRule="auto"/>
        <w:rPr>
          <w:sz w:val="20"/>
          <w:szCs w:val="20"/>
          <w:color w:val="auto"/>
        </w:rPr>
      </w:pPr>
      <w:r>
        <w:rPr>
          <w:rFonts w:ascii="Times New Roman" w:cs="Times New Roman" w:eastAsia="Times New Roman" w:hAnsi="Times New Roman"/>
          <w:sz w:val="12"/>
          <w:szCs w:val="12"/>
          <w:color w:val="auto"/>
        </w:rPr>
        <w:t>9.            </w:t>
      </w:r>
      <w:r>
        <w:rPr>
          <w:rFonts w:ascii="Times New Roman" w:cs="Times New Roman" w:eastAsia="Times New Roman" w:hAnsi="Times New Roman"/>
          <w:sz w:val="12"/>
          <w:szCs w:val="12"/>
          <w:i w:val="1"/>
          <w:iCs w:val="1"/>
          <w:color w:val="auto"/>
        </w:rPr>
        <w:t>Termination</w:t>
      </w:r>
      <w:r>
        <w:rPr>
          <w:rFonts w:ascii="Times New Roman" w:cs="Times New Roman" w:eastAsia="Times New Roman" w:hAnsi="Times New Roman"/>
          <w:sz w:val="12"/>
          <w:szCs w:val="12"/>
          <w:color w:val="auto"/>
        </w:rPr>
        <w:t>. The Underwriters may terminate this Agreement by written notice given by the Representatives to the Company, if after the execution and delivery of this Agreement and prior to or on the Closing Date or any Option Closing Date, as the case may be, (i) trading generally shall have been suspended or materially limited on, or by, as the case may be, any of the New York Stock Exchange, the NYSE American, the Nasdaq Global Market, the Chicago Board of Options Exchange, the Chicago Mercantile Exchange or the Chicago Board of Trade or other relevant exchanges, (ii) trading of any securities of the Company shall have been suspended on any exchange or in any over-the-counter market, (iii) a material disruption in securities settlement, payment or clearance services in the United States or other relevant jurisdiction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10.          </w:t>
      </w:r>
      <w:r>
        <w:rPr>
          <w:rFonts w:ascii="Times New Roman" w:cs="Times New Roman" w:eastAsia="Times New Roman" w:hAnsi="Times New Roman"/>
          <w:sz w:val="12"/>
          <w:szCs w:val="12"/>
          <w:i w:val="1"/>
          <w:iCs w:val="1"/>
          <w:color w:val="auto"/>
        </w:rPr>
        <w:t>Effectiveness; Defaulting Underwriters</w:t>
      </w:r>
      <w:r>
        <w:rPr>
          <w:rFonts w:ascii="Times New Roman" w:cs="Times New Roman" w:eastAsia="Times New Roman" w:hAnsi="Times New Roman"/>
          <w:sz w:val="12"/>
          <w:szCs w:val="12"/>
          <w:color w:val="auto"/>
        </w:rPr>
        <w:t>. This Agreement shall become effective upon the execution and delivery hereof by the parties hereto.</w:t>
      </w:r>
    </w:p>
    <w:p>
      <w:pPr>
        <w:spacing w:after="0" w:line="157"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2"/>
          <w:szCs w:val="12"/>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Times New Roman" w:cs="Times New Roman" w:eastAsia="Times New Roman" w:hAnsi="Times New Roman"/>
          <w:sz w:val="12"/>
          <w:szCs w:val="12"/>
          <w:i w:val="1"/>
          <w:iCs w:val="1"/>
          <w:color w:val="auto"/>
        </w:rPr>
        <w:t xml:space="preserve">provided </w:t>
      </w:r>
      <w:r>
        <w:rPr>
          <w:rFonts w:ascii="Times New Roman" w:cs="Times New Roman" w:eastAsia="Times New Roman" w:hAnsi="Times New Roman"/>
          <w:sz w:val="12"/>
          <w:szCs w:val="12"/>
          <w:color w:val="auto"/>
        </w:rPr>
        <w:t>that in no event shall the number of Shares that any Underwriter has agreed to purchase pursuant to this Agreement be increased pursuant to this Section 11 by an amount in excess of one-ninth of such number of Shares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the event of any such default which does not result in a termination of this Agreement,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9">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sectPr>
      </w:pPr>
    </w:p>
    <w:bookmarkStart w:id="299" w:name="page300"/>
    <w:bookmarkEnd w:id="299"/>
    <w:p>
      <w:pPr>
        <w:jc w:val="both"/>
        <w:ind w:left="7" w:firstLine="440"/>
        <w:spacing w:after="0" w:line="266" w:lineRule="auto"/>
        <w:rPr>
          <w:sz w:val="20"/>
          <w:szCs w:val="20"/>
          <w:color w:val="auto"/>
        </w:rPr>
      </w:pPr>
      <w:r>
        <w:rPr>
          <w:rFonts w:ascii="Times New Roman" w:cs="Times New Roman" w:eastAsia="Times New Roman" w:hAnsi="Times New Roman"/>
          <w:sz w:val="12"/>
          <w:szCs w:val="12"/>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the Underwriters or following termination of this Agreement pursuant to clauses (i), (iii), (iv) or (v) of Section 9, the Company will reimburse the Underwriters or such Underwriters as have so terminated this Agreement with respect to themselves, severally, for all out-of-pocket expenses (including the reasonably incurred fees and disbursements of their counsel) reasonably incurred by such Underwriters in connection with this Agreement or the offering contemplated hereunder.</w:t>
      </w:r>
    </w:p>
    <w:p>
      <w:pPr>
        <w:spacing w:after="0" w:line="119" w:lineRule="exact"/>
        <w:rPr>
          <w:sz w:val="20"/>
          <w:szCs w:val="20"/>
          <w:color w:val="auto"/>
        </w:rPr>
      </w:pPr>
    </w:p>
    <w:p>
      <w:pPr>
        <w:jc w:val="both"/>
        <w:ind w:left="7" w:firstLine="440"/>
        <w:spacing w:after="0" w:line="274" w:lineRule="auto"/>
        <w:rPr>
          <w:sz w:val="20"/>
          <w:szCs w:val="20"/>
          <w:color w:val="auto"/>
        </w:rPr>
      </w:pPr>
      <w:r>
        <w:rPr>
          <w:rFonts w:ascii="Times New Roman" w:cs="Times New Roman" w:eastAsia="Times New Roman" w:hAnsi="Times New Roman"/>
          <w:sz w:val="12"/>
          <w:szCs w:val="12"/>
          <w:color w:val="auto"/>
        </w:rPr>
        <w:t xml:space="preserve">11.           </w:t>
      </w:r>
      <w:r>
        <w:rPr>
          <w:rFonts w:ascii="Times New Roman" w:cs="Times New Roman" w:eastAsia="Times New Roman" w:hAnsi="Times New Roman"/>
          <w:sz w:val="12"/>
          <w:szCs w:val="12"/>
          <w:i w:val="1"/>
          <w:iCs w:val="1"/>
          <w:color w:val="auto"/>
        </w:rPr>
        <w:t>Entire Agreement</w:t>
      </w:r>
      <w:r>
        <w:rPr>
          <w:rFonts w:ascii="Times New Roman" w:cs="Times New Roman" w:eastAsia="Times New Roman" w:hAnsi="Times New Roman"/>
          <w:sz w:val="12"/>
          <w:szCs w:val="12"/>
          <w:color w:val="auto"/>
        </w:rPr>
        <w:t>. (a) This Agreement, together with any contemporaneous written agreements and any prior written agreements (to the extent 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116"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12"/>
          <w:szCs w:val="12"/>
          <w:color w:val="auto"/>
        </w:rPr>
        <w:t>(b)           The Company acknowledges that in connection with the offering of the Shares: (i) the Underwriters have acted at arm’s length, are not agents of, and owe no fiduciary duties to, the Company or any other person,</w:t>
      </w:r>
    </w:p>
    <w:p>
      <w:pPr>
        <w:spacing w:after="0" w:line="21" w:lineRule="exact"/>
        <w:rPr>
          <w:sz w:val="20"/>
          <w:szCs w:val="20"/>
          <w:color w:val="auto"/>
        </w:rPr>
      </w:pPr>
    </w:p>
    <w:p>
      <w:pPr>
        <w:jc w:val="both"/>
        <w:ind w:left="7" w:hanging="7"/>
        <w:spacing w:after="0" w:line="259" w:lineRule="auto"/>
        <w:tabs>
          <w:tab w:leader="none" w:pos="200"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Underwriters owe the Company only those duties and obligations set forth in this Agreement and prior written agreements (to the extent not superseded by this Agreement), if any, and (iii) the Underwriters and their respective affiliates may have interests that differ from those of the Company, and (iv) none of the activities of the Underwriters in connection with the transactions contemplated herein constitutes a recommendation, legal, accounting, regulatory, tax or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Shares.</w:t>
      </w:r>
    </w:p>
    <w:p>
      <w:pPr>
        <w:spacing w:after="0" w:line="123" w:lineRule="exact"/>
        <w:rPr>
          <w:sz w:val="20"/>
          <w:szCs w:val="20"/>
          <w:color w:val="auto"/>
        </w:rPr>
      </w:pPr>
    </w:p>
    <w:p>
      <w:pPr>
        <w:jc w:val="both"/>
        <w:ind w:left="7" w:right="20" w:firstLine="440"/>
        <w:spacing w:after="0" w:line="274"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i w:val="1"/>
          <w:iCs w:val="1"/>
          <w:color w:val="auto"/>
        </w:rPr>
        <w:t>Recognition of the U.S. Special Resolution Regimes</w:t>
      </w:r>
      <w:r>
        <w:rPr>
          <w:rFonts w:ascii="Times New Roman" w:cs="Times New Roman" w:eastAsia="Times New Roman" w:hAnsi="Times New Roman"/>
          <w:sz w:val="12"/>
          <w:szCs w:val="12"/>
          <w:color w:val="auto"/>
        </w:rPr>
        <w:t>.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6" w:lineRule="exact"/>
        <w:rPr>
          <w:sz w:val="20"/>
          <w:szCs w:val="20"/>
          <w:color w:val="auto"/>
        </w:rPr>
      </w:pPr>
    </w:p>
    <w:p>
      <w:pPr>
        <w:jc w:val="both"/>
        <w:ind w:left="7" w:firstLine="440"/>
        <w:spacing w:after="0" w:line="272" w:lineRule="auto"/>
        <w:rPr>
          <w:sz w:val="20"/>
          <w:szCs w:val="20"/>
          <w:color w:val="auto"/>
        </w:rPr>
      </w:pPr>
      <w:r>
        <w:rPr>
          <w:rFonts w:ascii="Times New Roman" w:cs="Times New Roman" w:eastAsia="Times New Roman" w:hAnsi="Times New Roman"/>
          <w:sz w:val="12"/>
          <w:szCs w:val="12"/>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5" w:lineRule="exact"/>
        <w:rPr>
          <w:sz w:val="20"/>
          <w:szCs w:val="20"/>
          <w:color w:val="auto"/>
        </w:rPr>
      </w:pPr>
    </w:p>
    <w:p>
      <w:pPr>
        <w:jc w:val="both"/>
        <w:ind w:left="7" w:firstLine="440"/>
        <w:spacing w:after="0" w:line="264" w:lineRule="auto"/>
        <w:rPr>
          <w:sz w:val="20"/>
          <w:szCs w:val="20"/>
          <w:color w:val="auto"/>
        </w:rPr>
      </w:pPr>
      <w:r>
        <w:rPr>
          <w:rFonts w:ascii="Times New Roman" w:cs="Times New Roman" w:eastAsia="Times New Roman" w:hAnsi="Times New Roman"/>
          <w:sz w:val="12"/>
          <w:szCs w:val="12"/>
          <w:color w:val="auto"/>
        </w:rPr>
        <w:t>For purposes of this Section a “</w:t>
      </w:r>
      <w:r>
        <w:rPr>
          <w:rFonts w:ascii="Times New Roman" w:cs="Times New Roman" w:eastAsia="Times New Roman" w:hAnsi="Times New Roman"/>
          <w:sz w:val="12"/>
          <w:szCs w:val="12"/>
          <w:b w:val="1"/>
          <w:bCs w:val="1"/>
          <w:color w:val="auto"/>
        </w:rPr>
        <w:t>BHC Act Affiliate</w:t>
      </w:r>
      <w:r>
        <w:rPr>
          <w:rFonts w:ascii="Times New Roman" w:cs="Times New Roman" w:eastAsia="Times New Roman" w:hAnsi="Times New Roman"/>
          <w:sz w:val="12"/>
          <w:szCs w:val="12"/>
          <w:color w:val="auto"/>
        </w:rPr>
        <w:t>” has the meaning assigned to the term “affiliate” in, and shall be interpreted in accordance with, 12 U.S.C. § 1841(k). “</w:t>
      </w:r>
      <w:r>
        <w:rPr>
          <w:rFonts w:ascii="Times New Roman" w:cs="Times New Roman" w:eastAsia="Times New Roman" w:hAnsi="Times New Roman"/>
          <w:sz w:val="12"/>
          <w:szCs w:val="12"/>
          <w:b w:val="1"/>
          <w:bCs w:val="1"/>
          <w:color w:val="auto"/>
        </w:rPr>
        <w:t>Covered Entity</w:t>
      </w:r>
      <w:r>
        <w:rPr>
          <w:rFonts w:ascii="Times New Roman" w:cs="Times New Roman" w:eastAsia="Times New Roman" w:hAnsi="Times New Roman"/>
          <w:sz w:val="12"/>
          <w:szCs w:val="12"/>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2"/>
          <w:szCs w:val="12"/>
          <w:b w:val="1"/>
          <w:bCs w:val="1"/>
          <w:color w:val="auto"/>
        </w:rPr>
        <w:t>Default Right</w:t>
      </w:r>
      <w:r>
        <w:rPr>
          <w:rFonts w:ascii="Times New Roman" w:cs="Times New Roman" w:eastAsia="Times New Roman" w:hAnsi="Times New Roman"/>
          <w:sz w:val="12"/>
          <w:szCs w:val="12"/>
          <w:color w:val="auto"/>
        </w:rPr>
        <w:t>” has the meaning assigned to that term in, and shall be interpreted in accordance with, 12 C.F.R. §§ 252.81, 47.2 or 382.1, as applicable. “</w:t>
      </w:r>
      <w:r>
        <w:rPr>
          <w:rFonts w:ascii="Times New Roman" w:cs="Times New Roman" w:eastAsia="Times New Roman" w:hAnsi="Times New Roman"/>
          <w:sz w:val="12"/>
          <w:szCs w:val="12"/>
          <w:b w:val="1"/>
          <w:bCs w:val="1"/>
          <w:color w:val="auto"/>
        </w:rPr>
        <w:t>U.S. Special Resolution Regime</w:t>
      </w:r>
      <w:r>
        <w:rPr>
          <w:rFonts w:ascii="Times New Roman" w:cs="Times New Roman" w:eastAsia="Times New Roman" w:hAnsi="Times New Roman"/>
          <w:sz w:val="12"/>
          <w:szCs w:val="12"/>
          <w:color w:val="auto"/>
        </w:rPr>
        <w:t>” means each of (i) the Federal Deposit Insurance Act and the regulations promulgated thereunder and (ii) Title II of the Dodd-Frank Wall Street Reform and Consumer Protection Act and the regulations promulgated thereunder.</w:t>
      </w:r>
    </w:p>
    <w:p>
      <w:pPr>
        <w:spacing w:after="0" w:line="26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135" cy="571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0">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300" w:name="page301"/>
    <w:bookmarkEnd w:id="300"/>
    <w:p>
      <w:pPr>
        <w:jc w:val="both"/>
        <w:ind w:firstLine="440"/>
        <w:spacing w:after="0" w:line="271" w:lineRule="auto"/>
        <w:rPr>
          <w:sz w:val="20"/>
          <w:szCs w:val="20"/>
          <w:color w:val="auto"/>
        </w:rPr>
      </w:pPr>
      <w:r>
        <w:rPr>
          <w:rFonts w:ascii="Times New Roman" w:cs="Times New Roman" w:eastAsia="Times New Roman" w:hAnsi="Times New Roman"/>
          <w:sz w:val="12"/>
          <w:szCs w:val="12"/>
          <w:color w:val="auto"/>
        </w:rPr>
        <w:t>13.            </w:t>
      </w:r>
      <w:r>
        <w:rPr>
          <w:rFonts w:ascii="Times New Roman" w:cs="Times New Roman" w:eastAsia="Times New Roman" w:hAnsi="Times New Roman"/>
          <w:sz w:val="12"/>
          <w:szCs w:val="12"/>
          <w:i w:val="1"/>
          <w:iCs w:val="1"/>
          <w:color w:val="auto"/>
        </w:rPr>
        <w:t>Counterparts</w:t>
      </w:r>
      <w:r>
        <w:rPr>
          <w:rFonts w:ascii="Times New Roman" w:cs="Times New Roman" w:eastAsia="Times New Roman" w:hAnsi="Times New Roman"/>
          <w:sz w:val="12"/>
          <w:szCs w:val="12"/>
          <w:color w:val="auto"/>
        </w:rPr>
        <w:t>. This Agreement may be signed in two or more counterparts, each of which shall be an original, with the same effect as if the signatures thereto and hereto were upon the same instrument. Counterparts may be delivered via facsimile, electronic mail (including any electronic signature complying with the U.S. federal ESIGN Act of 2000, Uniform Electronic Transactions Act or other applicable law, e.g., www. Docusign.com or www.echosign.com) or other transmission method, and any counterpart so delivered shall be deemed to have been duly and validly delivered and be valid and effective for all purposes.   </w:t>
      </w:r>
    </w:p>
    <w:p>
      <w:pPr>
        <w:spacing w:after="0" w:line="133" w:lineRule="exact"/>
        <w:rPr>
          <w:sz w:val="20"/>
          <w:szCs w:val="20"/>
          <w:color w:val="auto"/>
        </w:rPr>
      </w:pPr>
    </w:p>
    <w:p>
      <w:pPr>
        <w:jc w:val="both"/>
        <w:ind w:right="20" w:firstLine="440"/>
        <w:spacing w:after="0" w:line="269" w:lineRule="auto"/>
        <w:rPr>
          <w:sz w:val="20"/>
          <w:szCs w:val="20"/>
          <w:color w:val="auto"/>
        </w:rPr>
      </w:pPr>
      <w:r>
        <w:rPr>
          <w:rFonts w:ascii="Times New Roman" w:cs="Times New Roman" w:eastAsia="Times New Roman" w:hAnsi="Times New Roman"/>
          <w:sz w:val="12"/>
          <w:szCs w:val="12"/>
          <w:color w:val="auto"/>
        </w:rPr>
        <w:t xml:space="preserve">14.           </w:t>
      </w:r>
      <w:r>
        <w:rPr>
          <w:rFonts w:ascii="Times New Roman" w:cs="Times New Roman" w:eastAsia="Times New Roman" w:hAnsi="Times New Roman"/>
          <w:sz w:val="12"/>
          <w:szCs w:val="12"/>
          <w:i w:val="1"/>
          <w:iCs w:val="1"/>
          <w:color w:val="auto"/>
        </w:rPr>
        <w:t>Applicable Law</w:t>
      </w:r>
      <w:r>
        <w:rPr>
          <w:rFonts w:ascii="Times New Roman" w:cs="Times New Roman" w:eastAsia="Times New Roman" w:hAnsi="Times New Roman"/>
          <w:sz w:val="12"/>
          <w:szCs w:val="12"/>
          <w:color w:val="auto"/>
        </w:rPr>
        <w:t>. This Agreement, any claim, controversy or disputes arising under or related to this Agreement and any transaction contemplated by this Agreement shall be governed by and construed in accordance with the internal laws of the State of New York.</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 xml:space="preserve">15.           </w:t>
      </w:r>
      <w:r>
        <w:rPr>
          <w:rFonts w:ascii="Times New Roman" w:cs="Times New Roman" w:eastAsia="Times New Roman" w:hAnsi="Times New Roman"/>
          <w:sz w:val="12"/>
          <w:szCs w:val="12"/>
          <w:i w:val="1"/>
          <w:iCs w:val="1"/>
          <w:color w:val="auto"/>
        </w:rPr>
        <w:t>Headings</w:t>
      </w:r>
      <w:r>
        <w:rPr>
          <w:rFonts w:ascii="Times New Roman" w:cs="Times New Roman" w:eastAsia="Times New Roman" w:hAnsi="Times New Roman"/>
          <w:sz w:val="12"/>
          <w:szCs w:val="12"/>
          <w:color w:val="auto"/>
        </w:rPr>
        <w:t>. The headings of the sections of this Agreement have been inserted for convenience of reference only and shall not be deemed a part of this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 xml:space="preserve">16.           </w:t>
      </w:r>
      <w:r>
        <w:rPr>
          <w:rFonts w:ascii="Times New Roman" w:cs="Times New Roman" w:eastAsia="Times New Roman" w:hAnsi="Times New Roman"/>
          <w:sz w:val="12"/>
          <w:szCs w:val="12"/>
          <w:i w:val="1"/>
          <w:iCs w:val="1"/>
          <w:color w:val="auto"/>
        </w:rPr>
        <w:t>Notices</w:t>
      </w:r>
      <w:r>
        <w:rPr>
          <w:rFonts w:ascii="Times New Roman" w:cs="Times New Roman" w:eastAsia="Times New Roman" w:hAnsi="Times New Roman"/>
          <w:sz w:val="12"/>
          <w:szCs w:val="12"/>
          <w:color w:val="auto"/>
        </w:rPr>
        <w:t>. All communications hereunder shall be in writing and effective only upon receipt and if to the Underwriters shall be delivered, mailed or sent to the Representatives in care of Morgan Stanley &amp; Co. LLC at</w:t>
      </w:r>
    </w:p>
    <w:p>
      <w:pPr>
        <w:spacing w:after="0" w:line="206" w:lineRule="auto"/>
        <w:rPr>
          <w:sz w:val="20"/>
          <w:szCs w:val="20"/>
          <w:color w:val="auto"/>
        </w:rPr>
      </w:pPr>
      <w:r>
        <w:rPr>
          <w:rFonts w:ascii="Times New Roman" w:cs="Times New Roman" w:eastAsia="Times New Roman" w:hAnsi="Times New Roman"/>
          <w:sz w:val="12"/>
          <w:szCs w:val="12"/>
          <w:color w:val="auto"/>
        </w:rPr>
        <w:t>1585 Broadway, New York, NY 10036, Attention: Equity Syndicate Desk, with a copy to the Legal Department; Leerink Partners LLC at 1301 Avenue of the Americas, 12</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2"/>
          <w:szCs w:val="12"/>
          <w:color w:val="auto"/>
        </w:rPr>
        <w:t xml:space="preserve"> Floor, New York, NY 10019; Cantor Fitzgerald &amp; Co. at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110 East 59</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2"/>
          <w:szCs w:val="12"/>
          <w:color w:val="auto"/>
        </w:rPr>
        <w:t xml:space="preserve"> Street, 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2"/>
          <w:szCs w:val="12"/>
          <w:color w:val="auto"/>
        </w:rPr>
        <w:t xml:space="preserve"> Floor, New York, NY 10022; and Guggenheim Securities, LLC at 330 Madison Avenue, New York, NY 10017; and if to the Company shall be delivered, mailed or sent to 280 East Grand Avenue, South San Francisco, CA 94080, Attention: General Counsel.</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Pages Follow</w:t>
      </w:r>
      <w:r>
        <w:rPr>
          <w:rFonts w:ascii="Times New Roman" w:cs="Times New Roman" w:eastAsia="Times New Roman" w:hAnsi="Times New Roman"/>
          <w:sz w:val="12"/>
          <w:szCs w:val="12"/>
          <w:color w:val="auto"/>
        </w:rPr>
        <w:t>]</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1">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01" w:name="page302"/>
    <w:bookmarkEnd w:id="301"/>
    <w:p>
      <w:pPr>
        <w:ind w:left="4500"/>
        <w:spacing w:after="0"/>
        <w:rPr>
          <w:sz w:val="20"/>
          <w:szCs w:val="20"/>
          <w:color w:val="auto"/>
        </w:rPr>
      </w:pPr>
      <w:r>
        <w:rPr>
          <w:rFonts w:ascii="Times New Roman" w:cs="Times New Roman" w:eastAsia="Times New Roman" w:hAnsi="Times New Roman"/>
          <w:sz w:val="12"/>
          <w:szCs w:val="12"/>
          <w:color w:val="auto"/>
        </w:rPr>
        <w:t>Very truly yours,</w:t>
      </w:r>
    </w:p>
    <w:p>
      <w:pPr>
        <w:spacing w:after="0" w:line="15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ALUMIS INC.</w:t>
      </w:r>
    </w:p>
    <w:p>
      <w:pPr>
        <w:spacing w:after="0" w:line="17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By:</w:t>
      </w:r>
    </w:p>
    <w:p>
      <w:pPr>
        <w:spacing w:after="0" w:line="21" w:lineRule="exact"/>
        <w:rPr>
          <w:sz w:val="20"/>
          <w:szCs w:val="20"/>
          <w:color w:val="auto"/>
        </w:rPr>
      </w:pPr>
    </w:p>
    <w:tbl>
      <w:tblPr>
        <w:tblLayout w:type="fixed"/>
        <w:tblInd w:w="4860" w:type="dxa"/>
        <w:tblCellMar>
          <w:top w:w="0" w:type="dxa"/>
          <w:left w:w="0" w:type="dxa"/>
          <w:bottom w:w="0" w:type="dxa"/>
          <w:right w:w="0" w:type="dxa"/>
        </w:tblCellMar>
      </w:tblPr>
      <w:tr>
        <w:trPr>
          <w:trHeight w:val="123"/>
        </w:trPr>
        <w:tc>
          <w:tcPr>
            <w:tcW w:w="440" w:type="dxa"/>
            <w:vAlign w:val="bottom"/>
            <w:tcBorders>
              <w:top w:val="single" w:sz="8" w:color="auto"/>
            </w:tcBorders>
          </w:tcPr>
          <w:p>
            <w:pPr>
              <w:spacing w:after="0" w:line="124"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Borders>
              <w:top w:val="single" w:sz="8" w:color="auto"/>
            </w:tcBorders>
          </w:tcPr>
          <w:p>
            <w:pPr>
              <w:ind w:left="120"/>
              <w:spacing w:after="0" w:line="124" w:lineRule="exact"/>
              <w:rPr>
                <w:sz w:val="20"/>
                <w:szCs w:val="20"/>
                <w:color w:val="auto"/>
              </w:rPr>
            </w:pPr>
            <w:r>
              <w:rPr>
                <w:rFonts w:ascii="Times New Roman" w:cs="Times New Roman" w:eastAsia="Times New Roman" w:hAnsi="Times New Roman"/>
                <w:sz w:val="12"/>
                <w:szCs w:val="12"/>
                <w:color w:val="auto"/>
              </w:rPr>
              <w:t>Martin Babler</w:t>
            </w:r>
          </w:p>
        </w:tc>
      </w:tr>
      <w:tr>
        <w:trPr>
          <w:trHeight w:val="159"/>
        </w:trPr>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pacing w:after="0" w:line="13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Underwriting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305435</wp:posOffset>
            </wp:positionV>
            <wp:extent cx="7176135" cy="571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2">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0160"/>
          </w:cols>
          <w:pgMar w:left="1440" w:top="658" w:right="29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2"/>
          <w:szCs w:val="12"/>
          <w:color w:val="auto"/>
        </w:rPr>
        <w:t>Accepted as of the date hereof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Morgan Stanley &amp; Co.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Leerink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Cantor Fitzgerald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Guggenheim Securities, LLC</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Acting severally on behalf of themselves and the several Underwriters named in Schedule I hereto.</w:t>
      </w:r>
    </w:p>
    <w:p>
      <w:pPr>
        <w:spacing w:after="0" w:line="17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2"/>
          <w:szCs w:val="12"/>
          <w:color w:val="auto"/>
        </w:rPr>
        <w:t>By:</w:t>
        <w:tab/>
        <w:t>Morgan Stanley &amp; Co. LLC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-86360</wp:posOffset>
            </wp:positionV>
            <wp:extent cx="3367405" cy="571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3">
                      <a:extLst>
                        <a:ext uri="{28A0092B-C50C-407E-A947-70E740481C1C}"/>
                      </a:extLst>
                    </a:blip>
                    <a:srcRect/>
                    <a:stretch>
                      <a:fillRect/>
                    </a:stretch>
                  </pic:blipFill>
                  <pic:spPr bwMode="auto">
                    <a:xfrm>
                      <a:off x="0" y="0"/>
                      <a:ext cx="3367405" cy="571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2"/>
          <w:szCs w:val="12"/>
          <w:color w:val="auto"/>
        </w:rPr>
        <w:t>Title:</w:t>
      </w:r>
    </w:p>
    <w:p>
      <w:pPr>
        <w:spacing w:after="0" w:line="14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2"/>
          <w:szCs w:val="12"/>
          <w:color w:val="auto"/>
        </w:rPr>
        <w:t>By:</w:t>
        <w:tab/>
        <w:t>Leerink Partners LLC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-86360</wp:posOffset>
            </wp:positionV>
            <wp:extent cx="3367405" cy="571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4">
                      <a:extLst>
                        <a:ext uri="{28A0092B-C50C-407E-A947-70E740481C1C}"/>
                      </a:extLst>
                    </a:blip>
                    <a:srcRect/>
                    <a:stretch>
                      <a:fillRect/>
                    </a:stretch>
                  </pic:blipFill>
                  <pic:spPr bwMode="auto">
                    <a:xfrm>
                      <a:off x="0" y="0"/>
                      <a:ext cx="3367405" cy="571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2"/>
          <w:szCs w:val="12"/>
          <w:color w:val="auto"/>
        </w:rPr>
        <w:t>Title:</w:t>
      </w:r>
    </w:p>
    <w:p>
      <w:pPr>
        <w:spacing w:after="0" w:line="14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2"/>
          <w:szCs w:val="12"/>
          <w:color w:val="auto"/>
        </w:rPr>
        <w:t>By:</w:t>
        <w:tab/>
        <w:t>Cantor Fitzgerald &amp; Co.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-86360</wp:posOffset>
            </wp:positionV>
            <wp:extent cx="3367405" cy="571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5">
                      <a:extLst>
                        <a:ext uri="{28A0092B-C50C-407E-A947-70E740481C1C}"/>
                      </a:extLst>
                    </a:blip>
                    <a:srcRect/>
                    <a:stretch>
                      <a:fillRect/>
                    </a:stretch>
                  </pic:blipFill>
                  <pic:spPr bwMode="auto">
                    <a:xfrm>
                      <a:off x="0" y="0"/>
                      <a:ext cx="3367405" cy="571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2"/>
          <w:szCs w:val="12"/>
          <w:color w:val="auto"/>
        </w:rPr>
        <w:t>Title:</w:t>
      </w:r>
    </w:p>
    <w:p>
      <w:pPr>
        <w:spacing w:after="0" w:line="14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2"/>
          <w:szCs w:val="12"/>
          <w:color w:val="auto"/>
        </w:rPr>
        <w:t>By:</w:t>
        <w:tab/>
        <w:t>Guggenheim Securities, LLC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-86360</wp:posOffset>
            </wp:positionV>
            <wp:extent cx="3367405" cy="571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6">
                      <a:extLst>
                        <a:ext uri="{28A0092B-C50C-407E-A947-70E740481C1C}"/>
                      </a:extLst>
                    </a:blip>
                    <a:srcRect/>
                    <a:stretch>
                      <a:fillRect/>
                    </a:stretch>
                  </pic:blipFill>
                  <pic:spPr bwMode="auto">
                    <a:xfrm>
                      <a:off x="0" y="0"/>
                      <a:ext cx="3367405" cy="571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2"/>
          <w:szCs w:val="12"/>
          <w:color w:val="auto"/>
        </w:rPr>
        <w:t>Title:</w:t>
      </w:r>
    </w:p>
    <w:p>
      <w:pPr>
        <w:spacing w:after="0" w:line="141"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Underwriting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305435</wp:posOffset>
            </wp:positionV>
            <wp:extent cx="7176135" cy="571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7">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0159"/>
          </w:cols>
          <w:pgMar w:left="300" w:top="658" w:right="1440" w:bottom="1440" w:gutter="0" w:footer="0" w:header="0"/>
        </w:sectPr>
      </w:pPr>
    </w:p>
    <w:bookmarkStart w:id="303" w:name="page304"/>
    <w:bookmarkEnd w:id="303"/>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2"/>
          </w:tcPr>
          <w:p>
            <w:pPr>
              <w:ind w:left="1280"/>
              <w:spacing w:after="0"/>
              <w:rPr>
                <w:sz w:val="20"/>
                <w:szCs w:val="20"/>
                <w:color w:val="auto"/>
              </w:rPr>
            </w:pPr>
            <w:r>
              <w:rPr>
                <w:rFonts w:ascii="Times New Roman" w:cs="Times New Roman" w:eastAsia="Times New Roman" w:hAnsi="Times New Roman"/>
                <w:sz w:val="12"/>
                <w:szCs w:val="12"/>
                <w:b w:val="1"/>
                <w:bCs w:val="1"/>
                <w:color w:val="auto"/>
              </w:rPr>
              <w:t>SCHEDULE I</w:t>
            </w:r>
          </w:p>
        </w:tc>
      </w:tr>
      <w:tr>
        <w:trPr>
          <w:trHeight w:val="279"/>
        </w:trPr>
        <w:tc>
          <w:tcPr>
            <w:tcW w:w="35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Number of Firm Shares To</w:t>
            </w:r>
          </w:p>
        </w:tc>
      </w:tr>
      <w:tr>
        <w:trPr>
          <w:trHeight w:val="161"/>
        </w:trPr>
        <w:tc>
          <w:tcPr>
            <w:tcW w:w="3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Underwriter</w:t>
            </w:r>
          </w:p>
        </w:tc>
        <w:tc>
          <w:tcPr>
            <w:tcW w:w="5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Be Purchased</w:t>
            </w:r>
          </w:p>
        </w:tc>
      </w:tr>
      <w:tr>
        <w:trPr>
          <w:trHeight w:val="136"/>
        </w:trPr>
        <w:tc>
          <w:tcPr>
            <w:tcW w:w="350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Morgan Stanley &amp; Co. LLC</w:t>
            </w:r>
          </w:p>
        </w:tc>
        <w:tc>
          <w:tcPr>
            <w:tcW w:w="5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jc w:val="center"/>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r>
      <w:tr>
        <w:trPr>
          <w:trHeight w:val="147"/>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Leerink Partners LLC</w:t>
            </w:r>
          </w:p>
        </w:tc>
        <w:tc>
          <w:tcPr>
            <w:tcW w:w="5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Cantor Fitzgerald &amp; Co.</w:t>
            </w:r>
          </w:p>
        </w:tc>
        <w:tc>
          <w:tcPr>
            <w:tcW w:w="5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7"/>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Guggenheim Securities, LLC</w:t>
            </w:r>
          </w:p>
        </w:tc>
        <w:tc>
          <w:tcPr>
            <w:tcW w:w="5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56"/>
        </w:trPr>
        <w:tc>
          <w:tcPr>
            <w:tcW w:w="3500" w:type="dxa"/>
            <w:vAlign w:val="bottom"/>
            <w:tcBorders>
              <w:bottom w:val="single" w:sz="8" w:color="CCEEFF"/>
            </w:tcBorders>
          </w:tcPr>
          <w:p>
            <w:pPr>
              <w:spacing w:after="0"/>
              <w:rPr>
                <w:sz w:val="13"/>
                <w:szCs w:val="13"/>
                <w:color w:val="auto"/>
              </w:rPr>
            </w:pPr>
          </w:p>
        </w:tc>
        <w:tc>
          <w:tcPr>
            <w:tcW w:w="55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3"/>
        </w:trPr>
        <w:tc>
          <w:tcPr>
            <w:tcW w:w="3500" w:type="dxa"/>
            <w:vAlign w:val="bottom"/>
            <w:tcBorders>
              <w:bottom w:val="single" w:sz="8" w:color="CCEEFF"/>
            </w:tcBorders>
            <w:shd w:val="clear" w:color="auto" w:fill="CCEEFF"/>
          </w:tcPr>
          <w:p>
            <w:pPr>
              <w:ind w:left="440"/>
              <w:spacing w:after="0" w:line="136" w:lineRule="exact"/>
              <w:rPr>
                <w:sz w:val="20"/>
                <w:szCs w:val="20"/>
                <w:color w:val="auto"/>
              </w:rPr>
            </w:pPr>
            <w:r>
              <w:rPr>
                <w:rFonts w:ascii="Times New Roman" w:cs="Times New Roman" w:eastAsia="Times New Roman" w:hAnsi="Times New Roman"/>
                <w:sz w:val="12"/>
                <w:szCs w:val="12"/>
                <w:color w:val="auto"/>
              </w:rPr>
              <w:t>Total:</w:t>
            </w:r>
          </w:p>
        </w:tc>
        <w:tc>
          <w:tcPr>
            <w:tcW w:w="55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040" w:type="dxa"/>
            <w:vAlign w:val="bottom"/>
            <w:tcBorders>
              <w:bottom w:val="single" w:sz="8" w:color="auto"/>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439"/>
        </w:trPr>
        <w:tc>
          <w:tcPr>
            <w:tcW w:w="350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gridSpan w:val="3"/>
          </w:tcPr>
          <w:p>
            <w:pPr>
              <w:ind w:left="2080"/>
              <w:spacing w:after="0"/>
              <w:rPr>
                <w:sz w:val="20"/>
                <w:szCs w:val="20"/>
                <w:color w:val="auto"/>
              </w:rPr>
            </w:pPr>
            <w:r>
              <w:rPr>
                <w:rFonts w:ascii="Times New Roman" w:cs="Times New Roman" w:eastAsia="Times New Roman" w:hAnsi="Times New Roman"/>
                <w:sz w:val="12"/>
                <w:szCs w:val="12"/>
                <w:color w:val="auto"/>
              </w:rPr>
              <w:t>I-1</w:t>
            </w:r>
          </w:p>
        </w:tc>
        <w:tc>
          <w:tcPr>
            <w:tcW w:w="20" w:type="dxa"/>
            <w:vAlign w:val="bottom"/>
          </w:tcPr>
          <w:p>
            <w:pPr>
              <w:spacing w:after="0"/>
              <w:rPr>
                <w:sz w:val="24"/>
                <w:szCs w:val="24"/>
                <w:color w:val="auto"/>
              </w:rPr>
            </w:pPr>
          </w:p>
        </w:tc>
      </w:tr>
    </w:tbl>
    <w:p>
      <w:pPr>
        <w:sectPr>
          <w:pgSz w:w="11900" w:h="16838" w:orient="portrait"/>
          <w:cols w:equalWidth="0" w:num="1">
            <w:col w:w="11300"/>
          </w:cols>
          <w:pgMar w:left="300" w:top="656" w:right="29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2"/>
          <w:szCs w:val="12"/>
          <w:b w:val="1"/>
          <w:bCs w:val="1"/>
          <w:color w:val="auto"/>
        </w:rPr>
        <w:t>SCHEDULE II</w:t>
      </w:r>
    </w:p>
    <w:p>
      <w:pPr>
        <w:spacing w:after="0" w:line="15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b w:val="1"/>
          <w:bCs w:val="1"/>
          <w:color w:val="auto"/>
        </w:rPr>
        <w:t>Time of Sale Prospectus</w:t>
      </w:r>
    </w:p>
    <w:p>
      <w:pPr>
        <w:spacing w:after="0" w:line="157" w:lineRule="exact"/>
        <w:rPr>
          <w:sz w:val="20"/>
          <w:szCs w:val="20"/>
          <w:color w:val="auto"/>
        </w:rPr>
      </w:pPr>
    </w:p>
    <w:p>
      <w:pPr>
        <w:ind w:left="447" w:hanging="447"/>
        <w:spacing w:after="0"/>
        <w:tabs>
          <w:tab w:leader="none" w:pos="447"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Preliminary Prospectus issued [_____], 2024</w:t>
      </w:r>
    </w:p>
    <w:p>
      <w:pPr>
        <w:spacing w:after="0" w:line="155" w:lineRule="exact"/>
        <w:rPr>
          <w:rFonts w:ascii="Times New Roman" w:cs="Times New Roman" w:eastAsia="Times New Roman" w:hAnsi="Times New Roman"/>
          <w:sz w:val="12"/>
          <w:szCs w:val="12"/>
          <w:color w:val="auto"/>
        </w:rPr>
      </w:pPr>
    </w:p>
    <w:p>
      <w:pPr>
        <w:ind w:left="447" w:hanging="447"/>
        <w:spacing w:after="0"/>
        <w:tabs>
          <w:tab w:leader="none" w:pos="447"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[Free writing prospectus, dated [____], 2024, filed by the Company under Rule 433(d) of the Securities Act]</w:t>
      </w:r>
    </w:p>
    <w:p>
      <w:pPr>
        <w:spacing w:after="0" w:line="155" w:lineRule="exact"/>
        <w:rPr>
          <w:rFonts w:ascii="Times New Roman" w:cs="Times New Roman" w:eastAsia="Times New Roman" w:hAnsi="Times New Roman"/>
          <w:sz w:val="12"/>
          <w:szCs w:val="12"/>
          <w:color w:val="auto"/>
        </w:rPr>
      </w:pPr>
    </w:p>
    <w:p>
      <w:pPr>
        <w:ind w:left="447" w:right="20" w:hanging="447"/>
        <w:spacing w:after="0" w:line="291" w:lineRule="auto"/>
        <w:tabs>
          <w:tab w:leader="none" w:pos="447"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initial public offering price per share to the public for the Shares is $[__]. The number of Firm Shares purchased by the Underwriters is [_____] shares. The Additional Shares option is [_____] shares. The underwriters intend to make issuer directed allocations in the aggregate of [_____] shares to certain investors.</w:t>
      </w:r>
    </w:p>
    <w:p>
      <w:pPr>
        <w:spacing w:after="0" w:line="25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135" cy="571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8">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656" w:right="29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2"/>
          <w:szCs w:val="12"/>
          <w:b w:val="1"/>
          <w:bCs w:val="1"/>
          <w:color w:val="auto"/>
        </w:rPr>
        <w:t>SCHEDULE III</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Testing-the-Waters Communications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[Alumis Inc. Testing the Waters Presentation]</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9">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LOCK-UP AGREEMENT</w:t>
      </w:r>
    </w:p>
    <w:p>
      <w:pPr>
        <w:spacing w:after="0" w:line="15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2"/>
          <w:szCs w:val="12"/>
          <w:b w:val="1"/>
          <w:bCs w:val="1"/>
          <w:color w:val="auto"/>
        </w:rPr>
        <w:t>_____________,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Morgan Stanley &amp; Co.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Leerink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Cantor Fitzgerald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Guggenheim Securities, LLC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As representatives of the several Underwriters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Morgan Stanley &amp; Co. LLC</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1585 Broadway</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New York, NY 10036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Leerink Partners LLC</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1301 Avenue of the Americas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12th Floor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New York, NY 10019</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Cantor Fitzgerald &amp; Co.</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110 East 59th Street</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6th Floor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New York, NY 10022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Guggenheim Securities, LLC</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330 Madison Avenue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New York, NY 10017</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53"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2"/>
          <w:szCs w:val="12"/>
          <w:color w:val="auto"/>
        </w:rPr>
        <w:t>The undersigned understands that Morgan Stanley &amp; Co. LLC (“</w:t>
      </w:r>
      <w:r>
        <w:rPr>
          <w:rFonts w:ascii="Times New Roman" w:cs="Times New Roman" w:eastAsia="Times New Roman" w:hAnsi="Times New Roman"/>
          <w:sz w:val="12"/>
          <w:szCs w:val="12"/>
          <w:b w:val="1"/>
          <w:bCs w:val="1"/>
          <w:color w:val="auto"/>
        </w:rPr>
        <w:t>Morgan Stanley</w:t>
      </w:r>
      <w:r>
        <w:rPr>
          <w:rFonts w:ascii="Times New Roman" w:cs="Times New Roman" w:eastAsia="Times New Roman" w:hAnsi="Times New Roman"/>
          <w:sz w:val="12"/>
          <w:szCs w:val="12"/>
          <w:color w:val="auto"/>
        </w:rPr>
        <w:t>”) Leerink Partners LLC, Cantor Fitzgerald &amp; Co., and Guggenheim Securities, LLC (collectively, the “</w:t>
      </w:r>
      <w:r>
        <w:rPr>
          <w:rFonts w:ascii="Times New Roman" w:cs="Times New Roman" w:eastAsia="Times New Roman" w:hAnsi="Times New Roman"/>
          <w:sz w:val="12"/>
          <w:szCs w:val="12"/>
          <w:b w:val="1"/>
          <w:bCs w:val="1"/>
          <w:color w:val="auto"/>
        </w:rPr>
        <w:t>Representatives</w:t>
      </w:r>
      <w:r>
        <w:rPr>
          <w:rFonts w:ascii="Times New Roman" w:cs="Times New Roman" w:eastAsia="Times New Roman" w:hAnsi="Times New Roman"/>
          <w:sz w:val="12"/>
          <w:szCs w:val="12"/>
          <w:color w:val="auto"/>
        </w:rPr>
        <w:t>”) propose to enter into an Underwriting Agreement (the “</w:t>
      </w:r>
      <w:r>
        <w:rPr>
          <w:rFonts w:ascii="Times New Roman" w:cs="Times New Roman" w:eastAsia="Times New Roman" w:hAnsi="Times New Roman"/>
          <w:sz w:val="12"/>
          <w:szCs w:val="12"/>
          <w:b w:val="1"/>
          <w:bCs w:val="1"/>
          <w:color w:val="auto"/>
        </w:rPr>
        <w:t>Underwriting Agreement</w:t>
      </w:r>
      <w:r>
        <w:rPr>
          <w:rFonts w:ascii="Times New Roman" w:cs="Times New Roman" w:eastAsia="Times New Roman" w:hAnsi="Times New Roman"/>
          <w:sz w:val="12"/>
          <w:szCs w:val="12"/>
          <w:color w:val="auto"/>
        </w:rPr>
        <w:t>”) with Alumis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providing for the public offering (the “</w:t>
      </w:r>
      <w:r>
        <w:rPr>
          <w:rFonts w:ascii="Times New Roman" w:cs="Times New Roman" w:eastAsia="Times New Roman" w:hAnsi="Times New Roman"/>
          <w:sz w:val="12"/>
          <w:szCs w:val="12"/>
          <w:b w:val="1"/>
          <w:bCs w:val="1"/>
          <w:color w:val="auto"/>
        </w:rPr>
        <w:t>Public Offering</w:t>
      </w:r>
      <w:r>
        <w:rPr>
          <w:rFonts w:ascii="Times New Roman" w:cs="Times New Roman" w:eastAsia="Times New Roman" w:hAnsi="Times New Roman"/>
          <w:sz w:val="12"/>
          <w:szCs w:val="12"/>
          <w:color w:val="auto"/>
        </w:rPr>
        <w:t>”) by the several underwriters, including the Representatives (the “</w:t>
      </w:r>
      <w:r>
        <w:rPr>
          <w:rFonts w:ascii="Times New Roman" w:cs="Times New Roman" w:eastAsia="Times New Roman" w:hAnsi="Times New Roman"/>
          <w:sz w:val="12"/>
          <w:szCs w:val="12"/>
          <w:b w:val="1"/>
          <w:bCs w:val="1"/>
          <w:color w:val="auto"/>
        </w:rPr>
        <w:t>Underwriters</w:t>
      </w:r>
      <w:r>
        <w:rPr>
          <w:rFonts w:ascii="Times New Roman" w:cs="Times New Roman" w:eastAsia="Times New Roman" w:hAnsi="Times New Roman"/>
          <w:sz w:val="12"/>
          <w:szCs w:val="12"/>
          <w:color w:val="auto"/>
        </w:rPr>
        <w:t>”), of shares (the “</w:t>
      </w: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2"/>
          <w:szCs w:val="12"/>
          <w:color w:val="auto"/>
        </w:rPr>
        <w:t>”) of the common stock, par value $0.0001 per share of the Company (together with the non-voting common stock, par value $0.0001 per share, of the Company, the “</w:t>
      </w:r>
      <w:r>
        <w:rPr>
          <w:rFonts w:ascii="Times New Roman" w:cs="Times New Roman" w:eastAsia="Times New Roman" w:hAnsi="Times New Roman"/>
          <w:sz w:val="12"/>
          <w:szCs w:val="12"/>
          <w:b w:val="1"/>
          <w:bCs w:val="1"/>
          <w:color w:val="auto"/>
        </w:rPr>
        <w:t>Common Stock</w:t>
      </w:r>
      <w:r>
        <w:rPr>
          <w:rFonts w:ascii="Times New Roman" w:cs="Times New Roman" w:eastAsia="Times New Roman" w:hAnsi="Times New Roman"/>
          <w:sz w:val="12"/>
          <w:szCs w:val="12"/>
          <w:color w:val="auto"/>
        </w:rPr>
        <w:t>”) pursuant to a Registration Statement on Form S-1 (the “</w:t>
      </w:r>
      <w:r>
        <w:rPr>
          <w:rFonts w:ascii="Times New Roman" w:cs="Times New Roman" w:eastAsia="Times New Roman" w:hAnsi="Times New Roman"/>
          <w:sz w:val="12"/>
          <w:szCs w:val="12"/>
          <w:b w:val="1"/>
          <w:bCs w:val="1"/>
          <w:color w:val="auto"/>
        </w:rPr>
        <w:t>Registration Statement</w:t>
      </w:r>
      <w:r>
        <w:rPr>
          <w:rFonts w:ascii="Times New Roman" w:cs="Times New Roman" w:eastAsia="Times New Roman" w:hAnsi="Times New Roman"/>
          <w:sz w:val="12"/>
          <w:szCs w:val="12"/>
          <w:color w:val="auto"/>
        </w:rPr>
        <w:t>”) to be filed with the Securities and Exchange Commission (the “</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0">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07" w:name="page308"/>
    <w:bookmarkEnd w:id="307"/>
    <w:p>
      <w:pPr>
        <w:jc w:val="both"/>
        <w:ind w:firstLine="440"/>
        <w:spacing w:after="0" w:line="260" w:lineRule="auto"/>
        <w:rPr>
          <w:sz w:val="20"/>
          <w:szCs w:val="20"/>
          <w:color w:val="auto"/>
        </w:rPr>
      </w:pPr>
      <w:r>
        <w:rPr>
          <w:rFonts w:ascii="Times New Roman" w:cs="Times New Roman" w:eastAsia="Times New Roman" w:hAnsi="Times New Roman"/>
          <w:sz w:val="12"/>
          <w:szCs w:val="12"/>
          <w:color w:val="auto"/>
        </w:rPr>
        <w:t>To induce the Underwriters that may participate in the Public Offering to continue their efforts in connection with the Public Offering, subject to the exceptions set forth in this agreement, the undersigned hereby agrees that, without the prior written consent of Morgan Stanley on behalf of the Underwriters, it will not, and will not publicly disclose an intention to, during the period commencing on the date hereof and ending 180 days after the date of the final prospectus relating to the Public Offering (the “</w:t>
      </w:r>
      <w:r>
        <w:rPr>
          <w:rFonts w:ascii="Times New Roman" w:cs="Times New Roman" w:eastAsia="Times New Roman" w:hAnsi="Times New Roman"/>
          <w:sz w:val="12"/>
          <w:szCs w:val="12"/>
          <w:b w:val="1"/>
          <w:bCs w:val="1"/>
          <w:color w:val="auto"/>
        </w:rPr>
        <w:t>Prospectus</w:t>
      </w:r>
      <w:r>
        <w:rPr>
          <w:rFonts w:ascii="Times New Roman" w:cs="Times New Roman" w:eastAsia="Times New Roman" w:hAnsi="Times New Roman"/>
          <w:sz w:val="12"/>
          <w:szCs w:val="12"/>
          <w:color w:val="auto"/>
        </w:rPr>
        <w:t>”) (such period, the “</w:t>
      </w:r>
      <w:r>
        <w:rPr>
          <w:rFonts w:ascii="Times New Roman" w:cs="Times New Roman" w:eastAsia="Times New Roman" w:hAnsi="Times New Roman"/>
          <w:sz w:val="12"/>
          <w:szCs w:val="12"/>
          <w:b w:val="1"/>
          <w:bCs w:val="1"/>
          <w:color w:val="auto"/>
        </w:rPr>
        <w:t>Restricted Period</w:t>
      </w:r>
      <w:r>
        <w:rPr>
          <w:rFonts w:ascii="Times New Roman" w:cs="Times New Roman" w:eastAsia="Times New Roman" w:hAnsi="Times New Roman"/>
          <w:sz w:val="12"/>
          <w:szCs w:val="12"/>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by the undersigned or any other securities so owned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w:t>
      </w:r>
    </w:p>
    <w:p>
      <w:pPr>
        <w:spacing w:after="0" w:line="126" w:lineRule="exact"/>
        <w:rPr>
          <w:sz w:val="20"/>
          <w:szCs w:val="20"/>
          <w:color w:val="auto"/>
        </w:rPr>
      </w:pPr>
    </w:p>
    <w:p>
      <w:pPr>
        <w:ind w:left="600" w:hanging="167"/>
        <w:spacing w:after="0"/>
        <w:tabs>
          <w:tab w:leader="none" w:pos="600"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relating to shares of Common Stock or other securities acquired in open market transactions after the completion of the Public Offering;</w:t>
      </w:r>
    </w:p>
    <w:p>
      <w:pPr>
        <w:spacing w:after="0" w:line="155" w:lineRule="exact"/>
        <w:rPr>
          <w:rFonts w:ascii="Times New Roman" w:cs="Times New Roman" w:eastAsia="Times New Roman" w:hAnsi="Times New Roman"/>
          <w:sz w:val="12"/>
          <w:szCs w:val="12"/>
          <w:color w:val="auto"/>
        </w:rPr>
      </w:pPr>
    </w:p>
    <w:p>
      <w:pPr>
        <w:jc w:val="both"/>
        <w:ind w:firstLine="433"/>
        <w:spacing w:after="0" w:line="263" w:lineRule="auto"/>
        <w:tabs>
          <w:tab w:leader="none" w:pos="623"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of shares of Common Stock or any security convertible into or exercisable or exchangeable for Common Stock (i) as a bona fide gift, or for bona fide estate planning purposes, (ii) upon death or by will, testamentary document or intestate succession, (iii) to any member of the undersigned’s immediate family (for purposes of this Lock-Up Agreement, “immediate family” shall mean any relationship by blood, current or former marriage, domestic partnership or adoption, not more remote than first cousin) or to any trust for the direct or indirect benefit of the undersigned or the immediate family of the undersigned or, if the undersigned is a trust, to a trustor or beneficiary of the trust or the estate of a beneficiary of such trust, (iv) to a corporation, partnership, limited liability company or other entity of which the undersigned and the immediate family of the undersigned are the legal and beneficial owner of all of the outstanding equity securities or similar interests, or (v) to a nominee or custodian of a person or entity to whom a disposition or transfer would be permissible under clauses (b)(i) through (iv) above;</w:t>
      </w:r>
    </w:p>
    <w:p>
      <w:pPr>
        <w:spacing w:after="0" w:line="123" w:lineRule="exact"/>
        <w:rPr>
          <w:rFonts w:ascii="Times New Roman" w:cs="Times New Roman" w:eastAsia="Times New Roman" w:hAnsi="Times New Roman"/>
          <w:sz w:val="12"/>
          <w:szCs w:val="12"/>
          <w:color w:val="auto"/>
        </w:rPr>
      </w:pPr>
    </w:p>
    <w:p>
      <w:pPr>
        <w:jc w:val="both"/>
        <w:ind w:right="20" w:firstLine="433"/>
        <w:spacing w:after="0" w:line="272" w:lineRule="auto"/>
        <w:tabs>
          <w:tab w:leader="none" w:pos="607"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undersigned is a corporation, partnership, limited liability company or other business entity, any transfers (i) to another corporation, partnership, limited liability company or other business entity that is an affiliate (as defined in Rule 405 under the Securities Act of 1933, as amended) of the undersigned, or to any investment fund or other entity which fund or entity is controlled or managed by the undersigned or affiliates of the undersigned, or (ii) as part of a distribution by the undersigned to its stockholders, partners, members or other equityholders or to the estate of any such stockholders, partners, members or other equityholders;</w:t>
      </w:r>
    </w:p>
    <w:p>
      <w:pPr>
        <w:spacing w:after="0" w:line="116" w:lineRule="exact"/>
        <w:rPr>
          <w:rFonts w:ascii="Times New Roman" w:cs="Times New Roman" w:eastAsia="Times New Roman" w:hAnsi="Times New Roman"/>
          <w:sz w:val="12"/>
          <w:szCs w:val="12"/>
          <w:color w:val="auto"/>
        </w:rPr>
      </w:pPr>
    </w:p>
    <w:p>
      <w:pPr>
        <w:ind w:left="600" w:hanging="167"/>
        <w:spacing w:after="0"/>
        <w:tabs>
          <w:tab w:leader="none" w:pos="600"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transfers by operation of law, such as pursuant to a qualified domestic order, divorce settlement, divorce decree or separation agreement;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1">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308" w:name="page309"/>
    <w:bookmarkEnd w:id="308"/>
    <w:p>
      <w:pPr>
        <w:ind w:left="600" w:hanging="167"/>
        <w:spacing w:after="0"/>
        <w:tabs>
          <w:tab w:leader="none" w:pos="600"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transfers to the Company from an employee of the Company upon death, disability or termination of employment, in each case, of such employee;</w:t>
      </w:r>
    </w:p>
    <w:p>
      <w:pPr>
        <w:spacing w:after="0" w:line="155" w:lineRule="exact"/>
        <w:rPr>
          <w:rFonts w:ascii="Times New Roman" w:cs="Times New Roman" w:eastAsia="Times New Roman" w:hAnsi="Times New Roman"/>
          <w:sz w:val="12"/>
          <w:szCs w:val="12"/>
          <w:color w:val="auto"/>
        </w:rPr>
      </w:pPr>
    </w:p>
    <w:p>
      <w:pPr>
        <w:jc w:val="both"/>
        <w:ind w:right="20" w:firstLine="433"/>
        <w:spacing w:after="0" w:line="265" w:lineRule="auto"/>
        <w:tabs>
          <w:tab w:leader="none" w:pos="599"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transfers to the Company in connection with the vesting, settlement or exercise of restricted stock units, options, warrants or other rights to purchase shares of Common Stock (including, in each case, by way of “net” or “cashless” exercise), including any transfer to the Company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the Registration Statement, the preliminary prospectus relating to the Shares included in the Registration Statement immediately prior to the time the Underwriting Agreement is executed and the Prospectus;</w:t>
      </w:r>
    </w:p>
    <w:p>
      <w:pPr>
        <w:spacing w:after="0" w:line="269" w:lineRule="exact"/>
        <w:rPr>
          <w:rFonts w:ascii="Times New Roman" w:cs="Times New Roman" w:eastAsia="Times New Roman" w:hAnsi="Times New Roman"/>
          <w:sz w:val="12"/>
          <w:szCs w:val="12"/>
          <w:color w:val="auto"/>
        </w:rPr>
      </w:pPr>
    </w:p>
    <w:p>
      <w:pPr>
        <w:ind w:left="600" w:hanging="167"/>
        <w:spacing w:after="0"/>
        <w:tabs>
          <w:tab w:leader="none" w:pos="600"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distributions of shares of Common Stock or any security convertible into Common Stock to limited partners or stockholders of the undersigned;</w:t>
      </w:r>
    </w:p>
    <w:p>
      <w:pPr>
        <w:spacing w:after="0" w:line="155" w:lineRule="exact"/>
        <w:rPr>
          <w:rFonts w:ascii="Times New Roman" w:cs="Times New Roman" w:eastAsia="Times New Roman" w:hAnsi="Times New Roman"/>
          <w:sz w:val="12"/>
          <w:szCs w:val="12"/>
          <w:color w:val="auto"/>
        </w:rPr>
      </w:pPr>
    </w:p>
    <w:p>
      <w:pPr>
        <w:ind w:firstLine="433"/>
        <w:spacing w:after="0" w:line="291" w:lineRule="auto"/>
        <w:tabs>
          <w:tab w:leader="none" w:pos="613"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entry or amendment, by the undersigned, of a trading plan on behalf of a shareholder, officer or director of the Company pursuant to Rule 10b5-1 under the Exchange Act for the transfer of shares of Common Stock, provided that such plan does not provide for the transfer of Common Stock during the Restricted Period;</w:t>
      </w:r>
    </w:p>
    <w:p>
      <w:pPr>
        <w:spacing w:after="0" w:line="104" w:lineRule="exact"/>
        <w:rPr>
          <w:rFonts w:ascii="Times New Roman" w:cs="Times New Roman" w:eastAsia="Times New Roman" w:hAnsi="Times New Roman"/>
          <w:sz w:val="12"/>
          <w:szCs w:val="12"/>
          <w:color w:val="auto"/>
        </w:rPr>
      </w:pPr>
    </w:p>
    <w:p>
      <w:pPr>
        <w:ind w:left="580" w:hanging="147"/>
        <w:spacing w:after="0"/>
        <w:tabs>
          <w:tab w:leader="none" w:pos="580"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of the undersigned’s securities to the Company pursuant to an agreement under which the Company has the option to repurchase shares or a right of first refusal with respect to transfer of such shares;</w:t>
      </w:r>
    </w:p>
    <w:p>
      <w:pPr>
        <w:spacing w:after="0" w:line="155" w:lineRule="exact"/>
        <w:rPr>
          <w:rFonts w:ascii="Times New Roman" w:cs="Times New Roman" w:eastAsia="Times New Roman" w:hAnsi="Times New Roman"/>
          <w:sz w:val="12"/>
          <w:szCs w:val="12"/>
          <w:color w:val="auto"/>
        </w:rPr>
      </w:pPr>
    </w:p>
    <w:p>
      <w:pPr>
        <w:ind w:left="580" w:hanging="147"/>
        <w:spacing w:after="0"/>
        <w:tabs>
          <w:tab w:leader="none" w:pos="580"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conversions of outstanding preferred stock of the Company into shares of Common Stock, provided that any such shares received upon such conversion shall remain subject to the provisions of this agreement;</w:t>
      </w:r>
    </w:p>
    <w:p>
      <w:pPr>
        <w:spacing w:after="0" w:line="155" w:lineRule="exact"/>
        <w:rPr>
          <w:rFonts w:ascii="Times New Roman" w:cs="Times New Roman" w:eastAsia="Times New Roman" w:hAnsi="Times New Roman"/>
          <w:sz w:val="12"/>
          <w:szCs w:val="12"/>
          <w:color w:val="auto"/>
        </w:rPr>
      </w:pPr>
    </w:p>
    <w:p>
      <w:pPr>
        <w:ind w:right="20" w:firstLine="433"/>
        <w:spacing w:after="0" w:line="291" w:lineRule="auto"/>
        <w:tabs>
          <w:tab w:leader="none" w:pos="621"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conversions or reclassifications of a class or series of Common Stock into another class or series of Common Stock (including the conversion of shares of non-voting Common Stock into shares of voting Common Stock and vice versa), it being understood that any such shares received by the undersigned upon such conversion shall be subject to the provisions of this agreement;</w:t>
      </w:r>
    </w:p>
    <w:p>
      <w:pPr>
        <w:spacing w:after="0" w:line="104" w:lineRule="exact"/>
        <w:rPr>
          <w:rFonts w:ascii="Times New Roman" w:cs="Times New Roman" w:eastAsia="Times New Roman" w:hAnsi="Times New Roman"/>
          <w:sz w:val="12"/>
          <w:szCs w:val="12"/>
          <w:color w:val="auto"/>
        </w:rPr>
      </w:pPr>
    </w:p>
    <w:p>
      <w:pPr>
        <w:jc w:val="both"/>
        <w:ind w:firstLine="433"/>
        <w:spacing w:after="0" w:line="263" w:lineRule="auto"/>
        <w:tabs>
          <w:tab w:leader="none" w:pos="588"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of the undersigned’s Common Stock or other security of the Company in connection with a bona fide third-party tender offer, merger, consolidation or other similar transaction that is approved by the Board of Directors of the Company and made to all holders of the Company’s capital stock involving a Change of Control of the Company (for purposes hereof, “</w:t>
      </w:r>
      <w:r>
        <w:rPr>
          <w:rFonts w:ascii="Times New Roman" w:cs="Times New Roman" w:eastAsia="Times New Roman" w:hAnsi="Times New Roman"/>
          <w:sz w:val="12"/>
          <w:szCs w:val="12"/>
          <w:b w:val="1"/>
          <w:bCs w:val="1"/>
          <w:color w:val="auto"/>
        </w:rPr>
        <w:t>Change of Control</w:t>
      </w:r>
      <w:r>
        <w:rPr>
          <w:rFonts w:ascii="Times New Roman" w:cs="Times New Roman" w:eastAsia="Times New Roman" w:hAnsi="Times New Roman"/>
          <w:sz w:val="12"/>
          <w:szCs w:val="12"/>
          <w:color w:val="auto"/>
        </w:rPr>
        <w:t>”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undersigned’s Common Stock or other security of the Company shall remain subject to the provisions of this Lock-Up Agreement;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2">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309" w:name="page310"/>
    <w:bookmarkEnd w:id="309"/>
    <w:p>
      <w:pPr>
        <w:ind w:left="447"/>
        <w:spacing w:after="0"/>
        <w:rPr>
          <w:sz w:val="20"/>
          <w:szCs w:val="20"/>
          <w:color w:val="auto"/>
        </w:rPr>
      </w:pPr>
      <w:r>
        <w:rPr>
          <w:rFonts w:ascii="Times New Roman" w:cs="Times New Roman" w:eastAsia="Times New Roman" w:hAnsi="Times New Roman"/>
          <w:sz w:val="12"/>
          <w:szCs w:val="12"/>
          <w:color w:val="auto"/>
        </w:rPr>
        <w:t>provided that (1) in the case of clauses (b)(i), (ii), (iii), (iv) and (v) and (c) above, such transfer or distribution shall not involve a disposition for value, (2) in the case of clauses (b)(i), (ii), (iii), (iv) and (v), (c), (d) and</w:t>
      </w:r>
    </w:p>
    <w:p>
      <w:pPr>
        <w:spacing w:after="0" w:line="21" w:lineRule="exact"/>
        <w:rPr>
          <w:sz w:val="20"/>
          <w:szCs w:val="20"/>
          <w:color w:val="auto"/>
        </w:rPr>
      </w:pPr>
    </w:p>
    <w:p>
      <w:pPr>
        <w:jc w:val="both"/>
        <w:ind w:left="7" w:hanging="7"/>
        <w:spacing w:after="0" w:line="257" w:lineRule="auto"/>
        <w:tabs>
          <w:tab w:leader="none" w:pos="183"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above, it shall be a condition to the transfer or distribution that the donee, devisee, transferee or distributee, as the case may be, shall sign and deliver a lock-up agreement in the form of this Lock-Up Agreement, (3) in the case of clauses (b)(ii), (iii), (iv), and (v) and (c) and (g) above, no filing by any party (including, without limitation, any donor, donee, devisee, transferor, transferee, distributor or distributee) under the Securities Exchange Act of 1934, as amended (the “Exchange Act), or other public filing, report or announcement reporting a reduction in beneficial ownership of Lock-Up Securities shall be required or shall be voluntarily made in connection with such transfer or distribution, and (4) in the case of clauses (a), (b)(i), (d), (e), (f), (h) and (i)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(1) the circumstances of such transfer or distribution and (2) in the case of a transfer or distribution pursuant to clauses (b)(i) or (d) above, that the donee, devisee, transferee or distributee has agreed to be bound by a lock-up agreement in the form of this Lock-Up Agreement.</w:t>
      </w:r>
    </w:p>
    <w:p>
      <w:pPr>
        <w:spacing w:after="0" w:line="127" w:lineRule="exact"/>
        <w:rPr>
          <w:sz w:val="20"/>
          <w:szCs w:val="20"/>
          <w:color w:val="auto"/>
        </w:rPr>
      </w:pPr>
    </w:p>
    <w:p>
      <w:pPr>
        <w:jc w:val="both"/>
        <w:ind w:left="7" w:firstLine="440"/>
        <w:spacing w:after="0" w:line="272" w:lineRule="auto"/>
        <w:rPr>
          <w:sz w:val="20"/>
          <w:szCs w:val="20"/>
          <w:color w:val="auto"/>
        </w:rPr>
      </w:pPr>
      <w:r>
        <w:rPr>
          <w:rFonts w:ascii="Times New Roman" w:cs="Times New Roman" w:eastAsia="Times New Roman" w:hAnsi="Times New Roman"/>
          <w:sz w:val="12"/>
          <w:szCs w:val="12"/>
          <w:color w:val="auto"/>
        </w:rPr>
        <w:t>In addition, the undersigned agrees that, without the prior written consent of Morgan Stanley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17" w:lineRule="exact"/>
        <w:rPr>
          <w:sz w:val="20"/>
          <w:szCs w:val="20"/>
          <w:color w:val="auto"/>
        </w:rPr>
      </w:pPr>
    </w:p>
    <w:p>
      <w:pPr>
        <w:jc w:val="both"/>
        <w:ind w:left="7" w:firstLine="440"/>
        <w:spacing w:after="0" w:line="291" w:lineRule="auto"/>
        <w:rPr>
          <w:sz w:val="20"/>
          <w:szCs w:val="20"/>
          <w:color w:val="auto"/>
        </w:rPr>
      </w:pPr>
      <w:r>
        <w:rPr>
          <w:rFonts w:ascii="Times New Roman" w:cs="Times New Roman" w:eastAsia="Times New Roman" w:hAnsi="Times New Roman"/>
          <w:sz w:val="12"/>
          <w:szCs w:val="12"/>
          <w:color w:val="auto"/>
        </w:rPr>
        <w:t>In addition, the provisions of this agreement shall not be deemed to restrict or prohibit the undersigned from exercising any option to purchase any shares of Common Stock pursuant to any stock incentive plan or stock purchase plan of the Company on a cash basis, provided that the underlying shares of Common Stock shall continue to be subject to the restrictions on transfer set forth in this agreement.</w:t>
      </w:r>
    </w:p>
    <w:p>
      <w:pPr>
        <w:spacing w:after="0" w:line="105" w:lineRule="exact"/>
        <w:rPr>
          <w:sz w:val="20"/>
          <w:szCs w:val="20"/>
          <w:color w:val="auto"/>
        </w:rPr>
      </w:pPr>
    </w:p>
    <w:p>
      <w:pPr>
        <w:jc w:val="both"/>
        <w:ind w:left="7" w:right="20" w:firstLine="440"/>
        <w:spacing w:after="0" w:line="272" w:lineRule="auto"/>
        <w:rPr>
          <w:sz w:val="20"/>
          <w:szCs w:val="20"/>
          <w:color w:val="auto"/>
        </w:rPr>
      </w:pPr>
      <w:r>
        <w:rPr>
          <w:rFonts w:ascii="Times New Roman" w:cs="Times New Roman" w:eastAsia="Times New Roman" w:hAnsi="Times New Roman"/>
          <w:sz w:val="12"/>
          <w:szCs w:val="12"/>
          <w:color w:val="auto"/>
        </w:rPr>
        <w:t>In addition, the undersigned acknowledges and agrees that the foregoing precludes the undersigned from engaging in any hedging or other transaction designed or intended, or which could reasonably be expected to lead to or result in, a sale or disposition of any shares of Common Stock, or any securities convertible into or exercisable or exchangeable for Common Stock, even if any such sale or disposition transaction or transactions would be made or executed by or on behalf of someone other than the undersigned.</w:t>
      </w:r>
    </w:p>
    <w:p>
      <w:pPr>
        <w:spacing w:after="0" w:line="117" w:lineRule="exact"/>
        <w:rPr>
          <w:sz w:val="20"/>
          <w:szCs w:val="20"/>
          <w:color w:val="auto"/>
        </w:rPr>
      </w:pPr>
    </w:p>
    <w:p>
      <w:pPr>
        <w:jc w:val="both"/>
        <w:ind w:left="7" w:firstLine="440"/>
        <w:spacing w:after="0" w:line="291" w:lineRule="auto"/>
        <w:rPr>
          <w:sz w:val="20"/>
          <w:szCs w:val="20"/>
          <w:color w:val="auto"/>
        </w:rPr>
      </w:pPr>
      <w:r>
        <w:rPr>
          <w:rFonts w:ascii="Times New Roman" w:cs="Times New Roman" w:eastAsia="Times New Roman" w:hAnsi="Times New Roman"/>
          <w:sz w:val="12"/>
          <w:szCs w:val="12"/>
          <w:color w:val="auto"/>
        </w:rPr>
        <w:t>[If the undersigned is an officer or director of the Company, the undersigned further agrees that the foregoing restrictions shall be equally applicable to any issuer-directed Shares the undersigned may purchase in the offering.]</w:t>
      </w:r>
      <w:r>
        <w:rPr>
          <w:rFonts w:ascii="Times New Roman" w:cs="Times New Roman" w:eastAsia="Times New Roman" w:hAnsi="Times New Roman"/>
          <w:sz w:val="20"/>
          <w:szCs w:val="20"/>
          <w:color w:val="auto"/>
          <w:vertAlign w:val="superscript"/>
        </w:rPr>
        <w:t>1</w:t>
      </w:r>
    </w:p>
    <w:p>
      <w:pPr>
        <w:spacing w:after="0" w:line="21" w:lineRule="exact"/>
        <w:rPr>
          <w:sz w:val="20"/>
          <w:szCs w:val="20"/>
          <w:color w:val="auto"/>
        </w:rPr>
      </w:pPr>
    </w:p>
    <w:p>
      <w:pPr>
        <w:jc w:val="both"/>
        <w:ind w:left="7" w:firstLine="440"/>
        <w:spacing w:after="0" w:line="267" w:lineRule="auto"/>
        <w:rPr>
          <w:sz w:val="20"/>
          <w:szCs w:val="20"/>
          <w:color w:val="auto"/>
        </w:rPr>
      </w:pPr>
      <w:r>
        <w:rPr>
          <w:rFonts w:ascii="Times New Roman" w:cs="Times New Roman" w:eastAsia="Times New Roman" w:hAnsi="Times New Roman"/>
          <w:sz w:val="12"/>
          <w:szCs w:val="12"/>
          <w:color w:val="auto"/>
        </w:rPr>
        <w:t>[If the undersigned is an officer or director of the Company, (i) Morgan Stanley agrees that, at least three business days before the effective date of any release or waiver of the foregoing restrictions in connection with a transfer of shares of Common Stock, Morgan Stanley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Morgan Stanley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agreement to the extent and for the duration that such terms remain in effect at the time of the transfer.]</w:t>
      </w:r>
      <w:r>
        <w:rPr>
          <w:rFonts w:ascii="Times New Roman" w:cs="Times New Roman" w:eastAsia="Times New Roman" w:hAnsi="Times New Roman"/>
          <w:sz w:val="20"/>
          <w:szCs w:val="20"/>
          <w:color w:val="auto"/>
          <w:vertAlign w:val="superscript"/>
        </w:rPr>
        <w:t>2</w:t>
      </w:r>
    </w:p>
    <w:p>
      <w:pPr>
        <w:spacing w:after="0" w:line="37" w:lineRule="exact"/>
        <w:rPr>
          <w:sz w:val="20"/>
          <w:szCs w:val="20"/>
          <w:color w:val="auto"/>
        </w:rPr>
      </w:pPr>
    </w:p>
    <w:p>
      <w:pPr>
        <w:jc w:val="both"/>
        <w:ind w:left="7" w:firstLine="440"/>
        <w:spacing w:after="0" w:line="263" w:lineRule="auto"/>
        <w:rPr>
          <w:sz w:val="20"/>
          <w:szCs w:val="20"/>
          <w:color w:val="auto"/>
        </w:rPr>
      </w:pPr>
      <w:r>
        <w:rPr>
          <w:rFonts w:ascii="Times New Roman" w:cs="Times New Roman" w:eastAsia="Times New Roman" w:hAnsi="Times New Roman"/>
          <w:sz w:val="12"/>
          <w:szCs w:val="12"/>
          <w:color w:val="auto"/>
        </w:rPr>
        <w:t>[If any record or beneficial owner of any securities of the Company is granted an early release from any restriction described herein during the Restricted Period with respect to an aggregate amount of securities of the Company in excess of one percent (1%) of the issued and outstanding Common Stock of the Company on an as-converted basis (whether in one or multiple releases), then each of the undersigned shall also be granted an early release from its obligations hereunder on a pro rata basis with all other record or beneficial holders of similarly restricted securities of the Company based on the maximum percentage of shares held by any such record or beneficial holder being released from such holder’s lock-up agreement; provided, however, that in the case of an early release from the restrictions described herein during the Restricted Period in connection with an underwritten public offering, whether or not such offering or sale is wholly or partially a secondary offering of Common Stock (an “Underwritten Sale”), such early release shall only apply with respect to such holder’s participation in such Underwritten Sale. Notwithstanding any other provisions of this agreement, if Morgan Stanley in its sole judgment determines that a record or beneficial owner of any securities should be granted an early release from a lock-up agreement due to circumstances of an emergency or hardship, then the undersigned shall not have any right to be granted an early release pursuant to the terms of this paragraph.]</w:t>
      </w:r>
      <w:r>
        <w:rPr>
          <w:rFonts w:ascii="Times New Roman" w:cs="Times New Roman" w:eastAsia="Times New Roman" w:hAnsi="Times New Roman"/>
          <w:sz w:val="20"/>
          <w:szCs w:val="20"/>
          <w:color w:val="auto"/>
          <w:vertAlign w:val="superscript"/>
        </w:rPr>
        <w:t>3</w:t>
      </w:r>
    </w:p>
    <w:p>
      <w:pPr>
        <w:spacing w:after="0" w:line="40" w:lineRule="exact"/>
        <w:rPr>
          <w:sz w:val="20"/>
          <w:szCs w:val="20"/>
          <w:color w:val="auto"/>
        </w:rPr>
      </w:pPr>
    </w:p>
    <w:p>
      <w:pPr>
        <w:jc w:val="both"/>
        <w:ind w:left="7" w:right="20" w:firstLine="440"/>
        <w:spacing w:after="0" w:line="291" w:lineRule="auto"/>
        <w:rPr>
          <w:sz w:val="20"/>
          <w:szCs w:val="20"/>
          <w:color w:val="auto"/>
        </w:rPr>
      </w:pPr>
      <w:r>
        <w:rPr>
          <w:rFonts w:ascii="Times New Roman" w:cs="Times New Roman" w:eastAsia="Times New Roman" w:hAnsi="Times New Roman"/>
          <w:sz w:val="12"/>
          <w:szCs w:val="12"/>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1797050" cy="571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3">
                      <a:extLst>
                        <a:ext uri="{28A0092B-C50C-407E-A947-70E740481C1C}"/>
                      </a:extLst>
                    </a:blip>
                    <a:srcRect/>
                    <a:stretch>
                      <a:fillRect/>
                    </a:stretch>
                  </pic:blipFill>
                  <pic:spPr bwMode="auto">
                    <a:xfrm>
                      <a:off x="0" y="0"/>
                      <a:ext cx="1797050" cy="5715"/>
                    </a:xfrm>
                    <a:prstGeom prst="rect">
                      <a:avLst/>
                    </a:prstGeom>
                    <a:noFill/>
                  </pic:spPr>
                </pic:pic>
              </a:graphicData>
            </a:graphic>
          </wp:anchor>
        </w:drawing>
      </w:r>
    </w:p>
    <w:p>
      <w:pPr>
        <w:spacing w:after="0" w:line="60" w:lineRule="exact"/>
        <w:rPr>
          <w:sz w:val="20"/>
          <w:szCs w:val="20"/>
          <w:color w:val="auto"/>
        </w:rPr>
      </w:pPr>
    </w:p>
    <w:p>
      <w:pPr>
        <w:ind w:left="87" w:hanging="87"/>
        <w:spacing w:after="0"/>
        <w:tabs>
          <w:tab w:leader="none" w:pos="87" w:val="left"/>
        </w:tabs>
        <w:numPr>
          <w:ilvl w:val="0"/>
          <w:numId w:val="16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Insert if the undersigned is an executive officer or director of the Company.</w:t>
      </w:r>
    </w:p>
    <w:p>
      <w:pPr>
        <w:spacing w:after="0" w:line="91" w:lineRule="exact"/>
        <w:rPr>
          <w:sz w:val="20"/>
          <w:szCs w:val="20"/>
          <w:color w:val="auto"/>
        </w:rPr>
      </w:pPr>
    </w:p>
    <w:p>
      <w:pPr>
        <w:ind w:left="87" w:hanging="87"/>
        <w:spacing w:after="0"/>
        <w:tabs>
          <w:tab w:leader="none" w:pos="87" w:val="left"/>
        </w:tabs>
        <w:numPr>
          <w:ilvl w:val="0"/>
          <w:numId w:val="16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Insert if the undersigned is an executive officer or director of the Company.</w:t>
      </w:r>
    </w:p>
    <w:p>
      <w:pPr>
        <w:spacing w:after="0" w:line="91" w:lineRule="exact"/>
        <w:rPr>
          <w:sz w:val="20"/>
          <w:szCs w:val="20"/>
          <w:color w:val="auto"/>
        </w:rPr>
      </w:pPr>
    </w:p>
    <w:p>
      <w:pPr>
        <w:ind w:left="87" w:hanging="87"/>
        <w:spacing w:after="0"/>
        <w:tabs>
          <w:tab w:leader="none" w:pos="87" w:val="left"/>
        </w:tabs>
        <w:numPr>
          <w:ilvl w:val="0"/>
          <w:numId w:val="16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Include in fund form only.</w:t>
      </w:r>
    </w:p>
    <w:p>
      <w:pPr>
        <w:spacing w:after="0" w:line="28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76135" cy="571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4">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310" w:name="page311"/>
    <w:bookmarkEnd w:id="310"/>
    <w:p>
      <w:pPr>
        <w:jc w:val="both"/>
        <w:ind w:left="7" w:firstLine="440"/>
        <w:spacing w:after="0" w:line="263" w:lineRule="auto"/>
        <w:rPr>
          <w:sz w:val="20"/>
          <w:szCs w:val="20"/>
          <w:color w:val="auto"/>
        </w:rPr>
      </w:pPr>
      <w:r>
        <w:rPr>
          <w:rFonts w:ascii="Times New Roman" w:cs="Times New Roman" w:eastAsia="Times New Roman" w:hAnsi="Times New Roman"/>
          <w:sz w:val="12"/>
          <w:szCs w:val="12"/>
          <w:color w:val="auto"/>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w:t>
      </w:r>
    </w:p>
    <w:p>
      <w:pPr>
        <w:spacing w:after="0" w:line="123" w:lineRule="exact"/>
        <w:rPr>
          <w:sz w:val="20"/>
          <w:szCs w:val="20"/>
          <w:color w:val="auto"/>
        </w:rPr>
      </w:pPr>
    </w:p>
    <w:p>
      <w:pPr>
        <w:jc w:val="both"/>
        <w:ind w:left="7" w:firstLine="440"/>
        <w:spacing w:after="0" w:line="263" w:lineRule="auto"/>
        <w:rPr>
          <w:sz w:val="20"/>
          <w:szCs w:val="20"/>
          <w:color w:val="auto"/>
        </w:rPr>
      </w:pPr>
      <w:r>
        <w:rPr>
          <w:rFonts w:ascii="Times New Roman" w:cs="Times New Roman" w:eastAsia="Times New Roman" w:hAnsi="Times New Roman"/>
          <w:sz w:val="12"/>
          <w:szCs w:val="12"/>
          <w:color w:val="auto"/>
        </w:rPr>
        <w:t>This Lock-Up Agreement shall automatically terminate and the undersigned shall be released from all of his, her or its obligations hereunder upon the earlier of (i) the date on which the Registration Statement filed with the SEC with respect to the Public Offering is withdrawn, (ii) the date on which for any reason the Underwriting Agreement is terminated (other than the provisions thereof that survive termination) prior to payment for and delivery of the Shares to be sold thereunder (other than pursuant to the Underwriters’ option thereunder to purchase additional Shares), (iii) the date on which the Company notifies the Representatives, in writing and prior to the execution of the Underwriting Agreement, that it does not intend to proceed with the Public Offering and (iv) October 31, 2024, in the event that the Underwriting Agreement has not been executed by such date (provided, however, that the Company may, by written notice to the undersigned prior to such date, extend such date by a period of up to an additional 90 days).</w:t>
      </w:r>
    </w:p>
    <w:p>
      <w:pPr>
        <w:spacing w:after="0" w:line="123" w:lineRule="exact"/>
        <w:rPr>
          <w:sz w:val="20"/>
          <w:szCs w:val="20"/>
          <w:color w:val="auto"/>
        </w:rPr>
      </w:pPr>
    </w:p>
    <w:p>
      <w:pPr>
        <w:jc w:val="both"/>
        <w:ind w:left="7" w:right="20" w:firstLine="440"/>
        <w:spacing w:after="0" w:line="291" w:lineRule="auto"/>
        <w:rPr>
          <w:sz w:val="20"/>
          <w:szCs w:val="20"/>
          <w:color w:val="auto"/>
        </w:rPr>
      </w:pPr>
      <w:r>
        <w:rPr>
          <w:rFonts w:ascii="Times New Roman" w:cs="Times New Roman" w:eastAsia="Times New Roman" w:hAnsi="Times New Roman"/>
          <w:sz w:val="12"/>
          <w:szCs w:val="12"/>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05"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12"/>
          <w:szCs w:val="12"/>
          <w:color w:val="auto"/>
        </w:rPr>
        <w:t>This agreement shall be governed by and construed in accordance with the laws of the State of New York.</w:t>
      </w:r>
    </w:p>
    <w:p>
      <w:pPr>
        <w:spacing w:after="0" w:line="155" w:lineRule="exact"/>
        <w:rPr>
          <w:sz w:val="20"/>
          <w:szCs w:val="20"/>
          <w:color w:val="auto"/>
        </w:rPr>
      </w:pPr>
    </w:p>
    <w:p>
      <w:pPr>
        <w:ind w:left="5647"/>
        <w:spacing w:after="0"/>
        <w:rPr>
          <w:sz w:val="20"/>
          <w:szCs w:val="20"/>
          <w:color w:val="auto"/>
        </w:rPr>
      </w:pPr>
      <w:r>
        <w:rPr>
          <w:rFonts w:ascii="Times New Roman" w:cs="Times New Roman" w:eastAsia="Times New Roman" w:hAnsi="Times New Roman"/>
          <w:sz w:val="12"/>
          <w:szCs w:val="12"/>
          <w:color w:val="auto"/>
        </w:rPr>
        <w:t>Very truly yours,</w:t>
      </w:r>
    </w:p>
    <w:p>
      <w:pPr>
        <w:spacing w:after="0" w:line="31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199390</wp:posOffset>
            </wp:positionV>
            <wp:extent cx="3588385" cy="571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5">
                      <a:extLst>
                        <a:ext uri="{28A0092B-C50C-407E-A947-70E740481C1C}"/>
                      </a:extLst>
                    </a:blip>
                    <a:srcRect/>
                    <a:stretch>
                      <a:fillRect/>
                    </a:stretch>
                  </pic:blipFill>
                  <pic:spPr bwMode="auto">
                    <a:xfrm>
                      <a:off x="0" y="0"/>
                      <a:ext cx="3588385"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-84455</wp:posOffset>
            </wp:positionV>
            <wp:extent cx="3588385" cy="571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6">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95"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(Address)</w:t>
      </w:r>
      <w:r>
        <w:rPr>
          <w:rFonts w:ascii="Times New Roman" w:cs="Times New Roman" w:eastAsia="Times New Roman" w:hAnsi="Times New Roman"/>
          <w:sz w:val="20"/>
          <w:szCs w:val="20"/>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1797050" cy="571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7">
                      <a:extLst>
                        <a:ext uri="{28A0092B-C50C-407E-A947-70E740481C1C}"/>
                      </a:extLst>
                    </a:blip>
                    <a:srcRect/>
                    <a:stretch>
                      <a:fillRect/>
                    </a:stretch>
                  </pic:blipFill>
                  <pic:spPr bwMode="auto">
                    <a:xfrm>
                      <a:off x="0" y="0"/>
                      <a:ext cx="1797050" cy="5715"/>
                    </a:xfrm>
                    <a:prstGeom prst="rect">
                      <a:avLst/>
                    </a:prstGeom>
                    <a:noFill/>
                  </pic:spPr>
                </pic:pic>
              </a:graphicData>
            </a:graphic>
          </wp:anchor>
        </w:drawing>
      </w:r>
    </w:p>
    <w:p>
      <w:pPr>
        <w:spacing w:after="0" w:line="41" w:lineRule="exact"/>
        <w:rPr>
          <w:sz w:val="20"/>
          <w:szCs w:val="20"/>
          <w:color w:val="auto"/>
        </w:rPr>
      </w:pPr>
    </w:p>
    <w:p>
      <w:pPr>
        <w:ind w:left="87" w:hanging="87"/>
        <w:spacing w:after="0"/>
        <w:tabs>
          <w:tab w:leader="none" w:pos="87" w:val="left"/>
        </w:tabs>
        <w:numPr>
          <w:ilvl w:val="0"/>
          <w:numId w:val="16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Modify signature block for legal entities.</w:t>
      </w:r>
    </w:p>
    <w:p>
      <w:pPr>
        <w:spacing w:after="0" w:line="28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76135" cy="571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8">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311" w:name="page312"/>
    <w:bookmarkEnd w:id="311"/>
    <w:p>
      <w:pPr>
        <w:jc w:val="right"/>
        <w:spacing w:after="0"/>
        <w:rPr>
          <w:sz w:val="20"/>
          <w:szCs w:val="20"/>
          <w:color w:val="auto"/>
        </w:rPr>
      </w:pPr>
      <w:r>
        <w:rPr>
          <w:rFonts w:ascii="Times New Roman" w:cs="Times New Roman" w:eastAsia="Times New Roman" w:hAnsi="Times New Roman"/>
          <w:sz w:val="12"/>
          <w:szCs w:val="12"/>
          <w:b w:val="1"/>
          <w:bCs w:val="1"/>
          <w:color w:val="auto"/>
        </w:rPr>
        <w:t>EXHIBIT B</w:t>
      </w:r>
    </w:p>
    <w:p>
      <w:pPr>
        <w:spacing w:after="0" w:line="15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2"/>
          <w:szCs w:val="12"/>
          <w:b w:val="1"/>
          <w:bCs w:val="1"/>
          <w:color w:val="auto"/>
        </w:rPr>
        <w:t>FORM OF WAIVER OF LOCK-UP</w:t>
      </w:r>
    </w:p>
    <w:p>
      <w:pPr>
        <w:spacing w:after="0" w:line="15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color w:val="auto"/>
        </w:rPr>
        <w:t>_____________,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and Address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Officer or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Requesting Waiver]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Dear Mr./Ms. [Name]:</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This letter is being delivered to Morgan Stanley &amp; Co. LLC (“</w:t>
      </w:r>
      <w:r>
        <w:rPr>
          <w:rFonts w:ascii="Times New Roman" w:cs="Times New Roman" w:eastAsia="Times New Roman" w:hAnsi="Times New Roman"/>
          <w:sz w:val="12"/>
          <w:szCs w:val="12"/>
          <w:b w:val="1"/>
          <w:bCs w:val="1"/>
          <w:color w:val="auto"/>
        </w:rPr>
        <w:t>Morgan Stanley</w:t>
      </w:r>
      <w:r>
        <w:rPr>
          <w:rFonts w:ascii="Times New Roman" w:cs="Times New Roman" w:eastAsia="Times New Roman" w:hAnsi="Times New Roman"/>
          <w:sz w:val="12"/>
          <w:szCs w:val="12"/>
          <w:color w:val="auto"/>
        </w:rPr>
        <w:t>”) in connection with the offering by Alumis Inc.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of _____ shares of common stock, $0.0001 par value per share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Common Stock</w:t>
      </w:r>
      <w:r>
        <w:rPr>
          <w:rFonts w:ascii="Times New Roman" w:cs="Times New Roman" w:eastAsia="Times New Roman" w:hAnsi="Times New Roman"/>
          <w:sz w:val="12"/>
          <w:szCs w:val="12"/>
          <w:color w:val="auto"/>
        </w:rPr>
        <w:t>”), of the Company and the lock-up agreement dated ____, 2024 (the “</w:t>
      </w:r>
      <w:r>
        <w:rPr>
          <w:rFonts w:ascii="Times New Roman" w:cs="Times New Roman" w:eastAsia="Times New Roman" w:hAnsi="Times New Roman"/>
          <w:sz w:val="12"/>
          <w:szCs w:val="12"/>
          <w:b w:val="1"/>
          <w:bCs w:val="1"/>
          <w:color w:val="auto"/>
        </w:rPr>
        <w:t>Lock-up Agreement</w:t>
      </w:r>
      <w:r>
        <w:rPr>
          <w:rFonts w:ascii="Times New Roman" w:cs="Times New Roman" w:eastAsia="Times New Roman" w:hAnsi="Times New Roman"/>
          <w:sz w:val="12"/>
          <w:szCs w:val="12"/>
          <w:color w:val="auto"/>
        </w:rPr>
        <w:t>”), executed by you in connection with such offering, and your request for a [waiver] [release] dated ____, 2024,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respect to ____ shares of Common Stock (the “</w:t>
      </w: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2"/>
          <w:szCs w:val="12"/>
          <w:color w:val="auto"/>
        </w:rPr>
        <w:t>”).</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Morgan Stanley hereby agrees to [waive] [release] the transfer restrictions set forth in the Lock-up Agreement, but only with respect to the Shares, effective _____, 20__; provided, however, that such [waiver] [release] is</w:t>
      </w:r>
    </w:p>
    <w:p>
      <w:pPr>
        <w:spacing w:after="0" w:line="2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2"/>
          <w:szCs w:val="12"/>
          <w:color w:val="auto"/>
        </w:rPr>
        <w:t>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Except as expressly [waived] [released] hereby, the Lock-up Agreement shall remain in full force and effect.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 on following page]</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9">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12" w:name="page313"/>
    <w:bookmarkEnd w:id="312"/>
    <w:p>
      <w:pPr>
        <w:ind w:left="5640"/>
        <w:spacing w:after="0"/>
        <w:rPr>
          <w:sz w:val="20"/>
          <w:szCs w:val="20"/>
          <w:color w:val="auto"/>
        </w:rPr>
      </w:pPr>
      <w:r>
        <w:rPr>
          <w:rFonts w:ascii="Times New Roman" w:cs="Times New Roman" w:eastAsia="Times New Roman" w:hAnsi="Times New Roman"/>
          <w:sz w:val="12"/>
          <w:szCs w:val="12"/>
          <w:color w:val="auto"/>
        </w:rPr>
        <w:t>Very truly yours,</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Morgan Stanley &amp; Co. LLC</w:t>
      </w:r>
    </w:p>
    <w:p>
      <w:pPr>
        <w:spacing w:after="0" w:line="192" w:lineRule="exact"/>
        <w:rPr>
          <w:sz w:val="20"/>
          <w:szCs w:val="20"/>
          <w:color w:val="auto"/>
        </w:rPr>
      </w:pPr>
    </w:p>
    <w:p>
      <w:pPr>
        <w:jc w:val="right"/>
        <w:ind w:right="179"/>
        <w:spacing w:after="0"/>
        <w:rPr>
          <w:sz w:val="20"/>
          <w:szCs w:val="20"/>
          <w:color w:val="auto"/>
        </w:rPr>
      </w:pPr>
      <w:r>
        <w:rPr>
          <w:rFonts w:ascii="Times New Roman" w:cs="Times New Roman" w:eastAsia="Times New Roman" w:hAnsi="Times New Roman"/>
          <w:sz w:val="12"/>
          <w:szCs w:val="12"/>
          <w:color w:val="auto"/>
        </w:rPr>
        <w:t>Acting on behalf of themselves and the several Underwriters named in Schedule I hereto</w:t>
      </w:r>
    </w:p>
    <w:p>
      <w:pPr>
        <w:spacing w:after="0" w:line="17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2"/>
          <w:szCs w:val="12"/>
          <w:color w:val="auto"/>
        </w:rPr>
        <w:t>Morgan Stanley &amp; Co. LLC</w:t>
      </w:r>
    </w:p>
    <w:p>
      <w:pPr>
        <w:spacing w:after="0" w:line="173" w:lineRule="exact"/>
        <w:rPr>
          <w:sz w:val="20"/>
          <w:szCs w:val="20"/>
          <w:color w:val="auto"/>
        </w:rPr>
      </w:pPr>
    </w:p>
    <w:p>
      <w:pPr>
        <w:ind w:left="5660"/>
        <w:spacing w:after="0"/>
        <w:tabs>
          <w:tab w:leader="none" w:pos="5980" w:val="left"/>
        </w:tabs>
        <w:rPr>
          <w:sz w:val="20"/>
          <w:szCs w:val="20"/>
          <w:color w:val="auto"/>
        </w:rPr>
      </w:pPr>
      <w:r>
        <w:rPr>
          <w:rFonts w:ascii="Times New Roman" w:cs="Times New Roman" w:eastAsia="Times New Roman" w:hAnsi="Times New Roman"/>
          <w:sz w:val="12"/>
          <w:szCs w:val="12"/>
          <w:color w:val="auto"/>
        </w:rPr>
        <w:t>By:</w:t>
        <w:tab/>
        <w:t>                                        </w:t>
      </w:r>
    </w:p>
    <w:p>
      <w:pPr>
        <w:spacing w:after="0" w:line="21" w:lineRule="exact"/>
        <w:rPr>
          <w:sz w:val="20"/>
          <w:szCs w:val="20"/>
          <w:color w:val="auto"/>
        </w:rPr>
      </w:pPr>
    </w:p>
    <w:p>
      <w:pPr>
        <w:ind w:left="6000"/>
        <w:spacing w:after="0"/>
        <w:tabs>
          <w:tab w:leader="none" w:pos="65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3804920</wp:posOffset>
            </wp:positionH>
            <wp:positionV relativeFrom="paragraph">
              <wp:posOffset>-86360</wp:posOffset>
            </wp:positionV>
            <wp:extent cx="3367405" cy="571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0">
                      <a:extLst>
                        <a:ext uri="{28A0092B-C50C-407E-A947-70E740481C1C}"/>
                      </a:extLst>
                    </a:blip>
                    <a:srcRect/>
                    <a:stretch>
                      <a:fillRect/>
                    </a:stretch>
                  </pic:blipFill>
                  <pic:spPr bwMode="auto">
                    <a:xfrm>
                      <a:off x="0" y="0"/>
                      <a:ext cx="3367405" cy="5715"/>
                    </a:xfrm>
                    <a:prstGeom prst="rect">
                      <a:avLst/>
                    </a:prstGeom>
                    <a:noFill/>
                  </pic:spPr>
                </pic:pic>
              </a:graphicData>
            </a:graphic>
          </wp:anchor>
        </w:drawing>
      </w:r>
    </w:p>
    <w:p>
      <w:pPr>
        <w:ind w:left="6000"/>
        <w:spacing w:after="0"/>
        <w:tabs>
          <w:tab w:leader="none" w:pos="654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                                        </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cc: Company</w:t>
      </w:r>
    </w:p>
    <w:p>
      <w:pPr>
        <w:spacing w:after="0" w:line="30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1">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0159"/>
          </w:cols>
          <w:pgMar w:left="300" w:top="658" w:right="1440" w:bottom="1440" w:gutter="0" w:footer="0" w:header="0"/>
        </w:sectPr>
      </w:pPr>
    </w:p>
    <w:bookmarkStart w:id="313" w:name="page314"/>
    <w:bookmarkEnd w:id="313"/>
    <w:p>
      <w:pPr>
        <w:jc w:val="center"/>
        <w:spacing w:after="0"/>
        <w:rPr>
          <w:sz w:val="20"/>
          <w:szCs w:val="20"/>
          <w:color w:val="auto"/>
        </w:rPr>
      </w:pPr>
      <w:r>
        <w:rPr>
          <w:rFonts w:ascii="Times New Roman" w:cs="Times New Roman" w:eastAsia="Times New Roman" w:hAnsi="Times New Roman"/>
          <w:sz w:val="12"/>
          <w:szCs w:val="12"/>
          <w:b w:val="1"/>
          <w:bCs w:val="1"/>
          <w:color w:val="auto"/>
        </w:rPr>
        <w:t>FORM OF PRESS RELEASE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Alumis Inc.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Alumis Inc.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announced today that Morgan Stanley &amp; Co. LLC, a book-running manager in the Company’s recent public sale of _____ shares of its common stock is [waiving][releasing] a lock-up restriction with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respect to ____ shares of the Company’s common stock held by [certain officers or directors] [an officer or director] of the Company. The [waiver][release] will take effect on ____, 2024, and the shares may be sold on or after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w:t>
      </w:r>
    </w:p>
    <w:p>
      <w:pPr>
        <w:spacing w:after="0" w:line="141"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2"/>
          <w:szCs w:val="12"/>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2">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CERTIFICATE OF AMENDMENT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Alumis Inc. (the “</w:t>
      </w:r>
      <w:r>
        <w:rPr>
          <w:rFonts w:ascii="Times New Roman" w:cs="Times New Roman" w:eastAsia="Times New Roman" w:hAnsi="Times New Roman"/>
          <w:sz w:val="12"/>
          <w:szCs w:val="12"/>
          <w:b w:val="1"/>
          <w:bCs w:val="1"/>
          <w:i w:val="1"/>
          <w:iCs w:val="1"/>
          <w:color w:val="auto"/>
        </w:rPr>
        <w:t>Corporation</w:t>
      </w:r>
      <w:r>
        <w:rPr>
          <w:rFonts w:ascii="Times New Roman" w:cs="Times New Roman" w:eastAsia="Times New Roman" w:hAnsi="Times New Roman"/>
          <w:sz w:val="12"/>
          <w:szCs w:val="12"/>
          <w:color w:val="auto"/>
        </w:rPr>
        <w:t>”), a corporation organized and existing under and by virtue of the General Corporation Law of the State of Delaware (the “</w:t>
      </w:r>
      <w:r>
        <w:rPr>
          <w:rFonts w:ascii="Times New Roman" w:cs="Times New Roman" w:eastAsia="Times New Roman" w:hAnsi="Times New Roman"/>
          <w:sz w:val="12"/>
          <w:szCs w:val="12"/>
          <w:b w:val="1"/>
          <w:bCs w:val="1"/>
          <w:i w:val="1"/>
          <w:iCs w:val="1"/>
          <w:color w:val="auto"/>
        </w:rPr>
        <w:t>General Corporation Law</w:t>
      </w:r>
      <w:r>
        <w:rPr>
          <w:rFonts w:ascii="Times New Roman" w:cs="Times New Roman" w:eastAsia="Times New Roman" w:hAnsi="Times New Roman"/>
          <w:sz w:val="12"/>
          <w:szCs w:val="12"/>
          <w:color w:val="auto"/>
        </w:rPr>
        <w:t>”), does hereby certify that:</w:t>
      </w:r>
    </w:p>
    <w:p>
      <w:pPr>
        <w:spacing w:after="0" w:line="155" w:lineRule="exact"/>
        <w:rPr>
          <w:sz w:val="20"/>
          <w:szCs w:val="20"/>
          <w:color w:val="auto"/>
        </w:rPr>
      </w:pPr>
    </w:p>
    <w:p>
      <w:pPr>
        <w:ind w:firstLine="440"/>
        <w:spacing w:after="0" w:line="294" w:lineRule="auto"/>
        <w:rPr>
          <w:sz w:val="20"/>
          <w:szCs w:val="20"/>
          <w:color w:val="auto"/>
        </w:rPr>
      </w:pPr>
      <w:r>
        <w:rPr>
          <w:rFonts w:ascii="Times New Roman" w:cs="Times New Roman" w:eastAsia="Times New Roman" w:hAnsi="Times New Roman"/>
          <w:sz w:val="12"/>
          <w:szCs w:val="12"/>
          <w:b w:val="1"/>
          <w:bCs w:val="1"/>
          <w:color w:val="040404"/>
        </w:rPr>
        <w:t xml:space="preserve">FIRST: </w:t>
      </w:r>
      <w:r>
        <w:rPr>
          <w:rFonts w:ascii="Times New Roman" w:cs="Times New Roman" w:eastAsia="Times New Roman" w:hAnsi="Times New Roman"/>
          <w:sz w:val="12"/>
          <w:szCs w:val="12"/>
          <w:color w:val="040404"/>
        </w:rPr>
        <w:t>The name of the Corporation is Alumis Inc. The Certificate of incorporation of the Corporation was originally filed with the Secretary of State of the State of Delaware on January 29, 2021 under the name</w:t>
      </w:r>
      <w:r>
        <w:rPr>
          <w:rFonts w:ascii="Times New Roman" w:cs="Times New Roman" w:eastAsia="Times New Roman" w:hAnsi="Times New Roman"/>
          <w:sz w:val="12"/>
          <w:szCs w:val="12"/>
          <w:b w:val="1"/>
          <w:bCs w:val="1"/>
          <w:color w:val="040404"/>
        </w:rPr>
        <w:t xml:space="preserve"> </w:t>
      </w:r>
      <w:r>
        <w:rPr>
          <w:rFonts w:ascii="Times New Roman" w:cs="Times New Roman" w:eastAsia="Times New Roman" w:hAnsi="Times New Roman"/>
          <w:sz w:val="12"/>
          <w:szCs w:val="12"/>
          <w:color w:val="040404"/>
        </w:rPr>
        <w:t>“FL2021-001, Inc.” An Amended and Restated Certificate of Incorporation of the Corporation was filed with the Secretary of State of the State of Delaware on March 1, 2024 (the “</w:t>
      </w:r>
      <w:r>
        <w:rPr>
          <w:rFonts w:ascii="Times New Roman" w:cs="Times New Roman" w:eastAsia="Times New Roman" w:hAnsi="Times New Roman"/>
          <w:sz w:val="12"/>
          <w:szCs w:val="12"/>
          <w:b w:val="1"/>
          <w:bCs w:val="1"/>
          <w:i w:val="1"/>
          <w:iCs w:val="1"/>
          <w:color w:val="040404"/>
        </w:rPr>
        <w:t>Restated Certificate</w:t>
      </w:r>
      <w:r>
        <w:rPr>
          <w:rFonts w:ascii="Times New Roman" w:cs="Times New Roman" w:eastAsia="Times New Roman" w:hAnsi="Times New Roman"/>
          <w:sz w:val="12"/>
          <w:szCs w:val="12"/>
          <w:color w:val="040404"/>
        </w:rPr>
        <w:t>”).</w:t>
      </w:r>
    </w:p>
    <w:p>
      <w:pPr>
        <w:spacing w:after="0" w:line="102" w:lineRule="exact"/>
        <w:rPr>
          <w:sz w:val="20"/>
          <w:szCs w:val="20"/>
          <w:color w:val="auto"/>
        </w:rPr>
      </w:pPr>
    </w:p>
    <w:p>
      <w:pPr>
        <w:ind w:firstLine="440"/>
        <w:spacing w:after="0" w:line="294" w:lineRule="auto"/>
        <w:rPr>
          <w:sz w:val="20"/>
          <w:szCs w:val="20"/>
          <w:color w:val="auto"/>
        </w:rPr>
      </w:pPr>
      <w:r>
        <w:rPr>
          <w:rFonts w:ascii="Times New Roman" w:cs="Times New Roman" w:eastAsia="Times New Roman" w:hAnsi="Times New Roman"/>
          <w:sz w:val="12"/>
          <w:szCs w:val="12"/>
          <w:b w:val="1"/>
          <w:bCs w:val="1"/>
          <w:color w:val="050505"/>
        </w:rPr>
        <w:t xml:space="preserve">SECOND: </w:t>
      </w:r>
      <w:r>
        <w:rPr>
          <w:rFonts w:ascii="Times New Roman" w:cs="Times New Roman" w:eastAsia="Times New Roman" w:hAnsi="Times New Roman"/>
          <w:sz w:val="12"/>
          <w:szCs w:val="12"/>
          <w:color w:val="050505"/>
        </w:rPr>
        <w:t>That the Board of Directors of the Corporation duly adopted resolutions approving this Certificate of Amendment to the Restated Certificate, declaring said amendment to be advisable and in the best interests of</w:t>
      </w:r>
      <w:r>
        <w:rPr>
          <w:rFonts w:ascii="Times New Roman" w:cs="Times New Roman" w:eastAsia="Times New Roman" w:hAnsi="Times New Roman"/>
          <w:sz w:val="12"/>
          <w:szCs w:val="12"/>
          <w:b w:val="1"/>
          <w:bCs w:val="1"/>
          <w:color w:val="050505"/>
        </w:rPr>
        <w:t xml:space="preserve"> </w:t>
      </w:r>
      <w:r>
        <w:rPr>
          <w:rFonts w:ascii="Times New Roman" w:cs="Times New Roman" w:eastAsia="Times New Roman" w:hAnsi="Times New Roman"/>
          <w:sz w:val="12"/>
          <w:szCs w:val="12"/>
          <w:color w:val="050505"/>
        </w:rPr>
        <w:t>the Corporation and its stockholders, and authorizing the appropriate officers of the Corporation to solicit the consent of the stockholders therefor.</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050505"/>
        </w:rPr>
        <w:t xml:space="preserve">THIRD: </w:t>
      </w:r>
      <w:r>
        <w:rPr>
          <w:rFonts w:ascii="Times New Roman" w:cs="Times New Roman" w:eastAsia="Times New Roman" w:hAnsi="Times New Roman"/>
          <w:sz w:val="12"/>
          <w:szCs w:val="12"/>
          <w:color w:val="050505"/>
        </w:rPr>
        <w:t>The following is hereby inserted into Article FOURTH of the Restated</w:t>
      </w:r>
      <w:r>
        <w:rPr>
          <w:rFonts w:ascii="Times New Roman" w:cs="Times New Roman" w:eastAsia="Times New Roman" w:hAnsi="Times New Roman"/>
          <w:sz w:val="12"/>
          <w:szCs w:val="12"/>
          <w:b w:val="1"/>
          <w:bCs w:val="1"/>
          <w:color w:val="050505"/>
        </w:rPr>
        <w:t xml:space="preserve"> </w:t>
      </w:r>
      <w:r>
        <w:rPr>
          <w:rFonts w:ascii="Times New Roman" w:cs="Times New Roman" w:eastAsia="Times New Roman" w:hAnsi="Times New Roman"/>
          <w:sz w:val="12"/>
          <w:szCs w:val="12"/>
          <w:color w:val="060606"/>
        </w:rPr>
        <w:t>Certificate immediately after the second sentence therein:</w:t>
      </w:r>
    </w:p>
    <w:p>
      <w:pPr>
        <w:spacing w:after="0" w:line="157" w:lineRule="exact"/>
        <w:rPr>
          <w:sz w:val="20"/>
          <w:szCs w:val="20"/>
          <w:color w:val="auto"/>
        </w:rPr>
      </w:pPr>
    </w:p>
    <w:p>
      <w:pPr>
        <w:jc w:val="both"/>
        <w:ind w:left="220" w:firstLine="220"/>
        <w:spacing w:after="0" w:line="262" w:lineRule="auto"/>
        <w:rPr>
          <w:sz w:val="20"/>
          <w:szCs w:val="20"/>
          <w:color w:val="auto"/>
        </w:rPr>
      </w:pPr>
      <w:r>
        <w:rPr>
          <w:rFonts w:ascii="Times New Roman" w:cs="Times New Roman" w:eastAsia="Times New Roman" w:hAnsi="Times New Roman"/>
          <w:sz w:val="12"/>
          <w:szCs w:val="12"/>
          <w:color w:val="auto"/>
        </w:rPr>
        <w:t>“Effective at the time this Certificate of Amendment to the Restated Certificate is filed with and accepted by the Secretary of State of the State of Delaware, every 4.675 shares of Common Stock shall, automatically and without any action on the part of the Corporation or the respective holders thereof, be converted into one share of Common Stock, without increasing or decreasing the par value of each share of Common Stock (the “</w:t>
      </w:r>
      <w:r>
        <w:rPr>
          <w:rFonts w:ascii="Times New Roman" w:cs="Times New Roman" w:eastAsia="Times New Roman" w:hAnsi="Times New Roman"/>
          <w:sz w:val="12"/>
          <w:szCs w:val="12"/>
          <w:b w:val="1"/>
          <w:bCs w:val="1"/>
          <w:i w:val="1"/>
          <w:iCs w:val="1"/>
          <w:color w:val="auto"/>
        </w:rPr>
        <w:t>Reverse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Split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the Corporation shall issue no fractional shares of Common Stock as a result of the Reverse Split, but shall instead pay to any stockholder who would be entitled to receive a fractional share as a</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result of the actions set forth herein a sum in cash equal to the fair market value of the shares constituting such fractional share as determined by the Board of Directors of the Corporation. The number of authorized shares of Common Stock of the Corporation shall remain as set forth in this Restated Certificate. The Reverse Split shall occur whether or not the certificates representing such shares of Common Stock are surrendered to the Corporation or its transfer agent. The Reverse Split shall be effected on a certificate-by-certificate basis and each certificate share number will then be rounded down.”</w:t>
      </w:r>
    </w:p>
    <w:p>
      <w:pPr>
        <w:spacing w:after="0" w:line="120" w:lineRule="exact"/>
        <w:rPr>
          <w:sz w:val="20"/>
          <w:szCs w:val="20"/>
          <w:color w:val="auto"/>
        </w:rPr>
      </w:pPr>
    </w:p>
    <w:p>
      <w:pPr>
        <w:ind w:firstLine="440"/>
        <w:spacing w:after="0" w:line="294" w:lineRule="auto"/>
        <w:rPr>
          <w:sz w:val="20"/>
          <w:szCs w:val="20"/>
          <w:color w:val="auto"/>
        </w:rPr>
      </w:pPr>
      <w:r>
        <w:rPr>
          <w:rFonts w:ascii="Times New Roman" w:cs="Times New Roman" w:eastAsia="Times New Roman" w:hAnsi="Times New Roman"/>
          <w:sz w:val="12"/>
          <w:szCs w:val="12"/>
          <w:b w:val="1"/>
          <w:bCs w:val="1"/>
          <w:color w:val="050505"/>
        </w:rPr>
        <w:t xml:space="preserve">FOURTH: </w:t>
      </w:r>
      <w:r>
        <w:rPr>
          <w:rFonts w:ascii="Times New Roman" w:cs="Times New Roman" w:eastAsia="Times New Roman" w:hAnsi="Times New Roman"/>
          <w:sz w:val="12"/>
          <w:szCs w:val="12"/>
          <w:color w:val="050505"/>
        </w:rPr>
        <w:t>This Certificate of Amendment to the Restated Certificate was approved by the holders of the requisite number of shares of the Corporation in accordance with Section 228 of the General Corporation Law. This</w:t>
      </w:r>
      <w:r>
        <w:rPr>
          <w:rFonts w:ascii="Times New Roman" w:cs="Times New Roman" w:eastAsia="Times New Roman" w:hAnsi="Times New Roman"/>
          <w:sz w:val="12"/>
          <w:szCs w:val="12"/>
          <w:b w:val="1"/>
          <w:bCs w:val="1"/>
          <w:color w:val="050505"/>
        </w:rPr>
        <w:t xml:space="preserve"> </w:t>
      </w:r>
      <w:r>
        <w:rPr>
          <w:rFonts w:ascii="Times New Roman" w:cs="Times New Roman" w:eastAsia="Times New Roman" w:hAnsi="Times New Roman"/>
          <w:sz w:val="12"/>
          <w:szCs w:val="12"/>
          <w:color w:val="050505"/>
        </w:rPr>
        <w:t>Certificate of Amendment to the Restated Certificate has been duly adopted in accordance with the provisions of Sections 228 and 242 of the General Corporation Law by the stockholders of the Corporation.</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050505"/>
        </w:rPr>
        <w:t xml:space="preserve">FIFTH: </w:t>
      </w:r>
      <w:r>
        <w:rPr>
          <w:rFonts w:ascii="Times New Roman" w:cs="Times New Roman" w:eastAsia="Times New Roman" w:hAnsi="Times New Roman"/>
          <w:sz w:val="12"/>
          <w:szCs w:val="12"/>
          <w:color w:val="050505"/>
        </w:rPr>
        <w:t>This Certificate of Amendment to the Restated Certificate was duly adopted in accordance with the provisions of Sections 141 and 242 of the General Corporation Law.</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8"/>
          <w:szCs w:val="8"/>
          <w:b w:val="1"/>
          <w:bCs w:val="1"/>
          <w:color w:val="auto"/>
        </w:rPr>
        <w:t>ignature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8"/>
          <w:szCs w:val="8"/>
          <w:b w:val="1"/>
          <w:bCs w:val="1"/>
          <w:color w:val="auto"/>
        </w:rPr>
        <w:t>age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8"/>
          <w:szCs w:val="8"/>
          <w:b w:val="1"/>
          <w:bCs w:val="1"/>
          <w:color w:val="auto"/>
        </w:rPr>
        <w:t>ollows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305435</wp:posOffset>
            </wp:positionV>
            <wp:extent cx="7176135" cy="571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3">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315" w:name="page316"/>
    <w:bookmarkEnd w:id="315"/>
    <w:p>
      <w:pPr>
        <w:ind w:left="440"/>
        <w:spacing w:after="0"/>
        <w:rPr>
          <w:sz w:val="20"/>
          <w:szCs w:val="20"/>
          <w:color w:val="auto"/>
        </w:rPr>
      </w:pPr>
      <w:r>
        <w:rPr>
          <w:rFonts w:ascii="Times New Roman" w:cs="Times New Roman" w:eastAsia="Times New Roman" w:hAnsi="Times New Roman"/>
          <w:sz w:val="12"/>
          <w:szCs w:val="12"/>
          <w:b w:val="1"/>
          <w:bCs w:val="1"/>
          <w:color w:val="080808"/>
        </w:rPr>
        <w:t xml:space="preserve">IN WITNESS WHEREOF, </w:t>
      </w:r>
      <w:r>
        <w:rPr>
          <w:rFonts w:ascii="Times New Roman" w:cs="Times New Roman" w:eastAsia="Times New Roman" w:hAnsi="Times New Roman"/>
          <w:sz w:val="12"/>
          <w:szCs w:val="12"/>
          <w:color w:val="080808"/>
        </w:rPr>
        <w:t>the undersigned has caused this Certificate of Amendment to be signed by its duly authorized officer on the 20</w:t>
      </w:r>
      <w:r>
        <w:rPr>
          <w:rFonts w:ascii="Times New Roman" w:cs="Times New Roman" w:eastAsia="Times New Roman" w:hAnsi="Times New Roman"/>
          <w:sz w:val="20"/>
          <w:szCs w:val="20"/>
          <w:color w:val="050505"/>
          <w:vertAlign w:val="superscript"/>
        </w:rPr>
        <w:t>th</w:t>
      </w:r>
      <w:r>
        <w:rPr>
          <w:rFonts w:ascii="Times New Roman" w:cs="Times New Roman" w:eastAsia="Times New Roman" w:hAnsi="Times New Roman"/>
          <w:sz w:val="12"/>
          <w:szCs w:val="12"/>
          <w:b w:val="1"/>
          <w:bCs w:val="1"/>
          <w:color w:val="080808"/>
        </w:rPr>
        <w:t xml:space="preserve"> </w:t>
      </w:r>
      <w:r>
        <w:rPr>
          <w:rFonts w:ascii="Times New Roman" w:cs="Times New Roman" w:eastAsia="Times New Roman" w:hAnsi="Times New Roman"/>
          <w:sz w:val="12"/>
          <w:szCs w:val="12"/>
          <w:color w:val="080808"/>
        </w:rPr>
        <w:t>day of June, 2024.</w:t>
      </w:r>
    </w:p>
    <w:p>
      <w:pPr>
        <w:spacing w:after="0" w:line="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080808"/>
        </w:rPr>
        <w:t>ALUMIS INC.</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/s/ Martin Babler</w:t>
            </w:r>
          </w:p>
        </w:tc>
      </w:tr>
      <w:tr>
        <w:trPr>
          <w:trHeight w:val="123"/>
        </w:trPr>
        <w:tc>
          <w:tcPr>
            <w:tcW w:w="6220" w:type="dxa"/>
            <w:vAlign w:val="bottom"/>
          </w:tcPr>
          <w:p>
            <w:pPr>
              <w:ind w:left="5660"/>
              <w:spacing w:after="0" w:line="124"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Martin Babler</w:t>
            </w:r>
          </w:p>
        </w:tc>
      </w:tr>
      <w:tr>
        <w:trPr>
          <w:trHeight w:val="159"/>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459"/>
        </w:trPr>
        <w:tc>
          <w:tcPr>
            <w:tcW w:w="62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1" w:right="299"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15"/>
          <w:szCs w:val="15"/>
          <w:b w:val="1"/>
          <w:bCs w:val="1"/>
          <w:color w:val="auto"/>
        </w:rPr>
        <w:t>Exhibit 3.2</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Alumis Inc., a corporation organized and existing under and by virtue of the General Corporation Law of the State of the Delaware (the “</w:t>
      </w:r>
      <w:r>
        <w:rPr>
          <w:rFonts w:ascii="Times New Roman" w:cs="Times New Roman" w:eastAsia="Times New Roman" w:hAnsi="Times New Roman"/>
          <w:sz w:val="12"/>
          <w:szCs w:val="12"/>
          <w:b w:val="1"/>
          <w:bCs w:val="1"/>
          <w:i w:val="1"/>
          <w:iCs w:val="1"/>
          <w:color w:val="auto"/>
        </w:rPr>
        <w:t>DGCL</w:t>
      </w:r>
      <w:r>
        <w:rPr>
          <w:rFonts w:ascii="Times New Roman" w:cs="Times New Roman" w:eastAsia="Times New Roman" w:hAnsi="Times New Roman"/>
          <w:sz w:val="12"/>
          <w:szCs w:val="12"/>
          <w:color w:val="auto"/>
        </w:rPr>
        <w:t>”), hereby certifies that:</w:t>
      </w:r>
    </w:p>
    <w:p>
      <w:pPr>
        <w:spacing w:after="0" w:line="155" w:lineRule="exact"/>
        <w:rPr>
          <w:sz w:val="20"/>
          <w:szCs w:val="20"/>
          <w:color w:val="auto"/>
        </w:rPr>
      </w:pPr>
    </w:p>
    <w:p>
      <w:pPr>
        <w:ind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ONE:           </w:t>
      </w:r>
      <w:r>
        <w:rPr>
          <w:rFonts w:ascii="Times New Roman" w:cs="Times New Roman" w:eastAsia="Times New Roman" w:hAnsi="Times New Roman"/>
          <w:sz w:val="12"/>
          <w:szCs w:val="12"/>
          <w:color w:val="auto"/>
        </w:rPr>
        <w:t>The name of this corporation is Alumis Inc. The original name of this corporation was “FL2021-001, Inc.” and the date of filing the original Certificate of Incorporation of this corporation with the Secretary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State of the State of Delaware was January 29, 2021.</w:t>
      </w:r>
    </w:p>
    <w:p>
      <w:pPr>
        <w:spacing w:after="0" w:line="102" w:lineRule="exact"/>
        <w:rPr>
          <w:sz w:val="20"/>
          <w:szCs w:val="20"/>
          <w:color w:val="auto"/>
        </w:rPr>
      </w:pPr>
    </w:p>
    <w:p>
      <w:pPr>
        <w:ind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TWO:         </w:t>
      </w:r>
      <w:r>
        <w:rPr>
          <w:rFonts w:ascii="Times New Roman" w:cs="Times New Roman" w:eastAsia="Times New Roman" w:hAnsi="Times New Roman"/>
          <w:sz w:val="12"/>
          <w:szCs w:val="12"/>
          <w:color w:val="auto"/>
        </w:rPr>
        <w:t>The Amended and Restated Certificate of Incorporation of this corporation, attached hereto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b w:val="1"/>
          <w:bCs w:val="1"/>
          <w:u w:val="single" w:color="auto"/>
          <w:color w:val="auto"/>
        </w:rPr>
        <w:t>Exhibit A</w:t>
      </w:r>
      <w:r>
        <w:rPr>
          <w:rFonts w:ascii="Times New Roman" w:cs="Times New Roman" w:eastAsia="Times New Roman" w:hAnsi="Times New Roman"/>
          <w:sz w:val="12"/>
          <w:szCs w:val="12"/>
          <w:color w:val="auto"/>
        </w:rPr>
        <w:t>, is incorporated herein by reference, and restates, integrates and further amends the provisions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Amended and Restated Certificate of Incorporation of this corporation, as previously amended or supplemented.</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THREE:</w:t>
      </w:r>
      <w:r>
        <w:rPr>
          <w:rFonts w:ascii="Times New Roman" w:cs="Times New Roman" w:eastAsia="Times New Roman" w:hAnsi="Times New Roman"/>
          <w:sz w:val="12"/>
          <w:szCs w:val="12"/>
          <w:color w:val="auto"/>
        </w:rPr>
        <w:t>      This Amended and Restated Certificate of Incorporation has been duly approved by the board of directors of this corporation.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FOUR:</w:t>
      </w:r>
      <w:r>
        <w:rPr>
          <w:rFonts w:ascii="Times New Roman" w:cs="Times New Roman" w:eastAsia="Times New Roman" w:hAnsi="Times New Roman"/>
          <w:sz w:val="12"/>
          <w:szCs w:val="12"/>
          <w:color w:val="auto"/>
        </w:rPr>
        <w:t>        This Amended and Restated Certificate of Incorporation was approved by the holders of the requisite number of shares of this corporation in accordance with Sections 228, 242 and 245 of the DGCL.</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Corporation has caused this Amended and Restated Certificate of Incorporation to be signed by its duly authorized officer on [______], 2024.</w:t>
      </w:r>
    </w:p>
    <w:p>
      <w:pPr>
        <w:spacing w:after="0" w:line="15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lumis</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nc</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color w:val="auto"/>
        </w:rPr>
        <w:t>By:</w:t>
      </w:r>
    </w:p>
    <w:p>
      <w:pPr>
        <w:spacing w:after="0" w:line="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2"/>
          <w:szCs w:val="12"/>
          <w:color w:val="auto"/>
        </w:rPr>
        <w:t>Martin Babler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3804920</wp:posOffset>
            </wp:positionH>
            <wp:positionV relativeFrom="paragraph">
              <wp:posOffset>-86360</wp:posOffset>
            </wp:positionV>
            <wp:extent cx="3367405" cy="571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4">
                      <a:extLst>
                        <a:ext uri="{28A0092B-C50C-407E-A947-70E740481C1C}"/>
                      </a:extLst>
                    </a:blip>
                    <a:srcRect/>
                    <a:stretch>
                      <a:fillRect/>
                    </a:stretch>
                  </pic:blipFill>
                  <pic:spPr bwMode="auto">
                    <a:xfrm>
                      <a:off x="0" y="0"/>
                      <a:ext cx="3367405" cy="5715"/>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5">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284" w:right="299" w:bottom="1440" w:gutter="0" w:footer="0" w:header="0"/>
        </w:sectPr>
      </w:pPr>
    </w:p>
    <w:bookmarkStart w:id="317" w:name="page318"/>
    <w:bookmarkEnd w:id="317"/>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EXHIBIT A</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 xml:space="preserve">The name of the corporation is </w:t>
      </w: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lumis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8"/>
          <w:szCs w:val="8"/>
          <w:b w:val="1"/>
          <w:bCs w:val="1"/>
          <w:color w:val="auto"/>
        </w:rPr>
        <w:t>nc</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i w:val="1"/>
          <w:iCs w:val="1"/>
          <w:color w:val="auto"/>
        </w:rPr>
        <w:t>Corporation</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II.</w:t>
      </w:r>
    </w:p>
    <w:p>
      <w:pPr>
        <w:spacing w:after="0" w:line="157" w:lineRule="exact"/>
        <w:rPr>
          <w:sz w:val="20"/>
          <w:szCs w:val="20"/>
          <w:color w:val="auto"/>
        </w:rPr>
      </w:pPr>
    </w:p>
    <w:p>
      <w:pPr>
        <w:jc w:val="both"/>
        <w:ind w:right="20" w:firstLine="440"/>
        <w:spacing w:after="0" w:line="291" w:lineRule="auto"/>
        <w:rPr>
          <w:sz w:val="20"/>
          <w:szCs w:val="20"/>
          <w:color w:val="auto"/>
        </w:rPr>
      </w:pPr>
      <w:r>
        <w:rPr>
          <w:rFonts w:ascii="Times New Roman" w:cs="Times New Roman" w:eastAsia="Times New Roman" w:hAnsi="Times New Roman"/>
          <w:sz w:val="12"/>
          <w:szCs w:val="12"/>
          <w:color w:val="auto"/>
        </w:rPr>
        <w:t>The address of the registered office of the Corporation in the State of Delaware is 3500 South DuPont Hwy, City of Dover, County of Kent, Delaware 19901, and the name of the registered agent of the Corporation in the State of Delaware at such address is Incorporating Services, Ltd.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III.</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purpose of the Corporation is to engage in any lawful act or activity for which a corporation may be organized under the General Corporation Law of the State of Delaware (the “</w:t>
      </w:r>
      <w:r>
        <w:rPr>
          <w:rFonts w:ascii="Times New Roman" w:cs="Times New Roman" w:eastAsia="Times New Roman" w:hAnsi="Times New Roman"/>
          <w:sz w:val="12"/>
          <w:szCs w:val="12"/>
          <w:b w:val="1"/>
          <w:bCs w:val="1"/>
          <w:i w:val="1"/>
          <w:iCs w:val="1"/>
          <w:color w:val="auto"/>
        </w:rPr>
        <w:t>DGCL</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IV.</w:t>
      </w:r>
    </w:p>
    <w:p>
      <w:pPr>
        <w:spacing w:after="0" w:line="155" w:lineRule="exact"/>
        <w:rPr>
          <w:sz w:val="20"/>
          <w:szCs w:val="20"/>
          <w:color w:val="auto"/>
        </w:rPr>
      </w:pPr>
    </w:p>
    <w:p>
      <w:pPr>
        <w:jc w:val="both"/>
        <w:ind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The Corporation is authorized to issue three classes of stock to be designated, respectively, “</w:t>
      </w:r>
      <w:r>
        <w:rPr>
          <w:rFonts w:ascii="Times New Roman" w:cs="Times New Roman" w:eastAsia="Times New Roman" w:hAnsi="Times New Roman"/>
          <w:sz w:val="12"/>
          <w:szCs w:val="12"/>
          <w:b w:val="1"/>
          <w:bCs w:val="1"/>
          <w:i w:val="1"/>
          <w:iCs w:val="1"/>
          <w:color w:val="auto"/>
        </w:rPr>
        <w:t>Voting Common Stock,</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i w:val="1"/>
          <w:iCs w:val="1"/>
          <w:color w:val="auto"/>
        </w:rPr>
        <w:t>Non-Voting Common Stock</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i w:val="1"/>
          <w:iCs w:val="1"/>
          <w:color w:val="auto"/>
        </w:rPr>
        <w:t>Preferred Stock</w:t>
      </w:r>
      <w:r>
        <w:rPr>
          <w:rFonts w:ascii="Times New Roman" w:cs="Times New Roman" w:eastAsia="Times New Roman" w:hAnsi="Times New Roman"/>
          <w:sz w:val="12"/>
          <w:szCs w:val="12"/>
          <w:color w:val="auto"/>
        </w:rPr>
        <w:t>.” The total number of shares that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Corporation is authorized to issue is 550,000,000 shares. Of such shares, 492,815,092 shares shall be Voting Common Stock, each having a par value of $0.0001, 7,184,908 shares shall be Non-Voting Common Stock, each having a par value of $0.0001, and 50,000,000 shares shall be Preferred Stock, each having a par value of $0.0001.</w:t>
      </w:r>
    </w:p>
    <w:p>
      <w:pPr>
        <w:spacing w:after="0" w:line="114"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Immediately upon the effectiveness of the filing of this Amended and Restated Certificate of Incorporation with the Secretary of State of the State of Delaware (the “</w:t>
      </w:r>
      <w:r>
        <w:rPr>
          <w:rFonts w:ascii="Times New Roman" w:cs="Times New Roman" w:eastAsia="Times New Roman" w:hAnsi="Times New Roman"/>
          <w:sz w:val="12"/>
          <w:szCs w:val="12"/>
          <w:b w:val="1"/>
          <w:bCs w:val="1"/>
          <w:i w:val="1"/>
          <w:iCs w:val="1"/>
          <w:color w:val="auto"/>
        </w:rPr>
        <w:t>Effective Time</w:t>
      </w:r>
      <w:r>
        <w:rPr>
          <w:rFonts w:ascii="Times New Roman" w:cs="Times New Roman" w:eastAsia="Times New Roman" w:hAnsi="Times New Roman"/>
          <w:sz w:val="12"/>
          <w:szCs w:val="12"/>
          <w:color w:val="auto"/>
        </w:rPr>
        <w:t>”), each share of the Corporation’s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Class A Common Stock issued and outstanding or held as treasury stock immediately prior to the Effective Time, shall, automatically and without further action by any stockholder, be reclassified as, and shall become, one share of Voting Common Stock. Immediately upon the Effective Time, each share of the Corporation’s Class B Common Stock issued and outstanding or held as treasury stock immediately prior to the Effective Time, shall, automatically and without further action by any stockholder, be reclassified as, and shall become, one share of Non-Voting Common Stock. Any stock certificate that immediately prior to the Effective Time represented shares of the Corporation’s Class A Common Stock or Class B Common Stock shall from and after the Effective Time be deemed to represent an equal number of shares of Voting Common Stock or Non-Voting Common Stock, respectively, without the need for surrender or exchange thereof.</w:t>
      </w:r>
    </w:p>
    <w:p>
      <w:pPr>
        <w:spacing w:after="0" w:line="122"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The Preferred Stock may be issued from time to time in one or more series. The board of directors of the Corporation (the “</w:t>
      </w:r>
      <w:r>
        <w:rPr>
          <w:rFonts w:ascii="Times New Roman" w:cs="Times New Roman" w:eastAsia="Times New Roman" w:hAnsi="Times New Roman"/>
          <w:sz w:val="12"/>
          <w:szCs w:val="12"/>
          <w:b w:val="1"/>
          <w:bCs w:val="1"/>
          <w:i w:val="1"/>
          <w:iCs w:val="1"/>
          <w:color w:val="auto"/>
        </w:rPr>
        <w:t>Board of Directors</w:t>
      </w:r>
      <w:r>
        <w:rPr>
          <w:rFonts w:ascii="Times New Roman" w:cs="Times New Roman" w:eastAsia="Times New Roman" w:hAnsi="Times New Roman"/>
          <w:sz w:val="12"/>
          <w:szCs w:val="12"/>
          <w:color w:val="auto"/>
        </w:rPr>
        <w:t>”) is hereby expressly authorized to provide by resolution or resolutions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from time to time for the issue of all or any of the unissued and undesignated shares of the Preferred Stock, in one or more series, and to fix the number of shares of such series and to determine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w:t>
      </w:r>
    </w:p>
    <w:p>
      <w:pPr>
        <w:spacing w:after="0" w:line="2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6">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18" w:name="page319"/>
    <w:bookmarkEnd w:id="318"/>
    <w:p>
      <w:pPr>
        <w:jc w:val="both"/>
        <w:ind w:right="20"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The number of authorized shares of Preferred Stock and Common Stock may be increased or decreased (but not below the number of shares thereof then outstanding plus, if applicable, the number of shares of such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class or series reserved for issuance) by the affirmative vote of the holders of a majority of the voting power of all of the outstanding shares of stock of the Corporation entitled to vote thereon, without a separate vote of the holders of the Preferred Stock or the Common Stock, respectively, unless a vote of any such holders is required pursuant to the terms of any certificate of designation filed with respect to any series of Preferred Stock.</w:t>
      </w:r>
    </w:p>
    <w:p>
      <w:pPr>
        <w:spacing w:after="0" w:line="114" w:lineRule="exact"/>
        <w:rPr>
          <w:sz w:val="20"/>
          <w:szCs w:val="20"/>
          <w:color w:val="auto"/>
        </w:rPr>
      </w:pPr>
    </w:p>
    <w:p>
      <w:pPr>
        <w:jc w:val="both"/>
        <w:ind w:firstLine="440"/>
        <w:spacing w:after="0" w:line="264"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Each outstanding share of Voting Common Stock shall entitle the holder thereof to one vote on each matter properly submitted to the stockholders of the Corporation for their vote; provided, however, that, except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otherwise required by applicable law, holders of Voting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of Preferred Stock are entitled, either separately or together as a class with the holders of one or more other affected series of Preferred Stock, to vote thereon pursuant to applicable law or this Amended and Restated Certificate of Incorporation (including any certificate of designation filed with respect to any series of Preferred Stock). Shares of Voting Common Stock shall not be certificated, but shall instead be held in book-entry form on the books and records of the Corporation.</w:t>
      </w:r>
    </w:p>
    <w:p>
      <w:pPr>
        <w:spacing w:after="0" w:line="120" w:lineRule="exact"/>
        <w:rPr>
          <w:sz w:val="20"/>
          <w:szCs w:val="20"/>
          <w:color w:val="auto"/>
        </w:rPr>
      </w:pPr>
    </w:p>
    <w:p>
      <w:pPr>
        <w:jc w:val="both"/>
        <w:ind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Except as otherwise required by law, holders of Non-Voting Common Stock shall not be entitled to vote on any matter, including any matter on which the holders of Voting Common Stock or Preferred Stock shall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entitled to vote, and shares of Non-Voting Common Stock shall not be included in determining the number of shares of Common Stock voting or entitled to vote on any such matters. Shares of Non-Voting Common Stock shall not be certificated, but shall instead be held in book-entry form on the books and records of the Corporation.</w:t>
      </w:r>
    </w:p>
    <w:p>
      <w:pPr>
        <w:spacing w:after="0" w:line="114"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G.            </w:t>
      </w:r>
      <w:r>
        <w:rPr>
          <w:rFonts w:ascii="Times New Roman" w:cs="Times New Roman" w:eastAsia="Times New Roman" w:hAnsi="Times New Roman"/>
          <w:sz w:val="12"/>
          <w:szCs w:val="12"/>
          <w:color w:val="auto"/>
        </w:rPr>
        <w:t>Except as expressly set forth in this Article IV with respect to voting rights only and as set forth in Article V, the Non-Voting Common Stock shall have the same rights and powers of, rank equally to, share ratably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and be identical in all respects and as to all matters to Voting Common Stock. If the Corporation in any manner subdivides or combines the shares of Voting Common Stock, then the shares of Non-Voting Common Stock will be subdivided or combined in the same proportion and manner, and if the Corporation in any manner subdivides or combines the shares of Non-Voting Common Stock, then the outstanding shares of Voting Common Stock will be subdivided or combined in the same proportion and manner.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V.</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Subject to the terms of this Article V, shares of Non-Voting Common Stock shall be convertible into a corresponding number of Voting Common Stock upon written notice by the holder thereof.</w:t>
      </w:r>
    </w:p>
    <w:p>
      <w:pPr>
        <w:spacing w:after="0" w:line="153" w:lineRule="exact"/>
        <w:rPr>
          <w:sz w:val="20"/>
          <w:szCs w:val="20"/>
          <w:color w:val="auto"/>
        </w:rPr>
      </w:pPr>
    </w:p>
    <w:p>
      <w:pPr>
        <w:jc w:val="both"/>
        <w:ind w:firstLine="440"/>
        <w:spacing w:after="0" w:line="264"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Notwithstanding anything to the contrary herein (but subject to Section B of this Article V), no holder of Non-Voting Common Stock shall be entitled to receive, and the Corporation shall not deliver to any such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holder, any Voting Common Stock upon conversion of the Non-Voting Common Stock to the extent (but only to the extent) that, after such receipt, such converting holder and its Affiliates (as defined below) (together, the “</w:t>
      </w:r>
      <w:r>
        <w:rPr>
          <w:rFonts w:ascii="Times New Roman" w:cs="Times New Roman" w:eastAsia="Times New Roman" w:hAnsi="Times New Roman"/>
          <w:sz w:val="12"/>
          <w:szCs w:val="12"/>
          <w:b w:val="1"/>
          <w:bCs w:val="1"/>
          <w:i w:val="1"/>
          <w:iCs w:val="1"/>
          <w:color w:val="auto"/>
        </w:rPr>
        <w:t>Related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Holders</w:t>
      </w:r>
      <w:r>
        <w:rPr>
          <w:rFonts w:ascii="Times New Roman" w:cs="Times New Roman" w:eastAsia="Times New Roman" w:hAnsi="Times New Roman"/>
          <w:sz w:val="12"/>
          <w:szCs w:val="12"/>
          <w:color w:val="auto"/>
        </w:rPr>
        <w:t>”) would beneficially own in the aggregate, directly or indirectly, shares of Voting Common Stock in excess of 4.99% of such shares outstanding at such time (the “</w:t>
      </w:r>
      <w:r>
        <w:rPr>
          <w:rFonts w:ascii="Times New Roman" w:cs="Times New Roman" w:eastAsia="Times New Roman" w:hAnsi="Times New Roman"/>
          <w:sz w:val="12"/>
          <w:szCs w:val="12"/>
          <w:b w:val="1"/>
          <w:bCs w:val="1"/>
          <w:i w:val="1"/>
          <w:iCs w:val="1"/>
          <w:color w:val="auto"/>
        </w:rPr>
        <w:t>Section 16 Limitation</w:t>
      </w:r>
      <w:r>
        <w:rPr>
          <w:rFonts w:ascii="Times New Roman" w:cs="Times New Roman" w:eastAsia="Times New Roman" w:hAnsi="Times New Roman"/>
          <w:sz w:val="12"/>
          <w:szCs w:val="12"/>
          <w:color w:val="auto"/>
        </w:rPr>
        <w:t>”). Notwithstanding the foregoing,</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any holder of Non-Voting Common Stock may elect to increase the Beneficial Ownership Limitation applicable to such holder (and only such holder and its Related Holders) upon 61 days’ prior written notice of such election to the Corporation and may decrease the Beneficial Ownership Limitation applicable to such holder (and only such holder and its Related Holders) at any time upon providing written notice of such election to the Corporation.</w:t>
      </w: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7">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19" w:name="page320"/>
    <w:bookmarkEnd w:id="319"/>
    <w:p>
      <w:pPr>
        <w:jc w:val="both"/>
        <w:ind w:firstLine="440"/>
        <w:spacing w:after="0" w:line="257"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For avoidance of doubt, in the event that the Related Holders beneficially own in the aggregate, directly or indirectly, shares of Voting Common Stock in excess of the Section 16 Limitation without taking into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account the conversion of Non-Voting Common Stock, then none of the Non-Voting Common Stock shall be convertible until such time as the Related Holders no longer beneficially own in the aggregate, directly or indirectly, shares of Voting Common Stock in excess of the Section 16 Limitation. Any conversion notice provided by a converting holder under this Article V shall constitute the holder’s acknowledgement and confirmation to the Corporation that (i) the acquisition of the shares of Voting Common Stock sought in the conversion notice will not result in Related Holders becoming in the aggregate, directly or indirectly, the beneficial owner of more shares of Voting Common Stock than permitted by the Section 16 Limitation and (ii) any Voting Common Stock to which the holder would be entitled but for the Section 16 Limitation will remain Non-Voting Common Stock. Any purported delivery of shares of Voting Common Stock upon conversion of Non-Voting Common Stock shall be void ab initio and shall have no effect to the extent (but only to the extent) that such delivery would result in the Related Holders becoming in the aggregate, directly or indirectly, the beneficial owner of more shares of Voting Common Stock than permitted by the Section 16 Limitation. Before any holder shall be entitled to exchange any shares of such Non-Voting Common Stock pursuant to this provision, such holder shall give written notice to the Corporation at its principal corporate office, of the election to exchange the same and shall state therein the name or names in which the certificate or certificates for shares of Voting Common Stock are to be issued. The Corporation shall, as soon as practicable thereafter, issue and deliver to the holder, or to the nominee or nominees of such holder, a certificate or certificates (unless shares of Voting Common Stock are then maintained in book-entry form) for the number of shares of Voting Common Stock to which such holder shall be entitled as aforesaid. Such exchange shall be deemed to have been made immediately prior to the close of business on the date of such written notice, and the person or persons entitled to receive the shares of Voting Common Stock issuable upon such exchange shall be treated for all purposes as the record holder or holders of such shares of Voting Common Stock as of such date. Each share of Non-Voting Common Stock that is exchanged pursuant to this Section B of Article V shall be retired by the Corporation and shall not be available for reissuance. Within two business days of any request by a holder of Non-Voting Common Stock, the Corporation shall inform such holder in writing of the then current number of outstanding shares of Voting Common Stock and Non-Voting Common Stock.</w:t>
      </w:r>
    </w:p>
    <w:p>
      <w:pPr>
        <w:spacing w:after="0" w:line="1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Any shares of Non-Voting Common Stock shall be exchanged for a corresponding number of fully paid and nonassessable shares of Voting Common Stock immediately upon request following a Non-Affiliate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Transfer. A “</w:t>
      </w:r>
      <w:r>
        <w:rPr>
          <w:rFonts w:ascii="Times New Roman" w:cs="Times New Roman" w:eastAsia="Times New Roman" w:hAnsi="Times New Roman"/>
          <w:sz w:val="12"/>
          <w:szCs w:val="12"/>
          <w:b w:val="1"/>
          <w:bCs w:val="1"/>
          <w:i w:val="1"/>
          <w:iCs w:val="1"/>
          <w:color w:val="auto"/>
        </w:rPr>
        <w:t>Non-Affiliate Transfer</w:t>
      </w:r>
      <w:r>
        <w:rPr>
          <w:rFonts w:ascii="Times New Roman" w:cs="Times New Roman" w:eastAsia="Times New Roman" w:hAnsi="Times New Roman"/>
          <w:sz w:val="12"/>
          <w:szCs w:val="12"/>
          <w:color w:val="auto"/>
        </w:rPr>
        <w:t>” shall mean a transfer of shares of Non-Voting Common Stock to any Person (as defined below) that is not an Affiliate of a holder of the Non-Voting Common Stock immediately following the issuance thereof. The Corporation shall, upon the request of each such holder and a certification from such transferee holder of such holder’s non-affiliation with the original holder of such Non-Voting Common Stock, issue and deliver to such holder new certificates (unless shares of Voting Common Stock are then maintained in book-entry form) representing such non-Affiliate holder’s shares of Voting Common Stock. Such exchange shall be deemed to have been made immediately prior to the close of business on the date of such request and certification, and the person or persons entitled to receive the shares of Voting Common Stock issuable upon such exchange shall be treated for all purposes as the record holder or holders of such shares of Voting Common Stock as of such date. Each share of Non-Voting Common Stock that is exchanged pursuant to this Section C of Article V shall be retired and canceled by the Corporation and shall not be available for reissuance.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8">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20" w:name="page321"/>
    <w:bookmarkEnd w:id="320"/>
    <w:p>
      <w:pPr>
        <w:ind w:left="440"/>
        <w:spacing w:after="0"/>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The following terms used in this Article V shall be construed to have the meanings set forth or referenced below.</w:t>
      </w:r>
    </w:p>
    <w:p>
      <w:pPr>
        <w:spacing w:after="0" w:line="155" w:lineRule="exact"/>
        <w:rPr>
          <w:sz w:val="20"/>
          <w:szCs w:val="20"/>
          <w:color w:val="auto"/>
        </w:rPr>
      </w:pPr>
    </w:p>
    <w:p>
      <w:pPr>
        <w:jc w:val="both"/>
        <w:ind w:firstLine="440"/>
        <w:spacing w:after="0" w:line="27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Affiliate</w:t>
      </w:r>
      <w:r>
        <w:rPr>
          <w:rFonts w:ascii="Times New Roman" w:cs="Times New Roman" w:eastAsia="Times New Roman" w:hAnsi="Times New Roman"/>
          <w:sz w:val="12"/>
          <w:szCs w:val="12"/>
          <w:color w:val="auto"/>
        </w:rPr>
        <w:t>” means, with respect to any specified Person, any other Person who directly or indirectly, controls, is controlled by or is under common control with such Person, including, without limitation/n, any general partner, managing member, officer, director or trustee of such Person, or any venture capital fund or other investment fund or account or registered investment company now or hereafter existing which is controlled by one (1) or more general partners, managing members or investment advisers of, or shares the same management company or investment adviser with, such Person.</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Person</w:t>
      </w:r>
      <w:r>
        <w:rPr>
          <w:rFonts w:ascii="Times New Roman" w:cs="Times New Roman" w:eastAsia="Times New Roman" w:hAnsi="Times New Roman"/>
          <w:sz w:val="12"/>
          <w:szCs w:val="12"/>
          <w:color w:val="auto"/>
        </w:rPr>
        <w:t>” means any individual, corporation, partnership, trust, limited liability company, association or other entity.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VI.</w:t>
      </w:r>
    </w:p>
    <w:p>
      <w:pPr>
        <w:spacing w:after="0" w:line="157" w:lineRule="exact"/>
        <w:rPr>
          <w:sz w:val="20"/>
          <w:szCs w:val="20"/>
          <w:color w:val="auto"/>
        </w:rPr>
      </w:pPr>
    </w:p>
    <w:p>
      <w:pPr>
        <w:jc w:val="both"/>
        <w:ind w:right="20" w:firstLine="440"/>
        <w:spacing w:after="0" w:line="291" w:lineRule="auto"/>
        <w:rPr>
          <w:sz w:val="20"/>
          <w:szCs w:val="20"/>
          <w:color w:val="auto"/>
        </w:rPr>
      </w:pPr>
      <w:r>
        <w:rPr>
          <w:rFonts w:ascii="Times New Roman" w:cs="Times New Roman" w:eastAsia="Times New Roman" w:hAnsi="Times New Roman"/>
          <w:sz w:val="12"/>
          <w:szCs w:val="12"/>
          <w:color w:val="auto"/>
        </w:rPr>
        <w:t>For the management of the business and for the conduct of the affairs of the Corporation, and in further definition, limitation and regulation of the powers of the Corporation, of its directors and stockholders, or any class or series thereof, as the case may be, it is further provided that:</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A.            M</w:t>
      </w:r>
      <w:r>
        <w:rPr>
          <w:rFonts w:ascii="Times New Roman" w:cs="Times New Roman" w:eastAsia="Times New Roman" w:hAnsi="Times New Roman"/>
          <w:sz w:val="8"/>
          <w:szCs w:val="8"/>
          <w:b w:val="1"/>
          <w:bCs w:val="1"/>
          <w:color w:val="auto"/>
        </w:rPr>
        <w:t>anagement of</w:t>
      </w:r>
      <w:r>
        <w:rPr>
          <w:rFonts w:ascii="Times New Roman" w:cs="Times New Roman" w:eastAsia="Times New Roman" w:hAnsi="Times New Roman"/>
          <w:sz w:val="12"/>
          <w:szCs w:val="12"/>
          <w:b w:val="1"/>
          <w:bCs w:val="1"/>
          <w:color w:val="auto"/>
        </w:rPr>
        <w:t xml:space="preserve"> B</w:t>
      </w:r>
      <w:r>
        <w:rPr>
          <w:rFonts w:ascii="Times New Roman" w:cs="Times New Roman" w:eastAsia="Times New Roman" w:hAnsi="Times New Roman"/>
          <w:sz w:val="8"/>
          <w:szCs w:val="8"/>
          <w:b w:val="1"/>
          <w:bCs w:val="1"/>
          <w:color w:val="auto"/>
        </w:rPr>
        <w:t>usiness</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jc w:val="both"/>
        <w:ind w:firstLine="440"/>
        <w:spacing w:after="0" w:line="272" w:lineRule="auto"/>
        <w:rPr>
          <w:sz w:val="20"/>
          <w:szCs w:val="20"/>
          <w:color w:val="auto"/>
        </w:rPr>
      </w:pPr>
      <w:r>
        <w:rPr>
          <w:rFonts w:ascii="Times New Roman" w:cs="Times New Roman" w:eastAsia="Times New Roman" w:hAnsi="Times New Roman"/>
          <w:sz w:val="12"/>
          <w:szCs w:val="12"/>
          <w:color w:val="auto"/>
        </w:rPr>
        <w:t>Except as otherwise provided by the DGCL or this Amended and Restated Certificate of Incorporation, the management of the business and the conduct of the affairs of the Corporation shall be vested in its Board of Directors. Subject to any rights of the holders of shares of any one or more series of Preferred Stock then outstanding to elect additional directors under specified circumstances, the number of directors that shall constitute the Board of Directors shall be fixed exclusively by resolutions adopted by a majority of the authorized number of directors constituting the Board of Directors.</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B.            B</w:t>
      </w:r>
      <w:r>
        <w:rPr>
          <w:rFonts w:ascii="Times New Roman" w:cs="Times New Roman" w:eastAsia="Times New Roman" w:hAnsi="Times New Roman"/>
          <w:sz w:val="8"/>
          <w:szCs w:val="8"/>
          <w:b w:val="1"/>
          <w:bCs w:val="1"/>
          <w:color w:val="auto"/>
        </w:rPr>
        <w:t>oard of</w:t>
      </w:r>
      <w:r>
        <w:rPr>
          <w:rFonts w:ascii="Times New Roman" w:cs="Times New Roman" w:eastAsia="Times New Roman" w:hAnsi="Times New Roman"/>
          <w:sz w:val="12"/>
          <w:szCs w:val="12"/>
          <w:b w:val="1"/>
          <w:bCs w:val="1"/>
          <w:color w:val="auto"/>
        </w:rPr>
        <w:t xml:space="preserve"> D</w:t>
      </w:r>
      <w:r>
        <w:rPr>
          <w:rFonts w:ascii="Times New Roman" w:cs="Times New Roman" w:eastAsia="Times New Roman" w:hAnsi="Times New Roman"/>
          <w:sz w:val="8"/>
          <w:szCs w:val="8"/>
          <w:b w:val="1"/>
          <w:bCs w:val="1"/>
          <w:color w:val="auto"/>
        </w:rPr>
        <w:t>irectors</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2"/>
          <w:szCs w:val="12"/>
          <w:color w:val="auto"/>
        </w:rPr>
        <w:t>Subject to the rights of the holders of any one or more series of Preferred Stock to elect additional directors under specified circumstances, the directors shall be divided into three classes designated as Class I, Class II and Class III, respectively. Each class will consist, as nearly as possible, of a number of directors equal to one-third of the number of members of the Board of Directors authorized as provided in Section A of this Article VI. The Board of Directors is authorized to assign members of the Board of Directors already in office to such classes at the time the classification becomes effective. At the first annual meeting of stockholders following the Effective Time, the initial term of office of the Class I directors shall expire and Class I directors shall be elected for a full term of three years. At the second annual meeting of stockholders following the Effective Time, the initial term of office of the Class II directors shall expire and Class II directors shall be elected for a full term of three years. At the third annual meeting of stockholders following the Effective Time, the initial term of office of the Class III directors shall expire and Class III directors shall be elected for a full term of three years. At each succeeding annual meeting of stockholders, directors shall be elected for a full term of three years ending on the date of the third annual meeting of stockholders following the annual meeting of stockholders at which such director was elected to succeed the directors of the class whose terms expire at such annual meeting. Notwithstanding the foregoing provisions of this section, each director shall serve until his or her successor is duly elected and qualified or until his or her earlier death, resignation or removal. No decrease in the number of directors constituting the Board of Directors shall remove or shorten the term of any incumbent director.</w:t>
      </w: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9">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321" w:name="page322"/>
    <w:bookmarkEnd w:id="321"/>
    <w:p>
      <w:pPr>
        <w:ind w:left="440"/>
        <w:spacing w:after="0"/>
        <w:rPr>
          <w:sz w:val="20"/>
          <w:szCs w:val="20"/>
          <w:color w:val="auto"/>
        </w:rPr>
      </w:pPr>
      <w:r>
        <w:rPr>
          <w:rFonts w:ascii="Times New Roman" w:cs="Times New Roman" w:eastAsia="Times New Roman" w:hAnsi="Times New Roman"/>
          <w:sz w:val="12"/>
          <w:szCs w:val="12"/>
          <w:b w:val="1"/>
          <w:bCs w:val="1"/>
          <w:color w:val="auto"/>
        </w:rPr>
        <w:t>C.            R</w:t>
      </w:r>
      <w:r>
        <w:rPr>
          <w:rFonts w:ascii="Times New Roman" w:cs="Times New Roman" w:eastAsia="Times New Roman" w:hAnsi="Times New Roman"/>
          <w:sz w:val="8"/>
          <w:szCs w:val="8"/>
          <w:b w:val="1"/>
          <w:bCs w:val="1"/>
          <w:color w:val="auto"/>
        </w:rPr>
        <w:t>emoval of</w:t>
      </w:r>
      <w:r>
        <w:rPr>
          <w:rFonts w:ascii="Times New Roman" w:cs="Times New Roman" w:eastAsia="Times New Roman" w:hAnsi="Times New Roman"/>
          <w:sz w:val="12"/>
          <w:szCs w:val="12"/>
          <w:b w:val="1"/>
          <w:bCs w:val="1"/>
          <w:color w:val="auto"/>
        </w:rPr>
        <w:t xml:space="preserve"> D</w:t>
      </w:r>
      <w:r>
        <w:rPr>
          <w:rFonts w:ascii="Times New Roman" w:cs="Times New Roman" w:eastAsia="Times New Roman" w:hAnsi="Times New Roman"/>
          <w:sz w:val="8"/>
          <w:szCs w:val="8"/>
          <w:b w:val="1"/>
          <w:bCs w:val="1"/>
          <w:color w:val="auto"/>
        </w:rPr>
        <w:t>irectors</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jc w:val="both"/>
        <w:ind w:firstLine="440"/>
        <w:spacing w:after="0" w:line="272" w:lineRule="auto"/>
        <w:rPr>
          <w:sz w:val="20"/>
          <w:szCs w:val="20"/>
          <w:color w:val="auto"/>
        </w:rPr>
      </w:pPr>
      <w:r>
        <w:rPr>
          <w:rFonts w:ascii="Times New Roman" w:cs="Times New Roman" w:eastAsia="Times New Roman" w:hAnsi="Times New Roman"/>
          <w:sz w:val="12"/>
          <w:szCs w:val="12"/>
          <w:color w:val="auto"/>
        </w:rPr>
        <w:t>Subject to the rights of the holders of any one or more series of Preferred Stock to remove directors elected by the holders of such series of Preferred Stock, any individual director or the entire Board of Directors may be removed from office at any time, but only for cause, and only by the affirmative vote of the holders of at least 66-2/3% of the voting power of all the then-outstanding shares of the capital stock of the Corporation entitled to vote generally at an election of directors, voting together as a single class.</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D.            V</w:t>
      </w:r>
      <w:r>
        <w:rPr>
          <w:rFonts w:ascii="Times New Roman" w:cs="Times New Roman" w:eastAsia="Times New Roman" w:hAnsi="Times New Roman"/>
          <w:sz w:val="8"/>
          <w:szCs w:val="8"/>
          <w:b w:val="1"/>
          <w:bCs w:val="1"/>
          <w:color w:val="auto"/>
        </w:rPr>
        <w:t>acancies and</w:t>
      </w:r>
      <w:r>
        <w:rPr>
          <w:rFonts w:ascii="Times New Roman" w:cs="Times New Roman" w:eastAsia="Times New Roman" w:hAnsi="Times New Roman"/>
          <w:sz w:val="12"/>
          <w:szCs w:val="12"/>
          <w:b w:val="1"/>
          <w:bCs w:val="1"/>
          <w:color w:val="auto"/>
        </w:rPr>
        <w:t xml:space="preserve"> N</w:t>
      </w:r>
      <w:r>
        <w:rPr>
          <w:rFonts w:ascii="Times New Roman" w:cs="Times New Roman" w:eastAsia="Times New Roman" w:hAnsi="Times New Roman"/>
          <w:sz w:val="8"/>
          <w:szCs w:val="8"/>
          <w:b w:val="1"/>
          <w:bCs w:val="1"/>
          <w:color w:val="auto"/>
        </w:rPr>
        <w:t>ewly</w:t>
      </w:r>
      <w:r>
        <w:rPr>
          <w:rFonts w:ascii="Times New Roman" w:cs="Times New Roman" w:eastAsia="Times New Roman" w:hAnsi="Times New Roman"/>
          <w:sz w:val="12"/>
          <w:szCs w:val="12"/>
          <w:b w:val="1"/>
          <w:bCs w:val="1"/>
          <w:color w:val="auto"/>
        </w:rPr>
        <w:t xml:space="preserve"> C</w:t>
      </w:r>
      <w:r>
        <w:rPr>
          <w:rFonts w:ascii="Times New Roman" w:cs="Times New Roman" w:eastAsia="Times New Roman" w:hAnsi="Times New Roman"/>
          <w:sz w:val="8"/>
          <w:szCs w:val="8"/>
          <w:b w:val="1"/>
          <w:bCs w:val="1"/>
          <w:color w:val="auto"/>
        </w:rPr>
        <w:t>reated</w:t>
      </w:r>
      <w:r>
        <w:rPr>
          <w:rFonts w:ascii="Times New Roman" w:cs="Times New Roman" w:eastAsia="Times New Roman" w:hAnsi="Times New Roman"/>
          <w:sz w:val="12"/>
          <w:szCs w:val="12"/>
          <w:b w:val="1"/>
          <w:bCs w:val="1"/>
          <w:color w:val="auto"/>
        </w:rPr>
        <w:t xml:space="preserve"> D</w:t>
      </w:r>
      <w:r>
        <w:rPr>
          <w:rFonts w:ascii="Times New Roman" w:cs="Times New Roman" w:eastAsia="Times New Roman" w:hAnsi="Times New Roman"/>
          <w:sz w:val="8"/>
          <w:szCs w:val="8"/>
          <w:b w:val="1"/>
          <w:bCs w:val="1"/>
          <w:color w:val="auto"/>
        </w:rPr>
        <w:t>irectorships</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jc w:val="both"/>
        <w:ind w:firstLine="440"/>
        <w:spacing w:after="0" w:line="263" w:lineRule="auto"/>
        <w:rPr>
          <w:sz w:val="20"/>
          <w:szCs w:val="20"/>
          <w:color w:val="auto"/>
        </w:rPr>
      </w:pPr>
      <w:r>
        <w:rPr>
          <w:rFonts w:ascii="Times New Roman" w:cs="Times New Roman" w:eastAsia="Times New Roman" w:hAnsi="Times New Roman"/>
          <w:sz w:val="12"/>
          <w:szCs w:val="12"/>
          <w:color w:val="auto"/>
        </w:rPr>
        <w:t>Subject to any limitations imposed by applicable law and subject to the rights of the holders of any one or more series of Preferred Stock to elect additional directors under specified circumstances or fill vacancies in respect of such directors, any vacancies on the Board of Directors resulting from death, resignation, disqualification, removal or other causes and any newly created directorships resulting from any increase in the number of directors, shall, be filled only by the affirmative vote of a majority of the directors then in office, even though less than a quorum of the Board of Directors, or by a sole remaining director, and not by the stockholders. Any director elected to fill a newly created directorship or vacancy in accordance with the preceding sentence shall hold office until the next annual meeting of stockholders held to elect the class of directors to which such director is elected and until such director’s successor shall have been elected and qualified or until such director’s earlier death, resignation or removal.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E.            P</w:t>
      </w:r>
      <w:r>
        <w:rPr>
          <w:rFonts w:ascii="Times New Roman" w:cs="Times New Roman" w:eastAsia="Times New Roman" w:hAnsi="Times New Roman"/>
          <w:sz w:val="8"/>
          <w:szCs w:val="8"/>
          <w:b w:val="1"/>
          <w:bCs w:val="1"/>
          <w:color w:val="auto"/>
        </w:rPr>
        <w:t>referred</w:t>
      </w:r>
      <w:r>
        <w:rPr>
          <w:rFonts w:ascii="Times New Roman" w:cs="Times New Roman" w:eastAsia="Times New Roman" w:hAnsi="Times New Roman"/>
          <w:sz w:val="12"/>
          <w:szCs w:val="12"/>
          <w:b w:val="1"/>
          <w:bCs w:val="1"/>
          <w:color w:val="auto"/>
        </w:rPr>
        <w:t xml:space="preserve"> S</w:t>
      </w:r>
      <w:r>
        <w:rPr>
          <w:rFonts w:ascii="Times New Roman" w:cs="Times New Roman" w:eastAsia="Times New Roman" w:hAnsi="Times New Roman"/>
          <w:sz w:val="8"/>
          <w:szCs w:val="8"/>
          <w:b w:val="1"/>
          <w:bCs w:val="1"/>
          <w:color w:val="auto"/>
        </w:rPr>
        <w:t>tockholders</w:t>
      </w:r>
      <w:r>
        <w:rPr>
          <w:rFonts w:ascii="Times New Roman" w:cs="Times New Roman" w:eastAsia="Times New Roman" w:hAnsi="Times New Roman"/>
          <w:sz w:val="12"/>
          <w:szCs w:val="12"/>
          <w:b w:val="1"/>
          <w:bCs w:val="1"/>
          <w:color w:val="auto"/>
        </w:rPr>
        <w:t>’ E</w:t>
      </w:r>
      <w:r>
        <w:rPr>
          <w:rFonts w:ascii="Times New Roman" w:cs="Times New Roman" w:eastAsia="Times New Roman" w:hAnsi="Times New Roman"/>
          <w:sz w:val="8"/>
          <w:szCs w:val="8"/>
          <w:b w:val="1"/>
          <w:bCs w:val="1"/>
          <w:color w:val="auto"/>
        </w:rPr>
        <w:t>lection</w:t>
      </w:r>
      <w:r>
        <w:rPr>
          <w:rFonts w:ascii="Times New Roman" w:cs="Times New Roman" w:eastAsia="Times New Roman" w:hAnsi="Times New Roman"/>
          <w:sz w:val="12"/>
          <w:szCs w:val="12"/>
          <w:b w:val="1"/>
          <w:bCs w:val="1"/>
          <w:color w:val="auto"/>
        </w:rPr>
        <w:t xml:space="preserve"> R</w:t>
      </w:r>
      <w:r>
        <w:rPr>
          <w:rFonts w:ascii="Times New Roman" w:cs="Times New Roman" w:eastAsia="Times New Roman" w:hAnsi="Times New Roman"/>
          <w:sz w:val="8"/>
          <w:szCs w:val="8"/>
          <w:b w:val="1"/>
          <w:bCs w:val="1"/>
          <w:color w:val="auto"/>
        </w:rPr>
        <w:t>ights</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jc w:val="both"/>
        <w:ind w:firstLine="440"/>
        <w:spacing w:after="0" w:line="260" w:lineRule="auto"/>
        <w:rPr>
          <w:sz w:val="20"/>
          <w:szCs w:val="20"/>
          <w:color w:val="auto"/>
        </w:rPr>
      </w:pPr>
      <w:r>
        <w:rPr>
          <w:rFonts w:ascii="Times New Roman" w:cs="Times New Roman" w:eastAsia="Times New Roman" w:hAnsi="Times New Roman"/>
          <w:sz w:val="12"/>
          <w:szCs w:val="12"/>
          <w:color w:val="auto"/>
        </w:rPr>
        <w:t>Whenever the holders of any one or more series of Preferred Stock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the Certificate of Incorporation (including any certificate of designation relating to any series of Preferred Stock) applicable thereto. The number of directors that may be elected by the holders of any such series of Preferred Stock shall be in addition to the number fixed pursuant to paragraph A. of Article VI hereof, and the total number of directors constituting the whole Board of Directors shall be automatically adjusted accordingly.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F.            B</w:t>
      </w:r>
      <w:r>
        <w:rPr>
          <w:rFonts w:ascii="Times New Roman" w:cs="Times New Roman" w:eastAsia="Times New Roman" w:hAnsi="Times New Roman"/>
          <w:sz w:val="8"/>
          <w:szCs w:val="8"/>
          <w:b w:val="1"/>
          <w:bCs w:val="1"/>
          <w:color w:val="auto"/>
        </w:rPr>
        <w:t>ylaw</w:t>
      </w:r>
      <w:r>
        <w:rPr>
          <w:rFonts w:ascii="Times New Roman" w:cs="Times New Roman" w:eastAsia="Times New Roman" w:hAnsi="Times New Roman"/>
          <w:sz w:val="12"/>
          <w:szCs w:val="12"/>
          <w:b w:val="1"/>
          <w:bCs w:val="1"/>
          <w:color w:val="auto"/>
        </w:rPr>
        <w:t xml:space="preserve"> A</w:t>
      </w:r>
      <w:r>
        <w:rPr>
          <w:rFonts w:ascii="Times New Roman" w:cs="Times New Roman" w:eastAsia="Times New Roman" w:hAnsi="Times New Roman"/>
          <w:sz w:val="8"/>
          <w:szCs w:val="8"/>
          <w:b w:val="1"/>
          <w:bCs w:val="1"/>
          <w:color w:val="auto"/>
        </w:rPr>
        <w:t>mendments</w:t>
      </w:r>
      <w:r>
        <w:rPr>
          <w:rFonts w:ascii="Times New Roman" w:cs="Times New Roman" w:eastAsia="Times New Roman" w:hAnsi="Times New Roman"/>
          <w:sz w:val="12"/>
          <w:szCs w:val="12"/>
          <w:b w:val="1"/>
          <w:bCs w:val="1"/>
          <w:color w:val="auto"/>
        </w:rPr>
        <w:t>.</w:t>
      </w:r>
    </w:p>
    <w:p>
      <w:pPr>
        <w:spacing w:after="0" w:line="15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2"/>
          <w:szCs w:val="12"/>
          <w:color w:val="auto"/>
        </w:rPr>
        <w:t>The Board of Directors is expressly authorized and empowered to adopt, amend or repeal the bylaws of the Corporation (as amended and/or restated, from time to time, the “</w:t>
      </w:r>
      <w:r>
        <w:rPr>
          <w:rFonts w:ascii="Times New Roman" w:cs="Times New Roman" w:eastAsia="Times New Roman" w:hAnsi="Times New Roman"/>
          <w:sz w:val="12"/>
          <w:szCs w:val="12"/>
          <w:b w:val="1"/>
          <w:bCs w:val="1"/>
          <w:i w:val="1"/>
          <w:iCs w:val="1"/>
          <w:color w:val="auto"/>
        </w:rPr>
        <w:t>Bylaws</w:t>
      </w:r>
      <w:r>
        <w:rPr>
          <w:rFonts w:ascii="Times New Roman" w:cs="Times New Roman" w:eastAsia="Times New Roman" w:hAnsi="Times New Roman"/>
          <w:sz w:val="12"/>
          <w:szCs w:val="12"/>
          <w:color w:val="auto"/>
        </w:rPr>
        <w:t>”), or any provision or provisions thereof, without the assent or vote of the stockholders in any manner not inconsistent with the laws of the State of Delaware or this Amended and Restated Certificate of Incorporation. The stockholders shall also have power to adopt, amend or repeal the Bylaws; provided, however, that, in addition to any vote of the holders of any class or series of stock of the Corporation required by applicable law or this Amended and Restated Certificate of Incorporation, such action by stockholders shall require the affirmative vote of the holders of at least 66-2/3% of the voting power of all of the then-outstanding shares of the capital stock of the Corporation entitled to vote thereon, voting together as a single class.</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0">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322" w:name="page323"/>
    <w:bookmarkEnd w:id="322"/>
    <w:p>
      <w:pPr>
        <w:ind w:left="440"/>
        <w:spacing w:after="0"/>
        <w:rPr>
          <w:sz w:val="20"/>
          <w:szCs w:val="20"/>
          <w:color w:val="auto"/>
        </w:rPr>
      </w:pPr>
      <w:r>
        <w:rPr>
          <w:rFonts w:ascii="Times New Roman" w:cs="Times New Roman" w:eastAsia="Times New Roman" w:hAnsi="Times New Roman"/>
          <w:sz w:val="12"/>
          <w:szCs w:val="12"/>
          <w:b w:val="1"/>
          <w:bCs w:val="1"/>
          <w:color w:val="auto"/>
        </w:rPr>
        <w:t>G.            S</w:t>
      </w:r>
      <w:r>
        <w:rPr>
          <w:rFonts w:ascii="Times New Roman" w:cs="Times New Roman" w:eastAsia="Times New Roman" w:hAnsi="Times New Roman"/>
          <w:sz w:val="8"/>
          <w:szCs w:val="8"/>
          <w:b w:val="1"/>
          <w:bCs w:val="1"/>
          <w:color w:val="auto"/>
        </w:rPr>
        <w:t>tockholder</w:t>
      </w:r>
      <w:r>
        <w:rPr>
          <w:rFonts w:ascii="Times New Roman" w:cs="Times New Roman" w:eastAsia="Times New Roman" w:hAnsi="Times New Roman"/>
          <w:sz w:val="12"/>
          <w:szCs w:val="12"/>
          <w:b w:val="1"/>
          <w:bCs w:val="1"/>
          <w:color w:val="auto"/>
        </w:rPr>
        <w:t xml:space="preserve"> A</w:t>
      </w:r>
      <w:r>
        <w:rPr>
          <w:rFonts w:ascii="Times New Roman" w:cs="Times New Roman" w:eastAsia="Times New Roman" w:hAnsi="Times New Roman"/>
          <w:sz w:val="8"/>
          <w:szCs w:val="8"/>
          <w:b w:val="1"/>
          <w:bCs w:val="1"/>
          <w:color w:val="auto"/>
        </w:rPr>
        <w:t>ctions</w:t>
      </w:r>
      <w:r>
        <w:rPr>
          <w:rFonts w:ascii="Times New Roman" w:cs="Times New Roman" w:eastAsia="Times New Roman" w:hAnsi="Times New Roman"/>
          <w:sz w:val="12"/>
          <w:szCs w:val="12"/>
          <w:b w:val="1"/>
          <w:bCs w:val="1"/>
          <w:color w:val="auto"/>
        </w:rPr>
        <w:t>.</w:t>
      </w:r>
    </w:p>
    <w:p>
      <w:pPr>
        <w:spacing w:after="0" w:line="1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1.            </w:t>
      </w:r>
      <w:r>
        <w:rPr>
          <w:rFonts w:ascii="Times New Roman" w:cs="Times New Roman" w:eastAsia="Times New Roman" w:hAnsi="Times New Roman"/>
          <w:sz w:val="12"/>
          <w:szCs w:val="12"/>
          <w:color w:val="auto"/>
        </w:rPr>
        <w:t>The directors of the Corporation need not be elected by written ballot unless the Bylaws so provide.</w:t>
      </w:r>
    </w:p>
    <w:p>
      <w:pPr>
        <w:spacing w:after="0" w:line="155" w:lineRule="exact"/>
        <w:rPr>
          <w:sz w:val="20"/>
          <w:szCs w:val="20"/>
          <w:color w:val="auto"/>
        </w:rPr>
      </w:pPr>
    </w:p>
    <w:p>
      <w:pPr>
        <w:jc w:val="both"/>
        <w:ind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2.            </w:t>
      </w:r>
      <w:r>
        <w:rPr>
          <w:rFonts w:ascii="Times New Roman" w:cs="Times New Roman" w:eastAsia="Times New Roman" w:hAnsi="Times New Roman"/>
          <w:sz w:val="12"/>
          <w:szCs w:val="12"/>
          <w:color w:val="auto"/>
        </w:rPr>
        <w:t>Subject to any rights of the holders of shares of any one or more series of Preferred Stock then outstanding, any action required or permitted to be taken by the stockholders of the Corporation must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effected at an annual or special meeting of the stockholders and may not be effected by consent in lieu of a meeting.</w:t>
      </w:r>
    </w:p>
    <w:p>
      <w:pPr>
        <w:spacing w:after="0" w:line="102" w:lineRule="exact"/>
        <w:rPr>
          <w:sz w:val="20"/>
          <w:szCs w:val="20"/>
          <w:color w:val="auto"/>
        </w:rPr>
      </w:pPr>
    </w:p>
    <w:p>
      <w:pPr>
        <w:jc w:val="both"/>
        <w:ind w:firstLine="879"/>
        <w:spacing w:after="0" w:line="274" w:lineRule="auto"/>
        <w:rPr>
          <w:sz w:val="20"/>
          <w:szCs w:val="20"/>
          <w:color w:val="auto"/>
        </w:rPr>
      </w:pPr>
      <w:r>
        <w:rPr>
          <w:rFonts w:ascii="Times New Roman" w:cs="Times New Roman" w:eastAsia="Times New Roman" w:hAnsi="Times New Roman"/>
          <w:sz w:val="12"/>
          <w:szCs w:val="12"/>
          <w:b w:val="1"/>
          <w:bCs w:val="1"/>
          <w:color w:val="auto"/>
        </w:rPr>
        <w:t>3.            </w:t>
      </w:r>
      <w:r>
        <w:rPr>
          <w:rFonts w:ascii="Times New Roman" w:cs="Times New Roman" w:eastAsia="Times New Roman" w:hAnsi="Times New Roman"/>
          <w:sz w:val="12"/>
          <w:szCs w:val="12"/>
          <w:color w:val="auto"/>
        </w:rPr>
        <w:t>Subject to any rights of the holders of shares of any series of Preferred Stock then outstanding, special meetings of stockholders of the Corporation may be called only by the Chairperson of the Board,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Chief Executive Officer, the President or the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114" w:lineRule="exact"/>
        <w:rPr>
          <w:sz w:val="20"/>
          <w:szCs w:val="20"/>
          <w:color w:val="auto"/>
        </w:rPr>
      </w:pPr>
    </w:p>
    <w:p>
      <w:pPr>
        <w:jc w:val="both"/>
        <w:ind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4.            </w:t>
      </w:r>
      <w:r>
        <w:rPr>
          <w:rFonts w:ascii="Times New Roman" w:cs="Times New Roman" w:eastAsia="Times New Roman" w:hAnsi="Times New Roman"/>
          <w:sz w:val="12"/>
          <w:szCs w:val="12"/>
          <w:color w:val="auto"/>
        </w:rPr>
        <w:t>Advance notice of stockholder nominations for the election of directors and other business to be brought by stockholders before any meeting of the stockholders of the Corporation shall be given in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manner provided by the Bylaws.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VII.</w:t>
      </w:r>
    </w:p>
    <w:p>
      <w:pPr>
        <w:spacing w:after="0" w:line="157" w:lineRule="exact"/>
        <w:rPr>
          <w:sz w:val="20"/>
          <w:szCs w:val="20"/>
          <w:color w:val="auto"/>
        </w:rPr>
      </w:pPr>
    </w:p>
    <w:p>
      <w:pPr>
        <w:jc w:val="both"/>
        <w:ind w:firstLine="440"/>
        <w:spacing w:after="0" w:line="260" w:lineRule="auto"/>
        <w:rPr>
          <w:sz w:val="20"/>
          <w:szCs w:val="20"/>
          <w:color w:val="auto"/>
        </w:rPr>
      </w:pPr>
      <w:r>
        <w:rPr>
          <w:rFonts w:ascii="Times New Roman" w:cs="Times New Roman" w:eastAsia="Times New Roman" w:hAnsi="Times New Roman"/>
          <w:sz w:val="12"/>
          <w:szCs w:val="12"/>
          <w:color w:val="auto"/>
        </w:rPr>
        <w:t>No director or officer of the Corporation shall be liable to the Corporation or its stockholders for monetary damages for breach of fiduciary duty as a director or officer, except to the extent such exemption from liability or limitation thereof is not permitted under the DGCL, as the same exists or may hereafter be amended. To the fullest extent permitted by applicable law, the Corporation is authorized to provide indemnification of (and advancement of expenses to) directors, officers, employees and other agents of the Corporation (and any other persons to which applicable law permits the Corporation to provide indemnification) through provisions in the Bylaws, agreements with such agents or other persons, vote of stockholders or disinterested directors or otherwise in excess of the indemnification and advancement otherwise permitted by such applicable law. If applicable law is amended after approval by the stockholders of this Section VII to authorize corporate action further eliminating or limiting the personal liability of directors or officers, then the liability of a director or officer to the Corporation shall be eliminated or limited to the fullest extent permitted by applicable law as so amended. Any amendment, modification or repeal of this Section VII shall not adversely affect any right or protection of a director or officer of the Corporation hereunder in respect of any act or omission occurring prior to the time of such amendment, modification or repeal.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VIII.</w:t>
      </w:r>
    </w:p>
    <w:p>
      <w:pPr>
        <w:spacing w:after="0" w:line="157"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2"/>
          <w:szCs w:val="12"/>
          <w:color w:val="auto"/>
        </w:rPr>
        <w:t>Unless the Corporation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Corporation; (B) any claim or cause of action for breach of a fiduciary duty owed by any current or former director, officer or other employee or stockholder of the Corporation to the Corporation or the Corporation’s stockholders; (C) any claim or cause of action against the Corporation or any current or former director, officer or other employee of the Corporation, arising out of or pursuant to any provision of the DGCL, this Amended and Restated Certificate of Incorporation or the Bylaws; (D) any claim or cause of action seeking to interpret, apply, enforce or determine the validity of this Amended and Restated Certificate of Incorporation or the Bylaws (including any right, obligation or remedy thereunder); (E) any claim or cause of action as to which the DGCL confers jurisdiction on the Court of Chancery of the State of Delaware; and (F) any claim or cause of action against the Corporation or any current or former director, officer or other employee of the Corporation, governed by the internal-affairs doctrine or otherwise related to the corporation’s internal affairs, in all cases to the fullest extent permitted by applicable law and subject to the court having personal jurisdiction over the indispensable parties named as defendants. This Article VIII shall not apply to claims or causes of action brought to enforce a duty or liability created by the Securities Act of 1933, as amended (the “</w:t>
      </w:r>
      <w:r>
        <w:rPr>
          <w:rFonts w:ascii="Times New Roman" w:cs="Times New Roman" w:eastAsia="Times New Roman" w:hAnsi="Times New Roman"/>
          <w:sz w:val="12"/>
          <w:szCs w:val="12"/>
          <w:b w:val="1"/>
          <w:bCs w:val="1"/>
          <w:i w:val="1"/>
          <w:iCs w:val="1"/>
          <w:color w:val="auto"/>
        </w:rPr>
        <w:t>Securities Act</w:t>
      </w:r>
      <w:r>
        <w:rPr>
          <w:rFonts w:ascii="Times New Roman" w:cs="Times New Roman" w:eastAsia="Times New Roman" w:hAnsi="Times New Roman"/>
          <w:sz w:val="12"/>
          <w:szCs w:val="12"/>
          <w:color w:val="auto"/>
        </w:rPr>
        <w:t>”), or the Securities Exchange Act of 1934, as amended, or any other claim for which the federal courts have exclusive jurisdiction.</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1">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323" w:name="page324"/>
    <w:bookmarkEnd w:id="323"/>
    <w:p>
      <w:pPr>
        <w:jc w:val="both"/>
        <w:ind w:firstLine="440"/>
        <w:spacing w:after="0" w:line="266" w:lineRule="auto"/>
        <w:rPr>
          <w:sz w:val="20"/>
          <w:szCs w:val="20"/>
          <w:color w:val="auto"/>
        </w:rPr>
      </w:pPr>
      <w:r>
        <w:rPr>
          <w:rFonts w:ascii="Times New Roman" w:cs="Times New Roman" w:eastAsia="Times New Roman" w:hAnsi="Times New Roman"/>
          <w:sz w:val="12"/>
          <w:szCs w:val="12"/>
          <w:color w:val="auto"/>
        </w:rPr>
        <w:t>Unless the Corporation consents in writing to the selection of an alternative forum, to the fullest extent permitted by applicable law, the federal district courts of the United States of America shall be the exclusive forum for the resolution of any complaint asserting a cause or causes of action arising under the Securities Act, including all causes of action asserted against any defendant named in such complaint. For the avoidance of doubt, this provision is intended to benefit and may be enforced by the Corporation, any officer or director of the Corporation, the underwriters for any offering giving rise to such complaint, and any other professional entity whose profession gives authority to a statement made by that person or entity and who has prepared or certified any part of the documents underlying the offering.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IX.</w:t>
      </w:r>
    </w:p>
    <w:p>
      <w:pPr>
        <w:spacing w:after="0" w:line="155" w:lineRule="exact"/>
        <w:rPr>
          <w:sz w:val="20"/>
          <w:szCs w:val="20"/>
          <w:color w:val="auto"/>
        </w:rPr>
      </w:pPr>
    </w:p>
    <w:p>
      <w:pPr>
        <w:jc w:val="both"/>
        <w:ind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Any person or entity holding, owning or otherwise acquiring any interest in any security of the Corporation shall be deemed to have notice of and consented to the provisions of this Amended and Restated Certificate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Incorporation.</w:t>
      </w:r>
    </w:p>
    <w:p>
      <w:pPr>
        <w:spacing w:after="0" w:line="102" w:lineRule="exact"/>
        <w:rPr>
          <w:sz w:val="20"/>
          <w:szCs w:val="20"/>
          <w:color w:val="auto"/>
        </w:rPr>
      </w:pPr>
    </w:p>
    <w:p>
      <w:pPr>
        <w:jc w:val="both"/>
        <w:ind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The Corporation reserves the right to amend, alter, change or repeal, at any time and from time to time, any provision contained in this Amended and Restated Certificate of Incorporation, in the manner now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hereafter prescribed by statute, except as provided in paragraph C. of this Article IX, and all rights, preferences and privileges of whatsoever nature conferred upon the stockholders, directors or any other persons whomsoever by and pursuant to this Amended and Restated Certificate of Incorporation in its present form or as hereafter amended herein are granted subject to this reservation.</w:t>
      </w:r>
    </w:p>
    <w:p>
      <w:pPr>
        <w:spacing w:after="0" w:line="114"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Notwithstanding any other provisions of this Amended and Restated Certificate of Incorporation or any provision of applicable law that might otherwise permit a lesser vote or no vote, but in addition to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affirmative vote of the holders of any particular class or series of capital stock of the Corporation required by applicable law or by this Amended and Restated Certificate of Incorporation or any certificate of designation filed with respect to a series of Preferred Stock, (i) the affirmative vote of the holders of at least 66-2/3% of the voting power of all of the then outstanding shares of capital stock of the Corporation entitled to vote thereon, voting together as a single class, shall be required to alter, amend or repeal (whether by merger, consolidation, conversion or otherwise), or adopt any provision inconsistent with, Articles VI, VII and VIII and this Article IX; and; and (ii) neither paragraph E. or F. of Article IV nor Article V nor this proviso of paragraph C. of Article IX shall be altered, amended or repealed (whether by merger, consolidation, conversion or otherwise) without the unanimous vote of the holders of the outstanding shares Non-Voting Common Stock.</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2">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324" w:name="page325"/>
    <w:bookmarkEnd w:id="324"/>
    <w:p>
      <w:pPr>
        <w:jc w:val="center"/>
        <w:spacing w:after="0"/>
        <w:rPr>
          <w:sz w:val="20"/>
          <w:szCs w:val="20"/>
          <w:color w:val="auto"/>
        </w:rPr>
      </w:pPr>
      <w:r>
        <w:rPr>
          <w:rFonts w:ascii="Times New Roman" w:cs="Times New Roman" w:eastAsia="Times New Roman" w:hAnsi="Times New Roman"/>
          <w:sz w:val="12"/>
          <w:szCs w:val="12"/>
          <w:b w:val="1"/>
          <w:bCs w:val="1"/>
          <w:color w:val="auto"/>
        </w:rPr>
        <w:t>X.</w:t>
      </w:r>
    </w:p>
    <w:p>
      <w:pPr>
        <w:spacing w:after="0" w:line="15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2"/>
          <w:szCs w:val="12"/>
          <w:color w:val="auto"/>
        </w:rPr>
        <w:t>If any provision or provisions of this Amended and Restated Certificate of Incorporation shall be held to be invalid, illegal or unenforceable as applied to any circumstance for any reason whatsoever, the validity, legality and enforceability of such provisions in any other circumstance and of the remaining provisions of this Amended and Restated Certificate of Incorporation (including, without limitation, each portion of any paragraph of this Amended and Restated Certificate of Incorporation containing any such provision held to be invalid, illegal or unenforceable that is not itself held to be invalid, illegal or unenforceable) shall not, to the fullest extent permitted by applicable law, in any way be affected or impaired thereby.</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 * *</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3">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25" w:name="page326"/>
    <w:bookmarkEnd w:id="325"/>
    <w:p>
      <w:pPr>
        <w:jc w:val="right"/>
        <w:spacing w:after="0"/>
        <w:rPr>
          <w:sz w:val="20"/>
          <w:szCs w:val="20"/>
          <w:color w:val="auto"/>
        </w:rPr>
      </w:pPr>
      <w:r>
        <w:rPr>
          <w:rFonts w:ascii="Times New Roman" w:cs="Times New Roman" w:eastAsia="Times New Roman" w:hAnsi="Times New Roman"/>
          <w:sz w:val="12"/>
          <w:szCs w:val="12"/>
          <w:b w:val="1"/>
          <w:bCs w:val="1"/>
          <w:color w:val="auto"/>
        </w:rPr>
        <w:t>Exhibit 3.4</w:t>
      </w:r>
    </w:p>
    <w:p>
      <w:pPr>
        <w:spacing w:after="0" w:line="15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AMENDED AND RESTATED BYLAWS</w:t>
      </w:r>
    </w:p>
    <w:p>
      <w:pPr>
        <w:spacing w:after="0" w:line="15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15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(A DELAWARE CORPORATION)</w:t>
      </w:r>
    </w:p>
    <w:p>
      <w:pPr>
        <w:spacing w:after="0" w:line="14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2"/>
          <w:szCs w:val="12"/>
          <w:b w:val="1"/>
          <w:bCs w:val="1"/>
          <w:color w:val="auto"/>
        </w:rPr>
        <w:t>[____],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305435</wp:posOffset>
            </wp:positionV>
            <wp:extent cx="7176135" cy="571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4">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0160"/>
          </w:cols>
          <w:pgMar w:left="1440" w:top="289" w:right="299" w:bottom="1440" w:gutter="0" w:footer="0" w:header="0"/>
        </w:sectPr>
      </w:pPr>
    </w:p>
    <w:bookmarkStart w:id="326" w:name="page327"/>
    <w:bookmarkEnd w:id="326"/>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7000" w:type="dxa"/>
            <w:vAlign w:val="bottom"/>
          </w:tcPr>
          <w:p>
            <w:pPr>
              <w:ind w:left="360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2720" w:type="dxa"/>
            <w:vAlign w:val="bottom"/>
          </w:tcPr>
          <w:p>
            <w:pPr>
              <w:spacing w:after="0"/>
              <w:rPr>
                <w:sz w:val="13"/>
                <w:szCs w:val="13"/>
                <w:color w:val="auto"/>
              </w:rPr>
            </w:pPr>
          </w:p>
        </w:tc>
      </w:tr>
      <w:tr>
        <w:trPr>
          <w:trHeight w:val="293"/>
        </w:trPr>
        <w:tc>
          <w:tcPr>
            <w:tcW w:w="15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330"/>
        </w:trPr>
        <w:tc>
          <w:tcPr>
            <w:tcW w:w="1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ARTICLE I OFFICES</w:t>
            </w:r>
          </w:p>
        </w:tc>
        <w:tc>
          <w:tcPr>
            <w:tcW w:w="700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Registered Office</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Other Offices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220"/>
        </w:trPr>
        <w:tc>
          <w:tcPr>
            <w:tcW w:w="8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ARTICLE II CORPORATE SEAL</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3.</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 Seal</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220"/>
        </w:trPr>
        <w:tc>
          <w:tcPr>
            <w:tcW w:w="8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ARTICLE III STOCKHOLDERS’ MEETINGS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4.</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Place of Meetings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Annual Meetings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Special Meetings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7.</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Notice of Meetings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8.</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Quorum and Vote Requried</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9.</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Adjournment and Notice of Adjourned Meetings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10.</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Voting Rights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11.</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Joint Owners of Stock</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12.</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List of Stockholders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13.</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Action without Meeting</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14.</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Organization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220"/>
        </w:trPr>
        <w:tc>
          <w:tcPr>
            <w:tcW w:w="1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ARTICLE IV DIRECTORS</w:t>
            </w:r>
          </w:p>
        </w:tc>
        <w:tc>
          <w:tcPr>
            <w:tcW w:w="700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15.</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Number and Term of Office</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16.</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Powers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17.</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Classes of Directors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18.</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Vacancies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19.</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Resignation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20.</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Removal</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21.</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Meetings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22.</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Quorum and Voting</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23.</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Action without Meeting</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24.</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Fees and Compensation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25.</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Committees</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26.</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Duties of Chairperson of the Board of Directors and Lead Independent Director</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27.</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Organization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220"/>
        </w:trPr>
        <w:tc>
          <w:tcPr>
            <w:tcW w:w="1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ARTICLE V OFFICERS</w:t>
            </w:r>
          </w:p>
        </w:tc>
        <w:tc>
          <w:tcPr>
            <w:tcW w:w="700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w:t>
            </w:r>
          </w:p>
        </w:tc>
      </w:tr>
      <w:tr>
        <w:trPr>
          <w:trHeight w:val="220"/>
        </w:trPr>
        <w:tc>
          <w:tcPr>
            <w:tcW w:w="15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28.</w:t>
            </w:r>
          </w:p>
        </w:tc>
        <w:tc>
          <w:tcPr>
            <w:tcW w:w="70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Officers Designated</w:t>
            </w:r>
          </w:p>
        </w:tc>
        <w:tc>
          <w:tcPr>
            <w:tcW w:w="2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bl>
    <w:p>
      <w:pPr>
        <w:spacing w:after="0" w:line="3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76135" cy="571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5">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27" w:name="page328"/>
    <w:bookmarkEnd w:id="327"/>
    <w:tbl>
      <w:tblPr>
        <w:tblLayout w:type="fixed"/>
        <w:tblInd w:w="0" w:type="dxa"/>
        <w:tblCellMar>
          <w:top w:w="0" w:type="dxa"/>
          <w:left w:w="0" w:type="dxa"/>
          <w:bottom w:w="0" w:type="dxa"/>
          <w:right w:w="0" w:type="dxa"/>
        </w:tblCellMar>
      </w:tblPr>
      <w:tr>
        <w:trPr>
          <w:trHeight w:val="149"/>
        </w:trPr>
        <w:tc>
          <w:tcPr>
            <w:tcW w:w="1600" w:type="dxa"/>
            <w:vAlign w:val="bottom"/>
          </w:tcPr>
          <w:p>
            <w:pPr>
              <w:spacing w:after="0"/>
              <w:rPr>
                <w:sz w:val="12"/>
                <w:szCs w:val="12"/>
                <w:color w:val="auto"/>
              </w:rPr>
            </w:pPr>
          </w:p>
        </w:tc>
        <w:tc>
          <w:tcPr>
            <w:tcW w:w="7500" w:type="dxa"/>
            <w:vAlign w:val="bottom"/>
          </w:tcPr>
          <w:p>
            <w:pPr>
              <w:ind w:left="358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2200" w:type="dxa"/>
            <w:vAlign w:val="bottom"/>
          </w:tcPr>
          <w:p>
            <w:pPr>
              <w:spacing w:after="0"/>
              <w:rPr>
                <w:sz w:val="12"/>
                <w:szCs w:val="12"/>
                <w:color w:val="auto"/>
              </w:rPr>
            </w:pPr>
          </w:p>
        </w:tc>
      </w:tr>
      <w:tr>
        <w:trPr>
          <w:trHeight w:val="159"/>
        </w:trPr>
        <w:tc>
          <w:tcPr>
            <w:tcW w:w="1600" w:type="dxa"/>
            <w:vAlign w:val="bottom"/>
          </w:tcPr>
          <w:p>
            <w:pPr>
              <w:spacing w:after="0"/>
              <w:rPr>
                <w:sz w:val="13"/>
                <w:szCs w:val="13"/>
                <w:color w:val="auto"/>
              </w:rPr>
            </w:pPr>
          </w:p>
        </w:tc>
        <w:tc>
          <w:tcPr>
            <w:tcW w:w="7500" w:type="dxa"/>
            <w:vAlign w:val="bottom"/>
          </w:tcPr>
          <w:p>
            <w:pPr>
              <w:ind w:left="3760"/>
              <w:spacing w:after="0"/>
              <w:rPr>
                <w:sz w:val="20"/>
                <w:szCs w:val="20"/>
                <w:color w:val="auto"/>
              </w:rPr>
            </w:pPr>
            <w:r>
              <w:rPr>
                <w:rFonts w:ascii="Times New Roman" w:cs="Times New Roman" w:eastAsia="Times New Roman" w:hAnsi="Times New Roman"/>
                <w:sz w:val="12"/>
                <w:szCs w:val="12"/>
                <w:color w:val="auto"/>
              </w:rPr>
              <w:t>(continued)</w:t>
            </w:r>
          </w:p>
        </w:tc>
        <w:tc>
          <w:tcPr>
            <w:tcW w:w="2200" w:type="dxa"/>
            <w:vAlign w:val="bottom"/>
          </w:tcPr>
          <w:p>
            <w:pPr>
              <w:spacing w:after="0"/>
              <w:rPr>
                <w:sz w:val="13"/>
                <w:szCs w:val="13"/>
                <w:color w:val="auto"/>
              </w:rPr>
            </w:pPr>
          </w:p>
        </w:tc>
      </w:tr>
      <w:tr>
        <w:trPr>
          <w:trHeight w:val="293"/>
        </w:trPr>
        <w:tc>
          <w:tcPr>
            <w:tcW w:w="160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330"/>
        </w:trPr>
        <w:tc>
          <w:tcPr>
            <w:tcW w:w="16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29.</w:t>
            </w:r>
          </w:p>
        </w:tc>
        <w:tc>
          <w:tcPr>
            <w:tcW w:w="7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Tenure and Duties of Officers</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220"/>
        </w:trPr>
        <w:tc>
          <w:tcPr>
            <w:tcW w:w="16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30.</w:t>
            </w:r>
          </w:p>
        </w:tc>
        <w:tc>
          <w:tcPr>
            <w:tcW w:w="7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Delegation of Authority</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220"/>
        </w:trPr>
        <w:tc>
          <w:tcPr>
            <w:tcW w:w="16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31.</w:t>
            </w:r>
          </w:p>
        </w:tc>
        <w:tc>
          <w:tcPr>
            <w:tcW w:w="7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Resignations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220"/>
        </w:trPr>
        <w:tc>
          <w:tcPr>
            <w:tcW w:w="16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32.</w:t>
            </w:r>
          </w:p>
        </w:tc>
        <w:tc>
          <w:tcPr>
            <w:tcW w:w="7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Removal</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220"/>
        </w:trPr>
        <w:tc>
          <w:tcPr>
            <w:tcW w:w="9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ARTICLE VI EXECUTION OF CORPORATE INSTRUMENTS AND VOTING OF SECURITIES OWNED BY THE CORPORATION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w:t>
            </w:r>
          </w:p>
        </w:tc>
      </w:tr>
      <w:tr>
        <w:trPr>
          <w:trHeight w:val="220"/>
        </w:trPr>
        <w:tc>
          <w:tcPr>
            <w:tcW w:w="16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33.</w:t>
            </w:r>
          </w:p>
        </w:tc>
        <w:tc>
          <w:tcPr>
            <w:tcW w:w="7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Execution of Corporate Instruments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220"/>
        </w:trPr>
        <w:tc>
          <w:tcPr>
            <w:tcW w:w="16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34.</w:t>
            </w:r>
          </w:p>
        </w:tc>
        <w:tc>
          <w:tcPr>
            <w:tcW w:w="7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Voting of Securities Owned By the Corporation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220"/>
        </w:trPr>
        <w:tc>
          <w:tcPr>
            <w:tcW w:w="9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ARTICLE VII SHARES OF STOCK</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w:t>
            </w:r>
          </w:p>
        </w:tc>
      </w:tr>
      <w:tr>
        <w:trPr>
          <w:trHeight w:val="220"/>
        </w:trPr>
        <w:tc>
          <w:tcPr>
            <w:tcW w:w="16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35.</w:t>
            </w:r>
          </w:p>
        </w:tc>
        <w:tc>
          <w:tcPr>
            <w:tcW w:w="7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Form and Execution of Certificates</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220"/>
        </w:trPr>
        <w:tc>
          <w:tcPr>
            <w:tcW w:w="16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36.</w:t>
            </w:r>
          </w:p>
        </w:tc>
        <w:tc>
          <w:tcPr>
            <w:tcW w:w="7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Lost Certificates</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220"/>
        </w:trPr>
        <w:tc>
          <w:tcPr>
            <w:tcW w:w="16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37.</w:t>
            </w:r>
          </w:p>
        </w:tc>
        <w:tc>
          <w:tcPr>
            <w:tcW w:w="7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Transfers</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220"/>
        </w:trPr>
        <w:tc>
          <w:tcPr>
            <w:tcW w:w="16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38.</w:t>
            </w:r>
          </w:p>
        </w:tc>
        <w:tc>
          <w:tcPr>
            <w:tcW w:w="7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Fixing Record Dates</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220"/>
        </w:trPr>
        <w:tc>
          <w:tcPr>
            <w:tcW w:w="16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39.</w:t>
            </w:r>
          </w:p>
        </w:tc>
        <w:tc>
          <w:tcPr>
            <w:tcW w:w="7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Registered Stockholders</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220"/>
        </w:trPr>
        <w:tc>
          <w:tcPr>
            <w:tcW w:w="16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40.</w:t>
            </w:r>
          </w:p>
        </w:tc>
        <w:tc>
          <w:tcPr>
            <w:tcW w:w="7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Additional Powers of the Board</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220"/>
        </w:trPr>
        <w:tc>
          <w:tcPr>
            <w:tcW w:w="9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ARTICLE VIII OTHER SECURITIES OF THE CORPORATION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w:t>
            </w:r>
          </w:p>
        </w:tc>
      </w:tr>
      <w:tr>
        <w:trPr>
          <w:trHeight w:val="220"/>
        </w:trPr>
        <w:tc>
          <w:tcPr>
            <w:tcW w:w="16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41.</w:t>
            </w:r>
          </w:p>
        </w:tc>
        <w:tc>
          <w:tcPr>
            <w:tcW w:w="7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Execution of Other Securities</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220"/>
        </w:trPr>
        <w:tc>
          <w:tcPr>
            <w:tcW w:w="1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ARTICLE IX DIVIDENDS</w:t>
            </w:r>
          </w:p>
        </w:tc>
        <w:tc>
          <w:tcPr>
            <w:tcW w:w="75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w:t>
            </w:r>
          </w:p>
        </w:tc>
      </w:tr>
      <w:tr>
        <w:trPr>
          <w:trHeight w:val="220"/>
        </w:trPr>
        <w:tc>
          <w:tcPr>
            <w:tcW w:w="16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42.</w:t>
            </w:r>
          </w:p>
        </w:tc>
        <w:tc>
          <w:tcPr>
            <w:tcW w:w="7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Declaration of Dividends</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220"/>
        </w:trPr>
        <w:tc>
          <w:tcPr>
            <w:tcW w:w="16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43.</w:t>
            </w:r>
          </w:p>
        </w:tc>
        <w:tc>
          <w:tcPr>
            <w:tcW w:w="7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Dividend Reserve</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220"/>
        </w:trPr>
        <w:tc>
          <w:tcPr>
            <w:tcW w:w="1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ARTICLE X FISCAL YEAR</w:t>
            </w:r>
          </w:p>
        </w:tc>
        <w:tc>
          <w:tcPr>
            <w:tcW w:w="75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w:t>
            </w:r>
          </w:p>
        </w:tc>
      </w:tr>
      <w:tr>
        <w:trPr>
          <w:trHeight w:val="220"/>
        </w:trPr>
        <w:tc>
          <w:tcPr>
            <w:tcW w:w="16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44.</w:t>
            </w:r>
          </w:p>
        </w:tc>
        <w:tc>
          <w:tcPr>
            <w:tcW w:w="7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220"/>
        </w:trPr>
        <w:tc>
          <w:tcPr>
            <w:tcW w:w="9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ARTICLE XI INDEMNIFICATION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w:t>
            </w:r>
          </w:p>
        </w:tc>
      </w:tr>
      <w:tr>
        <w:trPr>
          <w:trHeight w:val="220"/>
        </w:trPr>
        <w:tc>
          <w:tcPr>
            <w:tcW w:w="16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45.</w:t>
            </w:r>
          </w:p>
        </w:tc>
        <w:tc>
          <w:tcPr>
            <w:tcW w:w="7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Indemnification of Directors, Executive Officers, Other Officers, Employees and Other Agents.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220"/>
        </w:trPr>
        <w:tc>
          <w:tcPr>
            <w:tcW w:w="1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ARTICLE XII NOTICES</w:t>
            </w:r>
          </w:p>
        </w:tc>
        <w:tc>
          <w:tcPr>
            <w:tcW w:w="75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w:t>
            </w:r>
          </w:p>
        </w:tc>
      </w:tr>
      <w:tr>
        <w:trPr>
          <w:trHeight w:val="220"/>
        </w:trPr>
        <w:tc>
          <w:tcPr>
            <w:tcW w:w="16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46.</w:t>
            </w:r>
          </w:p>
        </w:tc>
        <w:tc>
          <w:tcPr>
            <w:tcW w:w="7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Notices</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220"/>
        </w:trPr>
        <w:tc>
          <w:tcPr>
            <w:tcW w:w="9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ARTICLE XIII AMENDMENTS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25</w:t>
            </w:r>
          </w:p>
        </w:tc>
      </w:tr>
      <w:tr>
        <w:trPr>
          <w:trHeight w:val="220"/>
        </w:trPr>
        <w:tc>
          <w:tcPr>
            <w:tcW w:w="16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47.</w:t>
            </w:r>
          </w:p>
        </w:tc>
        <w:tc>
          <w:tcPr>
            <w:tcW w:w="7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Amendments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220"/>
        </w:trPr>
        <w:tc>
          <w:tcPr>
            <w:tcW w:w="9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ARTICLE XIV LOANS TO OFFICERS</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25</w:t>
            </w:r>
          </w:p>
        </w:tc>
      </w:tr>
      <w:tr>
        <w:trPr>
          <w:trHeight w:val="220"/>
        </w:trPr>
        <w:tc>
          <w:tcPr>
            <w:tcW w:w="16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48.</w:t>
            </w:r>
          </w:p>
        </w:tc>
        <w:tc>
          <w:tcPr>
            <w:tcW w:w="75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Loans to Officers</w:t>
            </w: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r>
    </w:tbl>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76135" cy="571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6">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74" w:right="299" w:bottom="1440" w:gutter="0" w:footer="0" w:header="0"/>
        </w:sectPr>
      </w:pPr>
    </w:p>
    <w:bookmarkStart w:id="328" w:name="page329"/>
    <w:bookmarkEnd w:id="328"/>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 BYLAWS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 DELAWARE CORPORATION)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OFFICES</w:t>
      </w:r>
    </w:p>
    <w:p>
      <w:pPr>
        <w:spacing w:after="0" w:line="155" w:lineRule="exact"/>
        <w:rPr>
          <w:sz w:val="20"/>
          <w:szCs w:val="20"/>
          <w:color w:val="auto"/>
        </w:rPr>
      </w:pPr>
    </w:p>
    <w:p>
      <w:pPr>
        <w:jc w:val="both"/>
        <w:ind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Section 1.         Registered Office. </w:t>
      </w:r>
      <w:r>
        <w:rPr>
          <w:rFonts w:ascii="Times New Roman" w:cs="Times New Roman" w:eastAsia="Times New Roman" w:hAnsi="Times New Roman"/>
          <w:sz w:val="12"/>
          <w:szCs w:val="12"/>
          <w:color w:val="auto"/>
        </w:rPr>
        <w:t>The registered office of Alumis Inc. (the “</w:t>
      </w:r>
      <w:r>
        <w:rPr>
          <w:rFonts w:ascii="Times New Roman" w:cs="Times New Roman" w:eastAsia="Times New Roman" w:hAnsi="Times New Roman"/>
          <w:sz w:val="12"/>
          <w:szCs w:val="12"/>
          <w:b w:val="1"/>
          <w:bCs w:val="1"/>
          <w:i w:val="1"/>
          <w:iCs w:val="1"/>
          <w:color w:val="auto"/>
        </w:rPr>
        <w:t>Corporation</w:t>
      </w:r>
      <w:r>
        <w:rPr>
          <w:rFonts w:ascii="Times New Roman" w:cs="Times New Roman" w:eastAsia="Times New Roman" w:hAnsi="Times New Roman"/>
          <w:sz w:val="12"/>
          <w:szCs w:val="12"/>
          <w:color w:val="auto"/>
        </w:rPr>
        <w:t>”) in the State of Delaware and the name of its registered agent at such address shall be as set forth in the Amended and Restated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Certificate of Incorporation of the Corporation, as the same may be amended or restated from time to time (the “</w:t>
      </w:r>
      <w:r>
        <w:rPr>
          <w:rFonts w:ascii="Times New Roman" w:cs="Times New Roman" w:eastAsia="Times New Roman" w:hAnsi="Times New Roman"/>
          <w:sz w:val="12"/>
          <w:szCs w:val="12"/>
          <w:b w:val="1"/>
          <w:bCs w:val="1"/>
          <w:i w:val="1"/>
          <w:iCs w:val="1"/>
          <w:color w:val="auto"/>
        </w:rPr>
        <w:t>Certificate of Incorporation</w:t>
      </w:r>
      <w:r>
        <w:rPr>
          <w:rFonts w:ascii="Times New Roman" w:cs="Times New Roman" w:eastAsia="Times New Roman" w:hAnsi="Times New Roman"/>
          <w:sz w:val="12"/>
          <w:szCs w:val="12"/>
          <w:color w:val="auto"/>
        </w:rPr>
        <w:t>”).</w:t>
      </w:r>
    </w:p>
    <w:p>
      <w:pPr>
        <w:spacing w:after="0" w:line="102" w:lineRule="exact"/>
        <w:rPr>
          <w:sz w:val="20"/>
          <w:szCs w:val="20"/>
          <w:color w:val="auto"/>
        </w:rPr>
      </w:pPr>
    </w:p>
    <w:p>
      <w:pPr>
        <w:jc w:val="both"/>
        <w:ind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Section 2.         Other Offices. </w:t>
      </w:r>
      <w:r>
        <w:rPr>
          <w:rFonts w:ascii="Times New Roman" w:cs="Times New Roman" w:eastAsia="Times New Roman" w:hAnsi="Times New Roman"/>
          <w:sz w:val="12"/>
          <w:szCs w:val="12"/>
          <w:color w:val="auto"/>
        </w:rPr>
        <w:t>The Corporation may also have and maintain an office or principal place of business at such place as may be fixed by the board of directors of the Corporation (the “</w:t>
      </w:r>
      <w:r>
        <w:rPr>
          <w:rFonts w:ascii="Times New Roman" w:cs="Times New Roman" w:eastAsia="Times New Roman" w:hAnsi="Times New Roman"/>
          <w:sz w:val="12"/>
          <w:szCs w:val="12"/>
          <w:b w:val="1"/>
          <w:bCs w:val="1"/>
          <w:i w:val="1"/>
          <w:iCs w:val="1"/>
          <w:color w:val="auto"/>
        </w:rPr>
        <w:t>Board of Directors</w:t>
      </w:r>
      <w:r>
        <w:rPr>
          <w:rFonts w:ascii="Times New Roman" w:cs="Times New Roman" w:eastAsia="Times New Roman" w:hAnsi="Times New Roman"/>
          <w:sz w:val="12"/>
          <w:szCs w:val="12"/>
          <w:color w:val="auto"/>
        </w:rPr>
        <w:t>”),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may also have offices at such other places, both within and without the State of Delaware, as the Board of Directors may from time to time determine or the business of the Corporation may require.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CORPORATE SEAL</w:t>
      </w:r>
    </w:p>
    <w:p>
      <w:pPr>
        <w:spacing w:after="0" w:line="155" w:lineRule="exact"/>
        <w:rPr>
          <w:sz w:val="20"/>
          <w:szCs w:val="20"/>
          <w:color w:val="auto"/>
        </w:rPr>
      </w:pPr>
    </w:p>
    <w:p>
      <w:pPr>
        <w:jc w:val="both"/>
        <w:ind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Section 3.         Corporate Seal. </w:t>
      </w:r>
      <w:r>
        <w:rPr>
          <w:rFonts w:ascii="Times New Roman" w:cs="Times New Roman" w:eastAsia="Times New Roman" w:hAnsi="Times New Roman"/>
          <w:sz w:val="12"/>
          <w:szCs w:val="12"/>
          <w:color w:val="auto"/>
        </w:rPr>
        <w:t>The Board of Directors may adopt a corporate seal. If adopted, the corporate seal shall consist of the name of the Corporation and the inscription, “Corporate Seal-Delaware.” Said seal may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used by causing it or a facsimile thereof to be impressed or affixed or reproduced or otherwise.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STOCKHOLDERS’ MEETINGS</w:t>
      </w:r>
    </w:p>
    <w:p>
      <w:pPr>
        <w:spacing w:after="0" w:line="155" w:lineRule="exact"/>
        <w:rPr>
          <w:sz w:val="20"/>
          <w:szCs w:val="20"/>
          <w:color w:val="auto"/>
        </w:rPr>
      </w:pPr>
    </w:p>
    <w:p>
      <w:pPr>
        <w:jc w:val="both"/>
        <w:ind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Section 4.         Place of Meetings. </w:t>
      </w:r>
      <w:r>
        <w:rPr>
          <w:rFonts w:ascii="Times New Roman" w:cs="Times New Roman" w:eastAsia="Times New Roman" w:hAnsi="Times New Roman"/>
          <w:sz w:val="12"/>
          <w:szCs w:val="12"/>
          <w:color w:val="auto"/>
        </w:rPr>
        <w:t>Meetings of the stockholders of the Corporation may be held at such place, if any, either within or without the State of Delaware, as may be determined from time to time by the Board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Directors. The Board of Directors may, in its sole discretion, determine that the meeting shall not be held at any place, but may instead be held solely by means of remote communication as provided under the General Corporation Law of the State of Delaware (the “</w:t>
      </w:r>
      <w:r>
        <w:rPr>
          <w:rFonts w:ascii="Times New Roman" w:cs="Times New Roman" w:eastAsia="Times New Roman" w:hAnsi="Times New Roman"/>
          <w:sz w:val="12"/>
          <w:szCs w:val="12"/>
          <w:b w:val="1"/>
          <w:bCs w:val="1"/>
          <w:i w:val="1"/>
          <w:iCs w:val="1"/>
          <w:color w:val="auto"/>
        </w:rPr>
        <w:t>DGCL</w:t>
      </w:r>
      <w:r>
        <w:rPr>
          <w:rFonts w:ascii="Times New Roman" w:cs="Times New Roman" w:eastAsia="Times New Roman" w:hAnsi="Times New Roman"/>
          <w:sz w:val="12"/>
          <w:szCs w:val="12"/>
          <w:color w:val="auto"/>
        </w:rPr>
        <w:t>”) and Section 14 below.</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Section 5.         Annual Meetings.</w:t>
      </w:r>
    </w:p>
    <w:p>
      <w:pPr>
        <w:spacing w:after="0" w:line="155" w:lineRule="exact"/>
        <w:rPr>
          <w:sz w:val="20"/>
          <w:szCs w:val="20"/>
          <w:color w:val="auto"/>
        </w:rPr>
      </w:pPr>
    </w:p>
    <w:p>
      <w:pPr>
        <w:jc w:val="both"/>
        <w:ind w:firstLine="879"/>
        <w:spacing w:after="0" w:line="260"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The annual meeting of the stockholders of the Corporation, for the purpose of election of directors and for such other business as may properly come before it, shall be held on such date, time and place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may be designated from time to time by the Board of Directors. The corporation may postpone, reschedule or cancel any annual meeting of stockholders previously scheduled by the Board of Directors. Nominations of persons for election to the Board of Directors and proposals of business to be considered by the stockholders may be made at an annual meeting of stockholders: (i) by or at the direction of the Board of Directors or a duly authorized committee thereof; or (ii) by any stockholder of the Corporation who was a stockholder of record (and, with respect to any beneficial owner, if different, on whose behalf such business is proposed or such nomination or nominations are made, only if such beneficial owner was the beneficial owner of shares of the Corporation) at the time of giving the stockholder’s notice provided for in Section 5(b) below and who is a stockholder of record at the time of the annual meeting of stockholders, who is entitled to vote at the meeting and who complied with the notice procedures set forth in this Section 5. For the avoidance of doubt, clause (ii)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Times New Roman" w:cs="Times New Roman" w:eastAsia="Times New Roman" w:hAnsi="Times New Roman"/>
          <w:sz w:val="12"/>
          <w:szCs w:val="12"/>
          <w:b w:val="1"/>
          <w:bCs w:val="1"/>
          <w:i w:val="1"/>
          <w:iCs w:val="1"/>
          <w:color w:val="auto"/>
        </w:rPr>
        <w:t>1934 Act</w:t>
      </w:r>
      <w:r>
        <w:rPr>
          <w:rFonts w:ascii="Times New Roman" w:cs="Times New Roman" w:eastAsia="Times New Roman" w:hAnsi="Times New Roman"/>
          <w:sz w:val="12"/>
          <w:szCs w:val="12"/>
          <w:color w:val="auto"/>
        </w:rPr>
        <w:t>”)) before an annual meeting of stockholders.</w:t>
      </w: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7">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329" w:name="page330"/>
    <w:bookmarkEnd w:id="329"/>
    <w:p>
      <w:pPr>
        <w:jc w:val="both"/>
        <w:ind w:firstLine="879"/>
        <w:spacing w:after="0" w:line="274"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At an annual meeting of the stockholders, only such business shall be conducted as is a proper matter for stockholder action under the DGCL, the Certificate of Incorporation and these Amended and Restated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Bylaws, as the same may be amended or restated from time to time (the “</w:t>
      </w:r>
      <w:r>
        <w:rPr>
          <w:rFonts w:ascii="Times New Roman" w:cs="Times New Roman" w:eastAsia="Times New Roman" w:hAnsi="Times New Roman"/>
          <w:sz w:val="12"/>
          <w:szCs w:val="12"/>
          <w:b w:val="1"/>
          <w:bCs w:val="1"/>
          <w:i w:val="1"/>
          <w:iCs w:val="1"/>
          <w:color w:val="auto"/>
        </w:rPr>
        <w:t>Bylaws</w:t>
      </w:r>
      <w:r>
        <w:rPr>
          <w:rFonts w:ascii="Times New Roman" w:cs="Times New Roman" w:eastAsia="Times New Roman" w:hAnsi="Times New Roman"/>
          <w:sz w:val="12"/>
          <w:szCs w:val="12"/>
          <w:color w:val="auto"/>
        </w:rPr>
        <w:t>”) and only such nominations shall be made and such business shall be conducted as shall have been properly brought before the meeting in accordance with the procedures below.</w:t>
      </w:r>
    </w:p>
    <w:p>
      <w:pPr>
        <w:spacing w:after="0" w:line="114" w:lineRule="exact"/>
        <w:rPr>
          <w:sz w:val="20"/>
          <w:szCs w:val="20"/>
          <w:color w:val="auto"/>
        </w:rPr>
      </w:pPr>
    </w:p>
    <w:p>
      <w:pPr>
        <w:jc w:val="both"/>
        <w:ind w:firstLine="1187"/>
        <w:spacing w:after="0" w:line="258" w:lineRule="auto"/>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For nominations for the election to the Board of Directors to be properly brought before an annual meeting by a stockholder pursuant to clause (ii) of Section 5(a), the stockholder must deliver written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notice to the Secretary of the Corporation at the principal executive offices of the Corporation on a timely basis as set forth in Section 5(b)(ii) and must update and supplement the information in contained in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or series and number of shares of each class or series of capital stock of the Corporation that are owned of record and beneficially by such nominee and list of any pledge of or encumbrances on such shares; (4) the date or dates on which such shares were acquired and the investment intent of such acquisition; (5) the questionnaire, representation and agreement required by Section 5(b)(iv)(D), completed and signed by such nominee, and (6) such other information concerning such nominee as would be required to be disclosed in a proxy statement soliciting proxies for the election of such nominee as a director in an election contest (even if an election contest is not involved and whether or not proxies are being or will be solicited), or that is otherwise required to be disclosed or provided to the Corporation pursuant to Section 14 of the 1934 Act (including such person’s written consent to being named in a proxy statement and associated proxy card as a nominee of the stockholder and to serving as a director if elected); and (B) all of the information required by Section 5(b)(iv). The Corporation may require any proposed nominee to furnish such other information as it may reasonably require to determine the eligibility of such proposed nominee to serve as a director of the Corporation and to determine the independence of such proposed nominee (as defined by any applicable stock exchange listing requirements or applicable law) or of any committees or sub-committee of the Board of Directors under any applicable stock exchange listing requirements or applicable law, or that the Board determines, in its sole discretion, could be material to a reasonable stockholder’s understanding of the background, qualifications, experience, independence, </w:t>
      </w:r>
      <w:r>
        <w:rPr>
          <w:rFonts w:ascii="Times New Roman" w:cs="Times New Roman" w:eastAsia="Times New Roman" w:hAnsi="Times New Roman"/>
          <w:sz w:val="12"/>
          <w:szCs w:val="12"/>
          <w:i w:val="1"/>
          <w:iCs w:val="1"/>
          <w:color w:val="auto"/>
        </w:rPr>
        <w:t>or</w:t>
      </w:r>
      <w:r>
        <w:rPr>
          <w:rFonts w:ascii="Times New Roman" w:cs="Times New Roman" w:eastAsia="Times New Roman" w:hAnsi="Times New Roman"/>
          <w:sz w:val="12"/>
          <w:szCs w:val="12"/>
          <w:color w:val="auto"/>
        </w:rPr>
        <w:t xml:space="preserve"> lack thereof, of such proposed nominee. The number of nominees a stockholder may nominate for election at the annual meeting on its own behalf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8">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330" w:name="page331"/>
    <w:bookmarkEnd w:id="330"/>
    <w:p>
      <w:pPr>
        <w:jc w:val="both"/>
        <w:ind w:left="7" w:firstLine="1187"/>
        <w:spacing w:after="0" w:line="261" w:lineRule="auto"/>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Other than proposals sought to be included in the Corporation’s proxy materials pursuant to Rule 14a-8 under the 1934 Act, for business other than nominations for the election to the Board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Directors to be properly brought before an annual meeting by a stockholder pursuant to clause (iii) of Section 5(a), the stockholder must deliver written notice to the Secretary of the Corporation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5(b)(iv).</w:t>
      </w:r>
    </w:p>
    <w:p>
      <w:pPr>
        <w:spacing w:after="0" w:line="122" w:lineRule="exact"/>
        <w:rPr>
          <w:sz w:val="20"/>
          <w:szCs w:val="20"/>
          <w:color w:val="auto"/>
        </w:rPr>
      </w:pPr>
    </w:p>
    <w:p>
      <w:pPr>
        <w:jc w:val="both"/>
        <w:ind w:left="7" w:firstLine="1187"/>
        <w:spacing w:after="0" w:line="219" w:lineRule="auto"/>
        <w:rPr>
          <w:sz w:val="20"/>
          <w:szCs w:val="20"/>
          <w:color w:val="auto"/>
        </w:rPr>
      </w:pPr>
      <w:r>
        <w:rPr>
          <w:rFonts w:ascii="Times New Roman" w:cs="Times New Roman" w:eastAsia="Times New Roman" w:hAnsi="Times New Roman"/>
          <w:sz w:val="12"/>
          <w:szCs w:val="12"/>
          <w:b w:val="1"/>
          <w:bCs w:val="1"/>
          <w:color w:val="auto"/>
        </w:rPr>
        <w:t>(iii)          </w:t>
      </w:r>
      <w:r>
        <w:rPr>
          <w:rFonts w:ascii="Times New Roman" w:cs="Times New Roman" w:eastAsia="Times New Roman" w:hAnsi="Times New Roman"/>
          <w:sz w:val="12"/>
          <w:szCs w:val="12"/>
          <w:color w:val="auto"/>
        </w:rPr>
        <w:t>To be timely, the written notice required by Section 5(b)(i) or 5(b)(ii) must be received by the Secretary of the Corporation at the principal executive offices of the Corporation not later than the close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2"/>
          <w:szCs w:val="12"/>
          <w:color w:val="auto"/>
        </w:rPr>
        <w:t xml:space="preserve"> day nor earlier than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2"/>
          <w:szCs w:val="12"/>
          <w:color w:val="auto"/>
        </w:rPr>
        <w:t xml:space="preserve"> day prior to the first anniversary of the immediately preceding year’s annual meeting; provided, however, that, subject to the last sentence of this Section 5(b)(ii), in the event that</w:t>
      </w:r>
    </w:p>
    <w:p>
      <w:pPr>
        <w:spacing w:after="0" w:line="1" w:lineRule="exact"/>
        <w:rPr>
          <w:sz w:val="20"/>
          <w:szCs w:val="20"/>
          <w:color w:val="auto"/>
        </w:rPr>
      </w:pPr>
    </w:p>
    <w:p>
      <w:pPr>
        <w:jc w:val="both"/>
        <w:ind w:left="7" w:hanging="7"/>
        <w:spacing w:after="0" w:line="232" w:lineRule="auto"/>
        <w:tabs>
          <w:tab w:leader="none" w:pos="207"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of the annual meeting is advanced more than 30 days prior to or delayed by more than 30 days after the anniversary of the preceding year’s annual meeting, notice by the stockholder to be timely must be so received not earlier than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2"/>
          <w:szCs w:val="12"/>
          <w:color w:val="auto"/>
        </w:rPr>
        <w:t xml:space="preserve"> day prior to such annual meeting and not later than the close of business on the later of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2"/>
          <w:szCs w:val="12"/>
          <w:color w:val="auto"/>
        </w:rPr>
        <w:t xml:space="preserve"> day prior to such annual meeting or the tenth day following the day on which public announcement of the date of such meeting is first made by the Corporation or (B) the Corporation did not have an annual meeting in the preceding year, notice by the stockholder to be timely must be so received not later than the tenth day following the day on which public announcement of the date of such meeting is first made. In no event shall an adjournment, recess or postponement of an annual meeting for which notice has been given, or the public announcement thereof has been made, commence a new time period (or extend any time period) for the giving of a stockholder’s notice as described above.</w:t>
      </w:r>
    </w:p>
    <w:p>
      <w:pPr>
        <w:spacing w:after="0" w:line="135" w:lineRule="exact"/>
        <w:rPr>
          <w:sz w:val="20"/>
          <w:szCs w:val="20"/>
          <w:color w:val="auto"/>
        </w:rPr>
      </w:pPr>
    </w:p>
    <w:p>
      <w:pPr>
        <w:jc w:val="both"/>
        <w:ind w:left="7" w:firstLine="1187"/>
        <w:spacing w:after="0" w:line="257" w:lineRule="auto"/>
        <w:rPr>
          <w:sz w:val="20"/>
          <w:szCs w:val="20"/>
          <w:color w:val="auto"/>
        </w:rPr>
      </w:pPr>
      <w:r>
        <w:rPr>
          <w:rFonts w:ascii="Times New Roman" w:cs="Times New Roman" w:eastAsia="Times New Roman" w:hAnsi="Times New Roman"/>
          <w:sz w:val="12"/>
          <w:szCs w:val="12"/>
          <w:b w:val="1"/>
          <w:bCs w:val="1"/>
          <w:color w:val="auto"/>
        </w:rPr>
        <w:t>(iv)           </w:t>
      </w:r>
      <w:r>
        <w:rPr>
          <w:rFonts w:ascii="Times New Roman" w:cs="Times New Roman" w:eastAsia="Times New Roman" w:hAnsi="Times New Roman"/>
          <w:sz w:val="12"/>
          <w:szCs w:val="12"/>
          <w:color w:val="auto"/>
        </w:rPr>
        <w:t>The written notice required by Sections 5(b)(i) or 5(b)(ii) shall also set forth, as of the date of the notice and as to the stockholder giving the notice and the beneficial owner, if any, on whose behalf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nomination or proposal is made (each, a “</w:t>
      </w:r>
      <w:r>
        <w:rPr>
          <w:rFonts w:ascii="Times New Roman" w:cs="Times New Roman" w:eastAsia="Times New Roman" w:hAnsi="Times New Roman"/>
          <w:sz w:val="12"/>
          <w:szCs w:val="12"/>
          <w:b w:val="1"/>
          <w:bCs w:val="1"/>
          <w:i w:val="1"/>
          <w:iCs w:val="1"/>
          <w:color w:val="auto"/>
        </w:rPr>
        <w:t>Proponent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i w:val="1"/>
          <w:iCs w:val="1"/>
          <w:color w:val="auto"/>
        </w:rPr>
        <w:t>Proponents</w:t>
      </w:r>
      <w:r>
        <w:rPr>
          <w:rFonts w:ascii="Times New Roman" w:cs="Times New Roman" w:eastAsia="Times New Roman" w:hAnsi="Times New Roman"/>
          <w:sz w:val="12"/>
          <w:szCs w:val="12"/>
          <w:color w:val="auto"/>
        </w:rPr>
        <w:t>”): (A) the name and address of each Proponent, including, if applicable, such name and address as they appear on the Corporation’s books and records; (B) the class, series and number of shares of each class or series of the capital stock of the Corporation that are directly or indirectly owned of record or beneficially (within the meaning of Rule 13d-3 under the 1934 Act) by each Proponent (provided, that for purposes of this Section 5(b)(iv), such Proponent shall in all events be deemed to beneficially own all shares of any class or series of capital stock of the Corporation as to which such Proponent has a right to acquire beneficial ownership at any time in the future); (C) a description of any agreement, arrangement or understanding (whether oral or in writing) with respect to such nomination or proposal (and/or the voting of shares of any class or series of capital stock of the Corporation) between or among any Proponent and any of its affiliates or associates, and any other persons (including their names), or otherwise under the agreement, arrangement or understanding, with any of the foregoing; (D) a representation that the stockholder is a holder of record of shares of the Corporation at the time of giving notice, will be entitled to vote at the meeting and intends to appear in person or by proxy at the meeting to nominate the person or persons specified in the notice (with respect to a notice under Section 5(b)(i)) or to propose the business that is specified in the notice (with respect to a notice under Section 5(b)(ii)); (E) a representation as to whether the Proponents intend, or are a part of a group which intends, (x) to deliver, or make available, a proxy statement and/or form of proxy to holders of at least the percentage of the Corporation’s voting shares required to approve or adopt the proposal or elect the nominee, (y) to otherwise solicit proxies or votes from stockholders in support of such proposal or nomination and/or (z) to solicit proxies from the required number of the Corporation’s voting shares in support of any proposed nominee in accordance with or as required by Rule 14a-19 promulgated under the 1934 Act; (F) to the extent known by any Proponent, the name and address of any other stockholder supporting the proposal on the date of such stockholder’s notice; (G) a description of all Derivative Transactions (as defined below) by each Proponent during the previous 12-month period, including the date of the transactions and the class, series and number of securities involved in, and the material economic or voting terms of, such Derivative Transactions; (H) a certification regarding each Proponent has complied with all applicable federal, state and other legal requirements in connection with such Proponent’s acquisition of shares of capital stock or other securities of the Corporation and/or such Proponent’s acts or omissions as a stockholder or beneficial owner of the Corporation and (I) any other information relating to the Proponents required to be disclosed in a proxy statement or other filings required to be made in connection with solicitations of proxies for, as applicable, the proposal and/or for the election of directors in an election contest pursuant to and in accordance with Section 14 of the 1934 Act and the rules and regulations promulgated thereunder.</w:t>
      </w:r>
    </w:p>
    <w:p>
      <w:pPr>
        <w:spacing w:after="0" w:line="275"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135" cy="571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9">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656" w:right="299" w:bottom="1440" w:gutter="0" w:footer="0" w:header="0"/>
        </w:sectPr>
      </w:pPr>
    </w:p>
    <w:bookmarkStart w:id="331" w:name="page332"/>
    <w:bookmarkEnd w:id="331"/>
    <w:p>
      <w:pPr>
        <w:jc w:val="both"/>
        <w:ind w:left="7" w:firstLine="879"/>
        <w:spacing w:after="0" w:line="260"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A stockholder providing the written notice required by Section 5(b)(i) or (ii) shall update and supplement such notice in writing, if necessary, so that the information provided or required to be provided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such notice is true and correct in all material respects as of (i) the record date for the determination of stockholders entitled to notice of the meeting and (ii) the date that is five business days(as defined below) prior to the meeting and, in the event of any adjournment, recess or postponement thereof, five business days prior to such adjourned, recessed or postponed meeting; provided, that no such update or supplement shall cure or affect the accuracy (or inaccuracy) of any representations made by any Proponent, any of its affiliates or associates, or a nominee or the validity (or invalidity) of any nomination or proposal that failed to comply with this Section 5 or is rendered invalid as a result of any inaccuracy therein. In the case of an update and supplement pursuant to clause (i) of this Section 5(c), such update and supplement shall be received by the Secretary of the Corporation at the principal executive offices of the Corporation not later than five business days after the later of the record date for the determination of stockholders entitled to notice of the meeting or the public announcement of such record date. In the case of an update and supplement pursuant to clause (ii) of this Section 5(c), such update and supplement shall be received by the Secretary of the Corporation at the principal executive offices of the Corporation not later than two business days prior to the date for the meeting, and, in the event of any adjournment or postponement thereof, two business days prior to such adjourned or postponed meeting.</w:t>
      </w:r>
    </w:p>
    <w:p>
      <w:pPr>
        <w:spacing w:after="0" w:line="123" w:lineRule="exact"/>
        <w:rPr>
          <w:sz w:val="20"/>
          <w:szCs w:val="20"/>
          <w:color w:val="auto"/>
        </w:rPr>
      </w:pPr>
    </w:p>
    <w:p>
      <w:pPr>
        <w:jc w:val="both"/>
        <w:ind w:left="7" w:firstLine="879"/>
        <w:spacing w:after="0" w:line="262" w:lineRule="auto"/>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Notwithstanding anything in Section 5(b)(iii) to the contrary, in the event that the number of directors in an Expiring Class (as defined below) to be elected to the Board of Directors at the next annual meeting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 increased effective after the time period for which nominations would otherwise be due under Section 5(b)(iii) and there is no public announcement by the Corporation naming the nominees for the additional directorships at least 100 days before the first anniversary of the preceding year’s annual meeting, a stockholder’s notice required by this Section 5 and that complies with the requirements in Section 5(b)(i), other than the timing requirements in Section 5(b)(iii), shall also be considered timely, but only with respect to nominees for the additional directorships in such Expiring Class, if it shall be received by the Secretary of the Corporation at the principal executive offices of the Corporation not later than the close of business on the tenth day following the day on which such public announcement is first made by the Corporation. For purposes of this section, an “</w:t>
      </w:r>
      <w:r>
        <w:rPr>
          <w:rFonts w:ascii="Times New Roman" w:cs="Times New Roman" w:eastAsia="Times New Roman" w:hAnsi="Times New Roman"/>
          <w:sz w:val="12"/>
          <w:szCs w:val="12"/>
          <w:b w:val="1"/>
          <w:bCs w:val="1"/>
          <w:i w:val="1"/>
          <w:iCs w:val="1"/>
          <w:color w:val="auto"/>
        </w:rPr>
        <w:t>Expiring Class</w:t>
      </w:r>
      <w:r>
        <w:rPr>
          <w:rFonts w:ascii="Times New Roman" w:cs="Times New Roman" w:eastAsia="Times New Roman" w:hAnsi="Times New Roman"/>
          <w:sz w:val="12"/>
          <w:szCs w:val="12"/>
          <w:color w:val="auto"/>
        </w:rPr>
        <w:t>” shall mean a class of directors whose term shall expire at the annual meeting of stockholders.</w:t>
      </w:r>
    </w:p>
    <w:p>
      <w:pPr>
        <w:spacing w:after="0" w:line="122" w:lineRule="exact"/>
        <w:rPr>
          <w:sz w:val="20"/>
          <w:szCs w:val="20"/>
          <w:color w:val="auto"/>
        </w:rPr>
      </w:pPr>
    </w:p>
    <w:p>
      <w:pPr>
        <w:jc w:val="both"/>
        <w:ind w:left="7" w:firstLine="879"/>
        <w:spacing w:after="0" w:line="259"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To be eligible to be a nominee for election or re-election as a director of the Corporation pursuant to a nomination under clause (iii) of Section 5(a), each Proponent must deliver (in accordance with the time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periods prescribed for delivery of notice under Sections 5(b)(iii) or 5(d), as applicable) to the Secretary of the Corporation at the principal executive offices of the Corporation a written questionnaire with respect to the background, qualifications, stock ownership and independence of such proposed nominee and the background of any other person or entity on whose behalf the nomination is being made and a written representation and agreement (in the form provided by the Secretary of the Corporation upon written request) that such person (i) is not and will not become a party to (A) any agreement, arrangement or understanding with, and has not given any commitment or assurance to, any person or entity as to how such person, if elected as a director of the Corporation, will act or vote on any issue or question (a “</w:t>
      </w:r>
      <w:r>
        <w:rPr>
          <w:rFonts w:ascii="Times New Roman" w:cs="Times New Roman" w:eastAsia="Times New Roman" w:hAnsi="Times New Roman"/>
          <w:sz w:val="12"/>
          <w:szCs w:val="12"/>
          <w:b w:val="1"/>
          <w:bCs w:val="1"/>
          <w:i w:val="1"/>
          <w:iCs w:val="1"/>
          <w:color w:val="auto"/>
        </w:rPr>
        <w:t>Voting Commitment</w:t>
      </w:r>
      <w:r>
        <w:rPr>
          <w:rFonts w:ascii="Times New Roman" w:cs="Times New Roman" w:eastAsia="Times New Roman" w:hAnsi="Times New Roman"/>
          <w:sz w:val="12"/>
          <w:szCs w:val="12"/>
          <w:color w:val="auto"/>
        </w:rPr>
        <w:t>”) that has not been disclosed to the Corporation in the questionnaire or</w:t>
      </w:r>
    </w:p>
    <w:p>
      <w:pPr>
        <w:spacing w:after="0" w:line="2" w:lineRule="exact"/>
        <w:rPr>
          <w:sz w:val="20"/>
          <w:szCs w:val="20"/>
          <w:color w:val="auto"/>
        </w:rPr>
      </w:pPr>
    </w:p>
    <w:p>
      <w:pPr>
        <w:jc w:val="both"/>
        <w:ind w:left="7" w:hanging="7"/>
        <w:spacing w:after="0" w:line="258" w:lineRule="auto"/>
        <w:tabs>
          <w:tab w:leader="none" w:pos="207"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Voting Commitment that could limit or interfere with such person’s ability to comply, if elected as a director of the Corporation, with such person’s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in such questionnaire; (iii) would be in compliance, if elected as a director of the Corporation, and will comply with, all applicable publicly disclosed corporate governance, conflict of interest, confidentiality and stock ownership and trading policies and guidelines of the Corporation and (iv) if elected as director of the Corporation, intends to serve the entire term until the next meeting at which such candidate would face re-election.</w:t>
      </w:r>
    </w:p>
    <w:p>
      <w:pPr>
        <w:spacing w:after="0" w:line="272"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135" cy="571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0">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656" w:right="299" w:bottom="1440" w:gutter="0" w:footer="0" w:header="0"/>
        </w:sectPr>
      </w:pPr>
    </w:p>
    <w:bookmarkStart w:id="332" w:name="page333"/>
    <w:bookmarkEnd w:id="332"/>
    <w:p>
      <w:pPr>
        <w:jc w:val="both"/>
        <w:ind w:firstLine="879"/>
        <w:spacing w:after="0" w:line="258" w:lineRule="auto"/>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A person shall not be eligible for election or re-election as a director at an annual meeting unless the person is nominated in accordance with Section 5(a) and in accordance with the procedures set forth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Section 5(b), Section 5(c), Section 5(d) and Section 5(e), as applicable. Only such business shall be conducted at any annual meeting of the stockholders of the Corporation as shall have been brought before the meeting in accordance with Section 5(a) and in accordance with the procedures set forth in Section 5(b) and Section 5(c), as applicable. Except as otherwise required by applicable law, the chairperson of the meeting shall have the power and duty to determine whether a nomination or any business proposed to be brought before the meeting was made, or proposed, as the case may be, in accordance with the procedures and requirements set forth in these Bylaws (including, without limitation, compliance with Rule 14a-19) and, if any proposed nomination or business is not in compliance with these Bylaws, or the Proponent does not act in accordance with the representations required in in Section 5, to declare that such proposal or nomination shall not be presented for stockholder action at the meeting and shall be disregarded, or that such business shall not be transacted, notwithstanding such proposal or nomination is set forth in the Corporation’s proxy statement, notice of meeting or other proxy materials and notwithstanding that proxies or votes in respect of such nomination or such business may have been solicited or received. Notwithstanding the foregoing provisions of this Section 5, unless otherwise required by applicable law, if the stockholder (or a qualified representative of the stockholder) does not appear at the annual meeting of stockholders of the Corporation to present a nomination or proposed business, such nomination shall be disregarded and such proposed business shall not be transacted, notwithstanding such nomination or proposed business is set forth in the Corporation’s proxy statement, notice of meeting or other proxy materials and notwithstanding that proxies or votes in respect of such vote may have been received by the Corporation. For purposes of this Section 5,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271" w:lineRule="exact"/>
        <w:rPr>
          <w:sz w:val="20"/>
          <w:szCs w:val="20"/>
          <w:color w:val="auto"/>
        </w:rPr>
      </w:pPr>
    </w:p>
    <w:p>
      <w:pPr>
        <w:jc w:val="both"/>
        <w:ind w:firstLine="879"/>
        <w:spacing w:after="0" w:line="259" w:lineRule="auto"/>
        <w:rPr>
          <w:sz w:val="20"/>
          <w:szCs w:val="20"/>
          <w:color w:val="auto"/>
        </w:rPr>
      </w:pPr>
      <w:r>
        <w:rPr>
          <w:rFonts w:ascii="Times New Roman" w:cs="Times New Roman" w:eastAsia="Times New Roman" w:hAnsi="Times New Roman"/>
          <w:sz w:val="12"/>
          <w:szCs w:val="12"/>
          <w:b w:val="1"/>
          <w:bCs w:val="1"/>
          <w:color w:val="auto"/>
        </w:rPr>
        <w:t>(g)      </w:t>
      </w:r>
      <w:r>
        <w:rPr>
          <w:rFonts w:ascii="Times New Roman" w:cs="Times New Roman" w:eastAsia="Times New Roman" w:hAnsi="Times New Roman"/>
          <w:sz w:val="12"/>
          <w:szCs w:val="12"/>
          <w:color w:val="auto"/>
        </w:rPr>
        <w:t>Notwithstanding anything to the contrary in the Bylaws, unless otherwise required by applicable law, in the event that any Proponent (i) provides notice pursuant to Rule 14a-19(b) promulgated under the 1934</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Act with respect to one or more proposed nominees and (ii) subsequently (x) fails to comply with the requirements of Rule 14a-19 promulgated under the 1934 Act (or fails to timely provide reasonable evidence sufficient to satisfy the Corporation that such Proponent has met the requirements of Rule 14a-19(a)(3) promulgated under the 1934 Act in accordance with the next sentence) or (y) fails to inform the Corporation that they no longer plan to solicit proxies in accordance with the requirements of Rule 14a-19 under the 1934 Act by delivering a written notice to the Secretary at the principal executive offices of the Corporation within two business days after the occurrence of such change, then the nomination of each such proposed nominee shall be disregarded, notwithstanding that the nominee is included as a nominee in the Corporation’s proxy statement, notice of meeting or other proxy materials for any annual meeting (or any supplement thereto) and notwithstanding that proxies or votes in respect of the election of such proposed nominees may have been received by the Corporation (which proxies and votes shall be disregarded). If any Proponent provides notice pursuant to Rule 14a-19(b) promulgated under the 1934 Act, such Proponent shall deliver to the Corporation, no later than five business days prior to the applicable meeting, reasonable evidence that it has met the requirements of Rule 14a-19(a)(3) promulgated under the 1934 Act. Nothing in these Bylaws shall be deemed to affect any rights of holders of any class or series of preferred stock to nominate and elect directors pursuant to and to the extent provided in any applicable provision of the Certificate of Incorporation.</w:t>
      </w:r>
    </w:p>
    <w:p>
      <w:pPr>
        <w:spacing w:after="0" w:line="2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1">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33" w:name="page334"/>
    <w:bookmarkEnd w:id="333"/>
    <w:p>
      <w:pPr>
        <w:ind w:left="880"/>
        <w:spacing w:after="0"/>
        <w:rPr>
          <w:sz w:val="20"/>
          <w:szCs w:val="20"/>
          <w:color w:val="auto"/>
        </w:rPr>
      </w:pPr>
      <w:r>
        <w:rPr>
          <w:rFonts w:ascii="Times New Roman" w:cs="Times New Roman" w:eastAsia="Times New Roman" w:hAnsi="Times New Roman"/>
          <w:sz w:val="12"/>
          <w:szCs w:val="12"/>
          <w:b w:val="1"/>
          <w:bCs w:val="1"/>
          <w:color w:val="auto"/>
        </w:rPr>
        <w:t>(h)      </w:t>
      </w:r>
      <w:r>
        <w:rPr>
          <w:rFonts w:ascii="Times New Roman" w:cs="Times New Roman" w:eastAsia="Times New Roman" w:hAnsi="Times New Roman"/>
          <w:sz w:val="12"/>
          <w:szCs w:val="12"/>
          <w:color w:val="auto"/>
        </w:rPr>
        <w:t>For purposes of Sections 5 and 6,</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affiliates</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i w:val="1"/>
          <w:iCs w:val="1"/>
          <w:color w:val="auto"/>
        </w:rPr>
        <w:t>associates</w:t>
      </w:r>
      <w:r>
        <w:rPr>
          <w:rFonts w:ascii="Times New Roman" w:cs="Times New Roman" w:eastAsia="Times New Roman" w:hAnsi="Times New Roman"/>
          <w:sz w:val="12"/>
          <w:szCs w:val="12"/>
          <w:color w:val="auto"/>
        </w:rPr>
        <w:t>” shall have the meanings set forth in Rule 405 under the Securities Act of 1933, as amended (the “</w:t>
      </w:r>
      <w:r>
        <w:rPr>
          <w:rFonts w:ascii="Times New Roman" w:cs="Times New Roman" w:eastAsia="Times New Roman" w:hAnsi="Times New Roman"/>
          <w:sz w:val="12"/>
          <w:szCs w:val="12"/>
          <w:b w:val="1"/>
          <w:bCs w:val="1"/>
          <w:i w:val="1"/>
          <w:iCs w:val="1"/>
          <w:color w:val="auto"/>
        </w:rPr>
        <w:t>1933 Act</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business day</w:t>
      </w:r>
      <w:r>
        <w:rPr>
          <w:rFonts w:ascii="Times New Roman" w:cs="Times New Roman" w:eastAsia="Times New Roman" w:hAnsi="Times New Roman"/>
          <w:sz w:val="12"/>
          <w:szCs w:val="12"/>
          <w:color w:val="auto"/>
        </w:rPr>
        <w:t>” means any day other than Saturday, Sunday or a day on which banks are closed in New York City, New York.</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2"/>
          <w:szCs w:val="12"/>
          <w:b w:val="1"/>
          <w:bCs w:val="1"/>
          <w:color w:val="auto"/>
        </w:rPr>
        <w:t>(iii)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close of business</w:t>
      </w:r>
      <w:r>
        <w:rPr>
          <w:rFonts w:ascii="Times New Roman" w:cs="Times New Roman" w:eastAsia="Times New Roman" w:hAnsi="Times New Roman"/>
          <w:sz w:val="12"/>
          <w:szCs w:val="12"/>
          <w:color w:val="auto"/>
        </w:rPr>
        <w:t>” means 5:00 p.m. local time at the principal executive offices of the Corporation on any calendar day, whether or not the day is a Business Day.</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2"/>
          <w:szCs w:val="12"/>
          <w:b w:val="1"/>
          <w:bCs w:val="1"/>
          <w:color w:val="auto"/>
        </w:rPr>
        <w:t>(iv)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Derivative Transaction</w:t>
      </w:r>
      <w:r>
        <w:rPr>
          <w:rFonts w:ascii="Times New Roman" w:cs="Times New Roman" w:eastAsia="Times New Roman" w:hAnsi="Times New Roman"/>
          <w:sz w:val="12"/>
          <w:szCs w:val="12"/>
          <w:color w:val="auto"/>
        </w:rPr>
        <w:t>” means any agreement, arrangement, interest or understanding entered into by, or on behalf or for the benefit of, any Proponent or any of its affiliates or associates, whether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record or beneficial:</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(1)            the value of which is derived in whole or in part from the value of any class or series of shares or other securities of the Corporation,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(2)            that otherwise provides any direct or indirect opportunity to gain or share in any gain derived from a change in the value of securities of the Corporation,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(3)            the effect or intent of which is to mitigate loss, manage risk or benefit from changes in value or price with respect to any securities of the Corporation, or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(4)            that provides the right to vote or increase or decrease the voting power of, such Proponent, or any of its affiliates or associates, directly or indirectly, with respect to any securities of the Corporation,</w:t>
      </w:r>
    </w:p>
    <w:p>
      <w:pPr>
        <w:spacing w:after="0" w:line="1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2"/>
          <w:szCs w:val="12"/>
          <w:color w:val="auto"/>
        </w:rPr>
        <w:t>which agreement, arrangement, interest or understanding may include, without limitation, any option, warrant, debt position, note, bond, convertible security, swap, stock appreciation or similar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265" w:lineRule="exact"/>
        <w:rPr>
          <w:sz w:val="20"/>
          <w:szCs w:val="20"/>
          <w:color w:val="auto"/>
        </w:rPr>
      </w:pPr>
    </w:p>
    <w:p>
      <w:pPr>
        <w:jc w:val="both"/>
        <w:ind w:firstLine="1187"/>
        <w:spacing w:after="0" w:line="274" w:lineRule="auto"/>
        <w:rPr>
          <w:sz w:val="20"/>
          <w:szCs w:val="20"/>
          <w:color w:val="auto"/>
        </w:rPr>
      </w:pPr>
      <w:r>
        <w:rPr>
          <w:rFonts w:ascii="Times New Roman" w:cs="Times New Roman" w:eastAsia="Times New Roman" w:hAnsi="Times New Roman"/>
          <w:sz w:val="12"/>
          <w:szCs w:val="12"/>
          <w:b w:val="1"/>
          <w:bCs w:val="1"/>
          <w:color w:val="auto"/>
        </w:rPr>
        <w:t>(v)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public announcement</w:t>
      </w:r>
      <w:r>
        <w:rPr>
          <w:rFonts w:ascii="Times New Roman" w:cs="Times New Roman" w:eastAsia="Times New Roman" w:hAnsi="Times New Roman"/>
          <w:sz w:val="12"/>
          <w:szCs w:val="12"/>
          <w:color w:val="auto"/>
        </w:rPr>
        <w:t>” shall mean disclosure in a press release reported by the Dow Jones News Service, Associated Press, Business Wire, GlobeNewswire or comparable national news service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w:t>
      </w: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2">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34" w:name="page335"/>
    <w:bookmarkEnd w:id="334"/>
    <w:p>
      <w:pPr>
        <w:ind w:left="440"/>
        <w:spacing w:after="0"/>
        <w:rPr>
          <w:sz w:val="20"/>
          <w:szCs w:val="20"/>
          <w:color w:val="auto"/>
        </w:rPr>
      </w:pPr>
      <w:r>
        <w:rPr>
          <w:rFonts w:ascii="Times New Roman" w:cs="Times New Roman" w:eastAsia="Times New Roman" w:hAnsi="Times New Roman"/>
          <w:sz w:val="12"/>
          <w:szCs w:val="12"/>
          <w:b w:val="1"/>
          <w:bCs w:val="1"/>
          <w:color w:val="auto"/>
        </w:rPr>
        <w:t>Section 6.         Special Meetings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879"/>
        <w:spacing w:after="0" w:line="268"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Special meetings of the stockholders of the Corporation may be called, for any purpose as is a proper matter for stockholder action under the DGCL, by (i) the Chairperson of the Board of Directors, (ii)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The Corporation may postpone, reschedule or cancel any special meeting of stockholders previously scheduled by the Board of Directors.</w:t>
      </w:r>
    </w:p>
    <w:p>
      <w:pPr>
        <w:spacing w:after="0" w:line="116" w:lineRule="exact"/>
        <w:rPr>
          <w:sz w:val="20"/>
          <w:szCs w:val="20"/>
          <w:color w:val="auto"/>
        </w:rPr>
      </w:pPr>
    </w:p>
    <w:p>
      <w:pPr>
        <w:jc w:val="both"/>
        <w:ind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The Board of Directors shall determine the date, time and place, if any, of such special meeting. Upon determination of the date, time and place, if any, of the meeting, the Secretary of the Corporation shall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cause a notice of meeting to be given to the stockholders entitled to vote, in accordance with the provisions of Section 7. No business may be transacted at such special meeting otherwise than specified in the notice of meeting.</w:t>
      </w:r>
    </w:p>
    <w:p>
      <w:pPr>
        <w:spacing w:after="0" w:line="102" w:lineRule="exact"/>
        <w:rPr>
          <w:sz w:val="20"/>
          <w:szCs w:val="20"/>
          <w:color w:val="auto"/>
        </w:rPr>
      </w:pPr>
    </w:p>
    <w:p>
      <w:pPr>
        <w:jc w:val="both"/>
        <w:ind w:firstLine="879"/>
        <w:spacing w:after="0" w:line="257"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Only such business (including the election of specific individuals to fill vacancies or newly created directorships on the Board of Directors) shall be conducted at a special meeting of stockholders as shall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have been brought before the meeting pursuant to the Corporation’s notice of meeting. Nominations of persons for election to the Board of Directors to fill any vacancy or unfilled newly created directorship may be made at a special meeting of stockholders at which any proposal to fill any vacancy or unfilled newly created directorship is to be presented to the stockholders (i) by or at the direction of the Board of Directors or a duly authorized committee thereof or (ii) provided that the Board of Directors has determined that directors shall be elected at such meeting, by any stockholder of the Corporation who is a stockholder of record (and with respect to any beneficial owner, if different, on whose behalf such nomination or nominations are made, only if such beneficial owner of shares of the Corporation) at the time of giving notice provided for in this paragraph, who is entitled to vote at the meeting and who delivers written notice to the Secretary of the Corporation setting forth the information required by Section 5(b)(i), 5(b)(iv), 5(c), 5(e), 5(f) and 5(g). The number of nominees a stockholder may nominate for election at the 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In the event the Corporation calls a special meeting of stockholders for the purpose of submitting a proposal to stockholders for the election of one or more directors to fill any vacancy or newly created directorship on to the Board of Directors, any such stockholder of record may nominate a person or persons (as the case may be), for election to such position(s) as specified in the Corporation’s notice of meeting, if written notice setting forth the information required by Section 5(b)(i) and 5(b)(iv) shall be received by the Secretary of the Corporation at the principal executive offices of the Corporation not</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2"/>
          <w:szCs w:val="12"/>
          <w:color w:val="auto"/>
        </w:rPr>
        <w:t>earlier than 120 days prior to such special meeting and not later than the close of business on the later of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2"/>
          <w:szCs w:val="12"/>
          <w:color w:val="auto"/>
        </w:rPr>
        <w:t xml:space="preserve"> day prior to such meeting, or the tenth day following the day on which the Corporation first makes a public announcement of the date of the special meeting at which directors are to be elected In no event shall an adjournment or a postponement of a special meeting for which notice has been given, or the public announcement thereof has been made, commence a new time period (or extend any time period) for the giving of a stockholder’s notice as described above.</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53">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35" w:name="page336"/>
    <w:bookmarkEnd w:id="335"/>
    <w:p>
      <w:pPr>
        <w:jc w:val="both"/>
        <w:ind w:firstLine="879"/>
        <w:spacing w:after="0" w:line="261" w:lineRule="auto"/>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A person shall not be eligible for election or re-election as a director at the special meeting unless the person is nominated either in accordance with clause (i) or clause (ii) of Section 6(c). Except as otherwise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required by applicable law, the chairperson of the meeting shall have the power and duty to determine whether a nomination was made in accordance with the procedures and requirements set forth in these Bylaws and, if any proposed nomination or business is not in compliance with these Bylaws, or if the Proponent does not act in accordance with the representations required in Section 5(b), to declare that such nomination shall not be presented for stockholder action at the meeting and shall be disregarded, notwithstanding that such nomination is set forth in the Corporation’s proxy statement, notice of meeting or other proxy materials and notwithstanding that proxies or votes in respect of such nomination may have been solicited or received. Notwithstanding the foregoing provisions of this Section 6, unless otherwise required by applicable law, if the stockholder (or a qualified representative of the stockholder) meeting the requirements specified in Section 5(e) does not appear at the special meeting of stockholders of the Corporation to present a nomination, such nomination shall be disregarded, notwithstanding that the nomination is set forth in the Corporation’s proxy statement, notice of meeting or other proxy materials and notwithstanding that proxies or votes in respect of such vote may have been received by the Corporation.</w:t>
      </w:r>
    </w:p>
    <w:p>
      <w:pPr>
        <w:spacing w:after="0" w:line="122" w:lineRule="exact"/>
        <w:rPr>
          <w:sz w:val="20"/>
          <w:szCs w:val="20"/>
          <w:color w:val="auto"/>
        </w:rPr>
      </w:pPr>
    </w:p>
    <w:p>
      <w:pPr>
        <w:jc w:val="both"/>
        <w:ind w:firstLine="879"/>
        <w:spacing w:after="0" w:line="268"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Notwithstanding the foregoing provisions of Section 5 and this Section 6, a stockholder must also comply with all applicable requirements of the 1934 Act with respect to matters set forth in Section 5 and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Section 6. Nothing in these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to the fullest extent not prohibited by applicable law, any references in these Bylaws to the 1934 Act are not intended to and shall not limit the requirements applicable to proposals and/or nominations for the election to the Board of Directors to be considered pursuant to Section 6(c).</w:t>
      </w:r>
    </w:p>
    <w:p>
      <w:pPr>
        <w:spacing w:after="0" w:line="116"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Section 7.         Notice of Meetings. </w:t>
      </w:r>
      <w:r>
        <w:rPr>
          <w:rFonts w:ascii="Times New Roman" w:cs="Times New Roman" w:eastAsia="Times New Roman" w:hAnsi="Times New Roman"/>
          <w:sz w:val="12"/>
          <w:szCs w:val="12"/>
          <w:color w:val="auto"/>
        </w:rPr>
        <w:t>Except as otherwise provided by applicable law, notice, given in writing or by electronic transmission, of each meeting of stockholders shall be given not less than ten nor more than 60</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days before the date of the meeting to each stockholder entitled to vote at such meeting. Such notice shall specify the place, if any, date and hour, in the case of special meetings, the purpose or purposes of the meeting, the record date for determining stockholders entitled to vote at the meeting, if such record date is different from the record date for determining stockholders entitled to notice of the meeting, and the means of remote communications, if any, by which stockholders and proxy holders may be deemed to be present in person and vote at any such meeting. If mailed, notice is given when deposited in the United States mail, postage prepaid, directed to the stockholder at such stockholder’s address as it appears on the records of the Corporation. If delivered by courier service, the notice is given on the earlier of when the notice is received or left at the stockholder’s address. If sent via electronic mail, notice is given when directed to such stockholder’s electronic mail address in accordance with applicable law unless (a) the stockholder has notified the Corporation in writing or by electronic transmission of an objection to receiving notice by electronic mail or (b) electronic transmission of such notice is prohibited by applicable law. Notice of any meeting of stockholders (to the extent required)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4">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336" w:name="page337"/>
    <w:bookmarkEnd w:id="336"/>
    <w:p>
      <w:pPr>
        <w:jc w:val="both"/>
        <w:ind w:firstLine="440"/>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Section 8.         Quorum and Vote Required. </w:t>
      </w:r>
      <w:r>
        <w:rPr>
          <w:rFonts w:ascii="Times New Roman" w:cs="Times New Roman" w:eastAsia="Times New Roman" w:hAnsi="Times New Roman"/>
          <w:sz w:val="12"/>
          <w:szCs w:val="12"/>
          <w:color w:val="auto"/>
        </w:rPr>
        <w:t>At all meetings of stockholders, except where otherwise provided by statute or by the Certificate of Incorporation, or by these Bylaws, the presence, in person, by remote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communication, if applicable, or by proxy duly authorized, of the holders of a majority of the voting power of the outstanding shares of stock entitled to vote at the meeting shall constitute a quorum for the transaction of business. In the absence of a quorum, any meeting of stockholders may be adjourned, from time to time, either by the chairperson of the meeting or by vote of the holders of a majority of the voting power of the shares represented thereat and entitled to vote thereon,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holders of a majority of the voting power of the shares present in person, by remote communication, if applicable, or represented by proxy at the meeting and voting affirmatively or negatively (excluding abstentions and broker non-votes) on such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in the election of directors. Where a separate vote by a class or classes or series is required, except where otherwise provided by statute, or by the Certificate of Incorporation or these Bylaws or any applicable stock exchange rules, holders of a majority of the voting power of the outstanding shares of such class or classes or series, present in person, by remote communication, if applicable, or represented by proxy duly authorized, shall constitute a quorum entitled to take action with respect to that vote on that matter. Except where a different or minimum vote is provided or required for such matter by applicable statute or by the Certificate of Incorporation or these Bylaws or any applicable stock exchange rules or otherwise, in which case such minimum or different vote shall be the applicable vote on such matter, the affirmative vote of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w:t>
      </w:r>
    </w:p>
    <w:p>
      <w:pPr>
        <w:spacing w:after="0" w:line="129" w:lineRule="exact"/>
        <w:rPr>
          <w:sz w:val="20"/>
          <w:szCs w:val="20"/>
          <w:color w:val="auto"/>
        </w:rPr>
      </w:pPr>
    </w:p>
    <w:p>
      <w:pPr>
        <w:jc w:val="both"/>
        <w:ind w:firstLine="440"/>
        <w:spacing w:after="0" w:line="260" w:lineRule="auto"/>
        <w:rPr>
          <w:sz w:val="20"/>
          <w:szCs w:val="20"/>
          <w:color w:val="auto"/>
        </w:rPr>
      </w:pPr>
      <w:r>
        <w:rPr>
          <w:rFonts w:ascii="Times New Roman" w:cs="Times New Roman" w:eastAsia="Times New Roman" w:hAnsi="Times New Roman"/>
          <w:sz w:val="12"/>
          <w:szCs w:val="12"/>
          <w:b w:val="1"/>
          <w:bCs w:val="1"/>
          <w:color w:val="auto"/>
        </w:rPr>
        <w:t xml:space="preserve">Section 9.         Adjournment and Notice of Adjourned Meetings. </w:t>
      </w:r>
      <w:r>
        <w:rPr>
          <w:rFonts w:ascii="Times New Roman" w:cs="Times New Roman" w:eastAsia="Times New Roman" w:hAnsi="Times New Roman"/>
          <w:sz w:val="12"/>
          <w:szCs w:val="12"/>
          <w:color w:val="auto"/>
        </w:rPr>
        <w:t>Any meeting of stockholders, whether annual or special, may be adjourned from time to time either by the chairperson of the meeting or by the vote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holders of a majority of the voting power of the shares present in person, by remote communication, if applicable, or represented by proxy duly authorized at the meeting. When a meeting is adjourned to another time or place, if any, notice need not be given of the adjourned meeting if the time and place, if any, thereof and the means of remote communication, if any, by which stockholders and proxyholders may be deemed present in person and may vote at such meeting are announced at the meeting at which the adjournment is taken. At the adjourned meeting, the Corporation may transact any business that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23"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Section 10.       Voting Rights. </w:t>
      </w:r>
      <w:r>
        <w:rPr>
          <w:rFonts w:ascii="Times New Roman" w:cs="Times New Roman" w:eastAsia="Times New Roman" w:hAnsi="Times New Roman"/>
          <w:sz w:val="12"/>
          <w:szCs w:val="12"/>
          <w:color w:val="auto"/>
        </w:rPr>
        <w:t>For the purpose of determining those stockholders entitled to vote at any meeting of the stockholders or adjournment thereof, except as otherwise provided by applicable law, only persons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whose names shares stand on the stock records of the Corporation on the record date shall be entitled to vote at any meeting of stockholders. Every person entitled to vote shall have the right to do so either in person, by remote communication, if applicable, or by an agent or agents authorized by a proxy granted in accordance with the DGCL. An agent so appointed need not be a stockholder. No proxy shall be voted after three years from its date of creation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5">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37" w:name="page338"/>
    <w:bookmarkEnd w:id="337"/>
    <w:p>
      <w:pPr>
        <w:jc w:val="both"/>
        <w:ind w:left="7" w:firstLine="440"/>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Section 11.      Joint Owners of Stock. </w:t>
      </w:r>
      <w:r>
        <w:rPr>
          <w:rFonts w:ascii="Times New Roman" w:cs="Times New Roman" w:eastAsia="Times New Roman" w:hAnsi="Times New Roman"/>
          <w:sz w:val="12"/>
          <w:szCs w:val="12"/>
          <w:color w:val="auto"/>
        </w:rPr>
        <w:t>If shares or other securities having voting power stand of record in the names of two or more persons, whether fiduciaries, members of a partnership, joint tenants, tenants in common,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 (a) if only one votes, his or her act binds all; (b) if more than one votes, the act of the majority so voting binds all; (c) if more than one votes, but the vote is evenly split on any particular matter, each faction may vote the securities in question proportionally, or may apply to the Delaware Court of Chancery for relief as provided in Section 217(b) of the DGCL. If the instrument filed with the Secretary of the Corporation shows that any such tenancy is held in unequal interests, a majority or even-split for the purpose of subsection (c) shall be a majority or even-split in interest.</w:t>
      </w:r>
    </w:p>
    <w:p>
      <w:pPr>
        <w:spacing w:after="0" w:line="122" w:lineRule="exact"/>
        <w:rPr>
          <w:sz w:val="20"/>
          <w:szCs w:val="20"/>
          <w:color w:val="auto"/>
        </w:rPr>
      </w:pPr>
    </w:p>
    <w:p>
      <w:pPr>
        <w:jc w:val="both"/>
        <w:ind w:left="7" w:firstLine="440"/>
        <w:spacing w:after="0" w:line="263" w:lineRule="auto"/>
        <w:rPr>
          <w:sz w:val="20"/>
          <w:szCs w:val="20"/>
          <w:color w:val="auto"/>
        </w:rPr>
      </w:pPr>
      <w:r>
        <w:rPr>
          <w:rFonts w:ascii="Times New Roman" w:cs="Times New Roman" w:eastAsia="Times New Roman" w:hAnsi="Times New Roman"/>
          <w:sz w:val="12"/>
          <w:szCs w:val="12"/>
          <w:b w:val="1"/>
          <w:bCs w:val="1"/>
          <w:color w:val="auto"/>
        </w:rPr>
        <w:t>Section 12.      List of Stockholders. </w:t>
      </w:r>
      <w:r>
        <w:rPr>
          <w:rFonts w:ascii="Times New Roman" w:cs="Times New Roman" w:eastAsia="Times New Roman" w:hAnsi="Times New Roman"/>
          <w:sz w:val="12"/>
          <w:szCs w:val="12"/>
          <w:color w:val="auto"/>
        </w:rPr>
        <w:t>The Corporation shall prepare, at least ten days before every meeting of stockholders, a complete list of the stockholders entitled to vote at said meeting, arranged in alphabetical order,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showing the address of each stockholder and the number and class of shares registered in the name of each stockholder; provided, however, if the record date for determining the stockholders entitled to vote is less than ten days before the meeting date, the list shall reflect all of the stockholders entitled to vote as of the tenth day before the meeting date. Such list shall be open to the examination of any stockholder, for any purpose germane to the meeting,</w:t>
      </w:r>
    </w:p>
    <w:p>
      <w:pPr>
        <w:jc w:val="both"/>
        <w:ind w:left="7" w:hanging="7"/>
        <w:spacing w:after="0" w:line="262" w:lineRule="auto"/>
        <w:tabs>
          <w:tab w:leader="none" w:pos="176" w:val="left"/>
        </w:tabs>
        <w:numPr>
          <w:ilvl w:val="0"/>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120" w:lineRule="exact"/>
        <w:rPr>
          <w:sz w:val="20"/>
          <w:szCs w:val="20"/>
          <w:color w:val="auto"/>
        </w:rPr>
      </w:pPr>
    </w:p>
    <w:p>
      <w:pPr>
        <w:jc w:val="both"/>
        <w:ind w:left="7"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Section 13.       Action without Meeting. </w:t>
      </w:r>
      <w:r>
        <w:rPr>
          <w:rFonts w:ascii="Times New Roman" w:cs="Times New Roman" w:eastAsia="Times New Roman" w:hAnsi="Times New Roman"/>
          <w:sz w:val="12"/>
          <w:szCs w:val="12"/>
          <w:color w:val="auto"/>
        </w:rPr>
        <w:t>No action shall be taken by the stockholders of the Corporation except at an annual or special meeting of stockholders duly called in accordance with these Bylaws, and no action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shall be taken by the stockholders by consent.</w:t>
      </w:r>
    </w:p>
    <w:p>
      <w:pPr>
        <w:spacing w:after="0" w:line="102"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12"/>
          <w:szCs w:val="12"/>
          <w:b w:val="1"/>
          <w:bCs w:val="1"/>
          <w:color w:val="auto"/>
        </w:rPr>
        <w:t>Section 14.       Remote Communication; Delivery to the Corporation.</w:t>
      </w:r>
    </w:p>
    <w:p>
      <w:pPr>
        <w:spacing w:after="0" w:line="155" w:lineRule="exact"/>
        <w:rPr>
          <w:sz w:val="20"/>
          <w:szCs w:val="20"/>
          <w:color w:val="auto"/>
        </w:rPr>
      </w:pPr>
    </w:p>
    <w:p>
      <w:pPr>
        <w:jc w:val="both"/>
        <w:ind w:left="7"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For the purposes of these Bylaws, if authorized by the Board of Directors in its sole discretion, and subject to such guidelines and procedures as the Board of Directors may adopt, stockholders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proxyholders may, by means of remote communication:</w:t>
      </w:r>
    </w:p>
    <w:p>
      <w:pPr>
        <w:spacing w:after="0" w:line="102" w:lineRule="exact"/>
        <w:rPr>
          <w:sz w:val="20"/>
          <w:szCs w:val="20"/>
          <w:color w:val="auto"/>
        </w:rPr>
      </w:pPr>
    </w:p>
    <w:p>
      <w:pPr>
        <w:ind w:left="1187"/>
        <w:spacing w:after="0"/>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participate in a meeting of stockholders; and</w:t>
      </w:r>
    </w:p>
    <w:p>
      <w:pPr>
        <w:spacing w:after="0" w:line="155" w:lineRule="exact"/>
        <w:rPr>
          <w:sz w:val="20"/>
          <w:szCs w:val="20"/>
          <w:color w:val="auto"/>
        </w:rPr>
      </w:pPr>
    </w:p>
    <w:p>
      <w:pPr>
        <w:jc w:val="both"/>
        <w:ind w:left="7" w:firstLine="1187"/>
        <w:spacing w:after="0" w:line="264" w:lineRule="auto"/>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be deemed present in person and vote at a meeting of stockholders whether such meeting is to be held at a designated place or solely by means of remote communication, provided that (i)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269"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135" cy="571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6">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656" w:right="299" w:bottom="1440" w:gutter="0" w:footer="0" w:header="0"/>
        </w:sectPr>
      </w:pPr>
    </w:p>
    <w:bookmarkStart w:id="338" w:name="page339"/>
    <w:bookmarkEnd w:id="338"/>
    <w:p>
      <w:pPr>
        <w:jc w:val="both"/>
        <w:spacing w:after="0" w:line="263" w:lineRule="auto"/>
        <w:rPr>
          <w:sz w:val="20"/>
          <w:szCs w:val="20"/>
          <w:color w:val="auto"/>
        </w:rPr>
      </w:pPr>
      <w:r>
        <w:rPr>
          <w:rFonts w:ascii="Times New Roman" w:cs="Times New Roman" w:eastAsia="Times New Roman" w:hAnsi="Times New Roman"/>
          <w:sz w:val="12"/>
          <w:szCs w:val="12"/>
          <w:color w:val="auto"/>
        </w:rPr>
        <w:t>Whenever this Article III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with respect to any notice from any stockholder of record or beneficial owner of the corporation’s capital stock under the Certificate of Incorporation, these Bylaws or the DGCL, to the fullest extent permitted by law, the corporation expressly opts out of Section 116 of the DGCL.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Section 15.       Organization.</w:t>
      </w:r>
    </w:p>
    <w:p>
      <w:pPr>
        <w:spacing w:after="0" w:line="155" w:lineRule="exact"/>
        <w:rPr>
          <w:sz w:val="20"/>
          <w:szCs w:val="20"/>
          <w:color w:val="auto"/>
        </w:rPr>
      </w:pPr>
    </w:p>
    <w:p>
      <w:pPr>
        <w:jc w:val="both"/>
        <w:ind w:firstLine="879"/>
        <w:spacing w:after="0" w:line="264"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At every meeting of stockholders, the Chairperson of the Board of Directors, or, if a Chairperson has not been appointed, is absent or refuses to act, the Chief Executive Officer, or if no Chief Executive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Officer is then serving or the Chief Executive Officer is absent or refuses to act, the President, or, if the President is absent or refuses to act, a chairperson of the meeting designated by the Board of Directors, or, if the Board of Directors does not designate such chairperson, a chairperson of the meeting chosen by a majority of the voting power of the stockholders entitled to vote, present in person or by proxy duly authorized, shall act as chairperson of the meeting of stockholders. The Chairperson of the Board of Directors may appoint the Chief Executive Officer as chairperson of the meeting. The Secretary of the Corporation, or, in his or her absence, an Assistant Secretary of the Corporation or other officer or other person directed to do so by the chairperson of the meeting, shall act as secretary of the meeting.</w:t>
      </w:r>
    </w:p>
    <w:p>
      <w:pPr>
        <w:spacing w:after="0" w:line="120" w:lineRule="exact"/>
        <w:rPr>
          <w:sz w:val="20"/>
          <w:szCs w:val="20"/>
          <w:color w:val="auto"/>
        </w:rPr>
      </w:pPr>
    </w:p>
    <w:p>
      <w:pPr>
        <w:jc w:val="both"/>
        <w:ind w:firstLine="879"/>
        <w:spacing w:after="0" w:line="260"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The Board of Directors shall be entitled to make such rules or regulations for the conduct of meetings of stockholders as it shall deem necessary, appropriate or convenient. Subject to such rules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regulations of the Board of Directors,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7">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339" w:name="page340"/>
    <w:bookmarkEnd w:id="339"/>
    <w:p>
      <w:pPr>
        <w:jc w:val="center"/>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DIRECTORS</w:t>
      </w:r>
    </w:p>
    <w:p>
      <w:pPr>
        <w:spacing w:after="0" w:line="155" w:lineRule="exact"/>
        <w:rPr>
          <w:sz w:val="20"/>
          <w:szCs w:val="20"/>
          <w:color w:val="auto"/>
        </w:rPr>
      </w:pPr>
    </w:p>
    <w:p>
      <w:pPr>
        <w:jc w:val="both"/>
        <w:ind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Section 16.       Number and Term of Office. </w:t>
      </w:r>
      <w:r>
        <w:rPr>
          <w:rFonts w:ascii="Times New Roman" w:cs="Times New Roman" w:eastAsia="Times New Roman" w:hAnsi="Times New Roman"/>
          <w:sz w:val="12"/>
          <w:szCs w:val="12"/>
          <w:color w:val="auto"/>
        </w:rPr>
        <w:t>The authorized number of directors of the Corporation shall be fixed in accordance with the Certificate of Incorporation. Directors need not be stockholders unless so required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Certificate of Incorporation. The terms of the directors shall be as set forth in the Certificate of Incorporation.</w:t>
      </w:r>
    </w:p>
    <w:p>
      <w:pPr>
        <w:spacing w:after="0" w:line="102" w:lineRule="exact"/>
        <w:rPr>
          <w:sz w:val="20"/>
          <w:szCs w:val="20"/>
          <w:color w:val="auto"/>
        </w:rPr>
      </w:pPr>
    </w:p>
    <w:p>
      <w:pPr>
        <w:jc w:val="both"/>
        <w:ind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Section 17.       Powers. </w:t>
      </w:r>
      <w:r>
        <w:rPr>
          <w:rFonts w:ascii="Times New Roman" w:cs="Times New Roman" w:eastAsia="Times New Roman" w:hAnsi="Times New Roman"/>
          <w:sz w:val="12"/>
          <w:szCs w:val="12"/>
          <w:color w:val="auto"/>
        </w:rPr>
        <w:t>The business and affairs of the Corporation shall be managed by or under the direction of the Board of Directors, except as may be otherwise provided by statute or by the Certificate of Incorporation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the DGCL.</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Section 18.       Vacancies; Newly Created Directorships. </w:t>
      </w:r>
      <w:r>
        <w:rPr>
          <w:rFonts w:ascii="Times New Roman" w:cs="Times New Roman" w:eastAsia="Times New Roman" w:hAnsi="Times New Roman"/>
          <w:sz w:val="12"/>
          <w:szCs w:val="12"/>
          <w:color w:val="auto"/>
        </w:rPr>
        <w:t>Vacancies and newly created directorships on the Board of Directors shall be filled as set forth in the Certificate of Incorporation.</w:t>
      </w:r>
    </w:p>
    <w:p>
      <w:pPr>
        <w:spacing w:after="0" w:line="155" w:lineRule="exact"/>
        <w:rPr>
          <w:sz w:val="20"/>
          <w:szCs w:val="20"/>
          <w:color w:val="auto"/>
        </w:rPr>
      </w:pPr>
    </w:p>
    <w:p>
      <w:pPr>
        <w:jc w:val="both"/>
        <w:ind w:firstLine="440"/>
        <w:spacing w:after="0" w:line="264" w:lineRule="auto"/>
        <w:rPr>
          <w:sz w:val="20"/>
          <w:szCs w:val="20"/>
          <w:color w:val="auto"/>
        </w:rPr>
      </w:pPr>
      <w:r>
        <w:rPr>
          <w:rFonts w:ascii="Times New Roman" w:cs="Times New Roman" w:eastAsia="Times New Roman" w:hAnsi="Times New Roman"/>
          <w:sz w:val="12"/>
          <w:szCs w:val="12"/>
          <w:b w:val="1"/>
          <w:bCs w:val="1"/>
          <w:color w:val="auto"/>
        </w:rPr>
        <w:t xml:space="preserve">Section 19.       Resignation. </w:t>
      </w:r>
      <w:r>
        <w:rPr>
          <w:rFonts w:ascii="Times New Roman" w:cs="Times New Roman" w:eastAsia="Times New Roman" w:hAnsi="Times New Roman"/>
          <w:sz w:val="12"/>
          <w:szCs w:val="12"/>
          <w:color w:val="auto"/>
        </w:rPr>
        <w:t>Any director may resign at any time by delivering his or her notice in writing or by electronic transmission to the Board of Directors or the Secretary of the Corporation. Such resignation shall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take effect at the time of delivery of the notice or at any later time specified therein. Acceptance of such resignation shall not be necessary to make it effective.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 or until his or her earlier death, resignation or removal.</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Section 20.       Removal. </w:t>
      </w:r>
      <w:r>
        <w:rPr>
          <w:rFonts w:ascii="Times New Roman" w:cs="Times New Roman" w:eastAsia="Times New Roman" w:hAnsi="Times New Roman"/>
          <w:sz w:val="12"/>
          <w:szCs w:val="12"/>
          <w:color w:val="auto"/>
        </w:rPr>
        <w:t>Directors shall be removed from the Board of Directors as set forth in the Certificate of Incorporation.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Section 21.       Meetings.</w:t>
      </w:r>
    </w:p>
    <w:p>
      <w:pPr>
        <w:spacing w:after="0" w:line="155" w:lineRule="exact"/>
        <w:rPr>
          <w:sz w:val="20"/>
          <w:szCs w:val="20"/>
          <w:color w:val="auto"/>
        </w:rPr>
      </w:pPr>
    </w:p>
    <w:p>
      <w:pPr>
        <w:jc w:val="both"/>
        <w:ind w:firstLine="879"/>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(a)      Regular Meetings. </w:t>
      </w:r>
      <w:r>
        <w:rPr>
          <w:rFonts w:ascii="Times New Roman" w:cs="Times New Roman" w:eastAsia="Times New Roman" w:hAnsi="Times New Roman"/>
          <w:sz w:val="12"/>
          <w:szCs w:val="12"/>
          <w:color w:val="auto"/>
        </w:rPr>
        <w:t>Unless otherwise restricted by the Certificate of Incorporation, regular meetings of the Board of Directors may be held at any time or date and at any place within or without the State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Delaware that has been designated by the Board of Directors and publicized among all directors, either orally or in writing, by telephone, including a voice-messaging system or other system designed to record and communicate messages, or by electronic mail or other electronic means. No further notice shall be required for regular meetings of the Board of Directors.</w:t>
      </w:r>
    </w:p>
    <w:p>
      <w:pPr>
        <w:spacing w:after="0" w:line="114" w:lineRule="exact"/>
        <w:rPr>
          <w:sz w:val="20"/>
          <w:szCs w:val="20"/>
          <w:color w:val="auto"/>
        </w:rPr>
      </w:pPr>
    </w:p>
    <w:p>
      <w:pPr>
        <w:jc w:val="both"/>
        <w:ind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(b)      Special Meetings. </w:t>
      </w:r>
      <w:r>
        <w:rPr>
          <w:rFonts w:ascii="Times New Roman" w:cs="Times New Roman" w:eastAsia="Times New Roman" w:hAnsi="Times New Roman"/>
          <w:sz w:val="12"/>
          <w:szCs w:val="12"/>
          <w:color w:val="auto"/>
        </w:rPr>
        <w:t>Unless otherwise restricted by the Certificate of Incorporation, special meetings of the Board of Directors may be held at any time and place within or without the State of Delaware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designated and called by the Chairperson of the Board of Directors, the Chief Executive Officer or a majority of the authorized number of directors.</w:t>
      </w:r>
    </w:p>
    <w:p>
      <w:pPr>
        <w:spacing w:after="0" w:line="102" w:lineRule="exact"/>
        <w:rPr>
          <w:sz w:val="20"/>
          <w:szCs w:val="20"/>
          <w:color w:val="auto"/>
        </w:rPr>
      </w:pPr>
    </w:p>
    <w:p>
      <w:pPr>
        <w:jc w:val="both"/>
        <w:ind w:right="20"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(c)      Meetings by Electronic Communications Equipment. </w:t>
      </w:r>
      <w:r>
        <w:rPr>
          <w:rFonts w:ascii="Times New Roman" w:cs="Times New Roman" w:eastAsia="Times New Roman" w:hAnsi="Times New Roman"/>
          <w:sz w:val="12"/>
          <w:szCs w:val="12"/>
          <w:color w:val="auto"/>
        </w:rPr>
        <w:t>Any member of the Board of Directors, or of any committee thereof, may participate in a meeting by means of conference telephone or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communications equipment by means of which all persons participating in the meeting can hear each other, and participation in a meeting by such means shall constitute presence in person at such meeting.</w:t>
      </w: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8">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340" w:name="page341"/>
    <w:bookmarkEnd w:id="340"/>
    <w:p>
      <w:pPr>
        <w:jc w:val="both"/>
        <w:ind w:firstLine="879"/>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(d)      Notice of Special Meetings. </w:t>
      </w:r>
      <w:r>
        <w:rPr>
          <w:rFonts w:ascii="Times New Roman" w:cs="Times New Roman" w:eastAsia="Times New Roman" w:hAnsi="Times New Roman"/>
          <w:sz w:val="12"/>
          <w:szCs w:val="12"/>
          <w:color w:val="auto"/>
        </w:rPr>
        <w:t>Notice of the time and place, if any, of all special meetings of the Board of Directors shall be transmitted orally or in writing, by telephone, including a voice messaging system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 system or technology designed to record and communicate messages, or by electronic mail or other electronic means, during normal business hours, at least 24 hours before the meeting. If notice is sent by U.S. mail, it shall be sent by first class mail, postage prepaid, at least three days before the date of the meeting.</w:t>
      </w:r>
    </w:p>
    <w:p>
      <w:pPr>
        <w:spacing w:after="0" w:line="114" w:lineRule="exact"/>
        <w:rPr>
          <w:sz w:val="20"/>
          <w:szCs w:val="20"/>
          <w:color w:val="auto"/>
        </w:rPr>
      </w:pPr>
    </w:p>
    <w:p>
      <w:pPr>
        <w:jc w:val="both"/>
        <w:ind w:firstLine="879"/>
        <w:spacing w:after="0" w:line="264" w:lineRule="auto"/>
        <w:rPr>
          <w:sz w:val="20"/>
          <w:szCs w:val="20"/>
          <w:color w:val="auto"/>
        </w:rPr>
      </w:pPr>
      <w:r>
        <w:rPr>
          <w:rFonts w:ascii="Times New Roman" w:cs="Times New Roman" w:eastAsia="Times New Roman" w:hAnsi="Times New Roman"/>
          <w:sz w:val="12"/>
          <w:szCs w:val="12"/>
          <w:b w:val="1"/>
          <w:bCs w:val="1"/>
          <w:color w:val="auto"/>
        </w:rPr>
        <w:t xml:space="preserve">(e)      Waiver of Notice. </w:t>
      </w:r>
      <w:r>
        <w:rPr>
          <w:rFonts w:ascii="Times New Roman" w:cs="Times New Roman" w:eastAsia="Times New Roman" w:hAnsi="Times New Roman"/>
          <w:sz w:val="12"/>
          <w:szCs w:val="12"/>
          <w:color w:val="auto"/>
        </w:rPr>
        <w:t>Notice of any meeting of the Board of Directors may be waived in writing, or by electronic transmission, at any time before or after the meeting and will be waived by any director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attendance thereat, except when the director attends the meeting for the express purpose of objecting, at the beginning of the meeting, to the transaction of any business because the meeting is not lawfully called or convened. The transaction of all business at any meeting of the Board of Directors, or any committee thereof, however 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Section 22.       Quorum and Voting.</w:t>
      </w:r>
    </w:p>
    <w:p>
      <w:pPr>
        <w:spacing w:after="0" w:line="155" w:lineRule="exact"/>
        <w:rPr>
          <w:sz w:val="20"/>
          <w:szCs w:val="20"/>
          <w:color w:val="auto"/>
        </w:rPr>
      </w:pPr>
    </w:p>
    <w:p>
      <w:pPr>
        <w:jc w:val="both"/>
        <w:ind w:firstLine="879"/>
        <w:spacing w:after="0" w:line="268"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Unless the Certificate of Incorporation requires a greater number, and except with respect to questions related to indemnification arising under Section 45 for which a quorum shall be 1/3 of the authorized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number of directors fixed from time to time by the Board of Directors in accordance with the Certificate of Incorporation, a quorum of the Board of Directors shall consist of a majority of the total number of directors then serving on the Board of Directors or, if greater, one third of the authorized number of directors fixed from time to time by the Board of Directors in accordance with the Certificate of Incorporation. At any meeting whether a quorum be present or otherwise, a majority of the directors present may adjourn from time to time, without notice other than by announcement at the meeting.</w:t>
      </w:r>
    </w:p>
    <w:p>
      <w:pPr>
        <w:spacing w:after="0" w:line="116" w:lineRule="exact"/>
        <w:rPr>
          <w:sz w:val="20"/>
          <w:szCs w:val="20"/>
          <w:color w:val="auto"/>
        </w:rPr>
      </w:pPr>
    </w:p>
    <w:p>
      <w:pPr>
        <w:jc w:val="both"/>
        <w:ind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At each meeting of the Board of Directors at which a quorum is present, all questions and business shall be determined by the affirmative vote of a majority of the directors present, unless a different vote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required by applicable law, the Certificate of Incorporation or these Bylaws.</w:t>
      </w:r>
    </w:p>
    <w:p>
      <w:pPr>
        <w:spacing w:after="0" w:line="102"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Section 23.       Action without Meeting. </w:t>
      </w:r>
      <w:r>
        <w:rPr>
          <w:rFonts w:ascii="Times New Roman" w:cs="Times New Roman" w:eastAsia="Times New Roman" w:hAnsi="Times New Roman"/>
          <w:sz w:val="12"/>
          <w:szCs w:val="12"/>
          <w:color w:val="auto"/>
        </w:rPr>
        <w:t>Unless otherwise restricted by the Certificate of Incorporation or these Bylaws, any action required or permitted to be taken at any meeting of the Board of Directors or of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committee thereof may be taken without a meeting, if all members of the Board of Directors or committee, as the case may be, consent thereto in writing or by electronic transmission. After an action is taken, such consent or consents shall be filed with the minutes of proceedings of the Board of Directors or committee. Such filing shall be in paper form if the minutes are maintained in paper form and shall be in electronic form if the minutes are maintained in electronic form.</w:t>
      </w:r>
    </w:p>
    <w:p>
      <w:pPr>
        <w:spacing w:after="0" w:line="116" w:lineRule="exact"/>
        <w:rPr>
          <w:sz w:val="20"/>
          <w:szCs w:val="20"/>
          <w:color w:val="auto"/>
        </w:rPr>
      </w:pPr>
    </w:p>
    <w:p>
      <w:pPr>
        <w:jc w:val="both"/>
        <w:ind w:firstLine="440"/>
        <w:spacing w:after="0" w:line="264" w:lineRule="auto"/>
        <w:rPr>
          <w:sz w:val="20"/>
          <w:szCs w:val="20"/>
          <w:color w:val="auto"/>
        </w:rPr>
      </w:pPr>
      <w:r>
        <w:rPr>
          <w:rFonts w:ascii="Times New Roman" w:cs="Times New Roman" w:eastAsia="Times New Roman" w:hAnsi="Times New Roman"/>
          <w:sz w:val="12"/>
          <w:szCs w:val="12"/>
          <w:b w:val="1"/>
          <w:bCs w:val="1"/>
          <w:color w:val="auto"/>
        </w:rPr>
        <w:t xml:space="preserve">Section 24.       Fees and Compensation. </w:t>
      </w:r>
      <w:r>
        <w:rPr>
          <w:rFonts w:ascii="Times New Roman" w:cs="Times New Roman" w:eastAsia="Times New Roman" w:hAnsi="Times New Roman"/>
          <w:sz w:val="12"/>
          <w:szCs w:val="12"/>
          <w:color w:val="auto"/>
        </w:rPr>
        <w:t>Directors shall be entitled to such compensation for their services on the Board of Directors or any committee thereof as may be approved by the Board of Directors, or a committee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thereof to which the Board of Directors has delegated such responsibility and authority, including, if so approved, by resolution of the Board of Directors, or a committee thereof to which the Board of Directors has delegated such responsibility and authority, including, without limitation, a fixed sum and reimbursement of expenses, if any, for attendance at each regular or special meeting of the Board of Directors and at any meeting of a committee of the Board of Directors, as well as reimbursement for other reasonable expenses incurred with respect to duties as a member of the Board of Directors or any committee thereof. Nothing herein contained shall be construed to preclude any director from serving the Corporation in any other capacity as an officer, agent, employee, or otherwise and receiving compensation therefor.</w:t>
      </w: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9">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41" w:name="page342"/>
    <w:bookmarkEnd w:id="341"/>
    <w:p>
      <w:pPr>
        <w:ind w:left="440"/>
        <w:spacing w:after="0"/>
        <w:rPr>
          <w:sz w:val="20"/>
          <w:szCs w:val="20"/>
          <w:color w:val="auto"/>
        </w:rPr>
      </w:pPr>
      <w:r>
        <w:rPr>
          <w:rFonts w:ascii="Times New Roman" w:cs="Times New Roman" w:eastAsia="Times New Roman" w:hAnsi="Times New Roman"/>
          <w:sz w:val="12"/>
          <w:szCs w:val="12"/>
          <w:b w:val="1"/>
          <w:bCs w:val="1"/>
          <w:color w:val="auto"/>
        </w:rPr>
        <w:t>Section 25.       Committees.</w:t>
      </w:r>
    </w:p>
    <w:p>
      <w:pPr>
        <w:spacing w:after="0" w:line="155" w:lineRule="exact"/>
        <w:rPr>
          <w:sz w:val="20"/>
          <w:szCs w:val="20"/>
          <w:color w:val="auto"/>
        </w:rPr>
      </w:pPr>
    </w:p>
    <w:p>
      <w:pPr>
        <w:jc w:val="both"/>
        <w:ind w:firstLine="87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(a)       Executive Committee. </w:t>
      </w:r>
      <w:r>
        <w:rPr>
          <w:rFonts w:ascii="Times New Roman" w:cs="Times New Roman" w:eastAsia="Times New Roman" w:hAnsi="Times New Roman"/>
          <w:sz w:val="12"/>
          <w:szCs w:val="12"/>
          <w:color w:val="auto"/>
        </w:rPr>
        <w:t>The Board of Directors may appoint an executive committee (the “</w:t>
      </w:r>
      <w:r>
        <w:rPr>
          <w:rFonts w:ascii="Times New Roman" w:cs="Times New Roman" w:eastAsia="Times New Roman" w:hAnsi="Times New Roman"/>
          <w:sz w:val="12"/>
          <w:szCs w:val="12"/>
          <w:b w:val="1"/>
          <w:bCs w:val="1"/>
          <w:i w:val="1"/>
          <w:iCs w:val="1"/>
          <w:color w:val="auto"/>
        </w:rPr>
        <w:t>Executive Committee</w:t>
      </w:r>
      <w:r>
        <w:rPr>
          <w:rFonts w:ascii="Times New Roman" w:cs="Times New Roman" w:eastAsia="Times New Roman" w:hAnsi="Times New Roman"/>
          <w:sz w:val="12"/>
          <w:szCs w:val="12"/>
          <w:color w:val="auto"/>
        </w:rPr>
        <w:t>”) to consist of one or more members of the Board of Directors. The Executive Committee,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extent permitted by applicable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116" w:lineRule="exact"/>
        <w:rPr>
          <w:sz w:val="20"/>
          <w:szCs w:val="20"/>
          <w:color w:val="auto"/>
        </w:rPr>
      </w:pPr>
    </w:p>
    <w:p>
      <w:pPr>
        <w:jc w:val="both"/>
        <w:ind w:right="20" w:firstLine="879"/>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(b)      Other Committees. </w:t>
      </w:r>
      <w:r>
        <w:rPr>
          <w:rFonts w:ascii="Times New Roman" w:cs="Times New Roman" w:eastAsia="Times New Roman" w:hAnsi="Times New Roman"/>
          <w:sz w:val="12"/>
          <w:szCs w:val="12"/>
          <w:color w:val="auto"/>
        </w:rPr>
        <w:t>The Board of Directors may, from time to time, appoint such other committees as may be permitted by applicable law. Such other committees appointed by the Board of Directors shall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consist of one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14" w:lineRule="exact"/>
        <w:rPr>
          <w:sz w:val="20"/>
          <w:szCs w:val="20"/>
          <w:color w:val="auto"/>
        </w:rPr>
      </w:pPr>
    </w:p>
    <w:p>
      <w:pPr>
        <w:jc w:val="both"/>
        <w:ind w:right="20" w:firstLine="879"/>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(c)       Term. </w:t>
      </w:r>
      <w:r>
        <w:rPr>
          <w:rFonts w:ascii="Times New Roman" w:cs="Times New Roman" w:eastAsia="Times New Roman" w:hAnsi="Times New Roman"/>
          <w:sz w:val="12"/>
          <w:szCs w:val="12"/>
          <w:color w:val="auto"/>
        </w:rPr>
        <w:t>The Board of Directors, subject to any requirements of any outstanding series of preferred stock and the provisions of subsections (a) or (b) of this Section 25, may at any time increase or decrease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number of members of a committee or terminate the existence of a committee. The membership of a committee member shall terminate on the earliest of the date of his or her death, removal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122" w:lineRule="exact"/>
        <w:rPr>
          <w:sz w:val="20"/>
          <w:szCs w:val="20"/>
          <w:color w:val="auto"/>
        </w:rPr>
      </w:pPr>
    </w:p>
    <w:p>
      <w:pPr>
        <w:jc w:val="both"/>
        <w:ind w:firstLine="879"/>
        <w:spacing w:after="0" w:line="260" w:lineRule="auto"/>
        <w:rPr>
          <w:sz w:val="20"/>
          <w:szCs w:val="20"/>
          <w:color w:val="auto"/>
        </w:rPr>
      </w:pPr>
      <w:r>
        <w:rPr>
          <w:rFonts w:ascii="Times New Roman" w:cs="Times New Roman" w:eastAsia="Times New Roman" w:hAnsi="Times New Roman"/>
          <w:sz w:val="12"/>
          <w:szCs w:val="12"/>
          <w:b w:val="1"/>
          <w:bCs w:val="1"/>
          <w:color w:val="auto"/>
        </w:rPr>
        <w:t xml:space="preserve">(d)      Meetings. </w:t>
      </w:r>
      <w:r>
        <w:rPr>
          <w:rFonts w:ascii="Times New Roman" w:cs="Times New Roman" w:eastAsia="Times New Roman" w:hAnsi="Times New Roman"/>
          <w:sz w:val="12"/>
          <w:szCs w:val="12"/>
          <w:color w:val="auto"/>
        </w:rPr>
        <w:t>Unless the Board of Directors shall otherwise provide, regular meetings of the Executive Committee or any other committee appointed pursuant to this Section 25 shall be held at such times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places, if any, as are determined by the Board of Directors, or by any such committee, and when notice thereof has been given to each member of such committee, no further notice of such regular meetings need be given thereafter. Unless the Board of Directors shall otherwise provide, special meetings of any such committee may be held at such place, if any, that has been determined from time to time by such committee, and may be called by any director who is a member of such committee, upon notice to the members of such committee of the time and place, if any, of such special meeting given in the manner provided for the giving of notice to members of the Board of Directors of the time and place, if any, of special meetings of the Board of Directors. Notice of any meeting of any committee may be waived in writing or by electronic transmission at any time before or after the meeting and will be waived by any director by attendance thereat, except when the director attends such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60">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42" w:name="page343"/>
    <w:bookmarkEnd w:id="342"/>
    <w:p>
      <w:pPr>
        <w:ind w:left="440"/>
        <w:spacing w:after="0"/>
        <w:rPr>
          <w:sz w:val="20"/>
          <w:szCs w:val="20"/>
          <w:color w:val="auto"/>
        </w:rPr>
      </w:pPr>
      <w:r>
        <w:rPr>
          <w:rFonts w:ascii="Times New Roman" w:cs="Times New Roman" w:eastAsia="Times New Roman" w:hAnsi="Times New Roman"/>
          <w:sz w:val="12"/>
          <w:szCs w:val="12"/>
          <w:b w:val="1"/>
          <w:bCs w:val="1"/>
          <w:color w:val="auto"/>
        </w:rPr>
        <w:t>Section 26.       Duties of Chairperson of the Board of Directors and Lead Independent Director.</w:t>
      </w:r>
    </w:p>
    <w:p>
      <w:pPr>
        <w:spacing w:after="0" w:line="155" w:lineRule="exact"/>
        <w:rPr>
          <w:sz w:val="20"/>
          <w:szCs w:val="20"/>
          <w:color w:val="auto"/>
        </w:rPr>
      </w:pPr>
    </w:p>
    <w:p>
      <w:pPr>
        <w:jc w:val="both"/>
        <w:ind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The Chairperson of the Board of Directors, shall preside at all meetings of the stockholders and the Board of Directors. The Chairperson of the Board of Directors shall perform such other duties commonly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incident to the position and shall also perform such other duties and have such other powers, as the Board of Directors shall designate from time to time.</w:t>
      </w:r>
    </w:p>
    <w:p>
      <w:pPr>
        <w:spacing w:after="0" w:line="102" w:lineRule="exact"/>
        <w:rPr>
          <w:sz w:val="20"/>
          <w:szCs w:val="20"/>
          <w:color w:val="auto"/>
        </w:rPr>
      </w:pPr>
    </w:p>
    <w:p>
      <w:pPr>
        <w:jc w:val="both"/>
        <w:ind w:firstLine="879"/>
        <w:spacing w:after="0" w:line="274"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The Chairperson of the Board of Directors, or if the Chairperson is not an independent director, one of the independent directors, may be designated by the Board of Directors as lead independent director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serve until replaced by the Board of Directors (“</w:t>
      </w:r>
      <w:r>
        <w:rPr>
          <w:rFonts w:ascii="Times New Roman" w:cs="Times New Roman" w:eastAsia="Times New Roman" w:hAnsi="Times New Roman"/>
          <w:sz w:val="12"/>
          <w:szCs w:val="12"/>
          <w:b w:val="1"/>
          <w:bCs w:val="1"/>
          <w:i w:val="1"/>
          <w:iCs w:val="1"/>
          <w:color w:val="auto"/>
        </w:rPr>
        <w:t>Lead Independent Directo</w:t>
      </w:r>
      <w:r>
        <w:rPr>
          <w:rFonts w:ascii="Times New Roman" w:cs="Times New Roman" w:eastAsia="Times New Roman" w:hAnsi="Times New Roman"/>
          <w:sz w:val="12"/>
          <w:szCs w:val="12"/>
          <w:color w:val="auto"/>
        </w:rPr>
        <w:t>r”). The Lead Independent Director will preside over meetings of the independent directors and perform such other duties as may be established or delegated by the Board of Directors and perform such other duties as may be established or delegated by the Chairperson of the Board of Directors.</w:t>
      </w:r>
    </w:p>
    <w:p>
      <w:pPr>
        <w:spacing w:after="0" w:line="114"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Section 27.       Organization. </w:t>
      </w:r>
      <w:r>
        <w:rPr>
          <w:rFonts w:ascii="Times New Roman" w:cs="Times New Roman" w:eastAsia="Times New Roman" w:hAnsi="Times New Roman"/>
          <w:sz w:val="12"/>
          <w:szCs w:val="12"/>
          <w:color w:val="auto"/>
        </w:rPr>
        <w:t>At every meeting of the directors, the Chairperson of the Board of Directors, or, if a Chairperson has not been appointed or is absent, the Lead Independent Director, or if the Lead Independent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Director has not been appointed or is absent,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of the Corporation, or in his or her absence, any Assistant Secretary of the Corporation or other officer, director or other person directed to do so by the person presiding over the meeting, shall act as secretary of the meeting.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OFFICERS</w:t>
      </w:r>
    </w:p>
    <w:p>
      <w:pPr>
        <w:spacing w:after="0" w:line="155" w:lineRule="exact"/>
        <w:rPr>
          <w:sz w:val="20"/>
          <w:szCs w:val="20"/>
          <w:color w:val="auto"/>
        </w:rPr>
      </w:pPr>
    </w:p>
    <w:p>
      <w:pPr>
        <w:jc w:val="both"/>
        <w:ind w:firstLine="440"/>
        <w:spacing w:after="0" w:line="264" w:lineRule="auto"/>
        <w:rPr>
          <w:sz w:val="20"/>
          <w:szCs w:val="20"/>
          <w:color w:val="auto"/>
        </w:rPr>
      </w:pPr>
      <w:r>
        <w:rPr>
          <w:rFonts w:ascii="Times New Roman" w:cs="Times New Roman" w:eastAsia="Times New Roman" w:hAnsi="Times New Roman"/>
          <w:sz w:val="12"/>
          <w:szCs w:val="12"/>
          <w:b w:val="1"/>
          <w:bCs w:val="1"/>
          <w:color w:val="auto"/>
        </w:rPr>
        <w:t xml:space="preserve">Section 28.       Officers Designated. </w:t>
      </w:r>
      <w:r>
        <w:rPr>
          <w:rFonts w:ascii="Times New Roman" w:cs="Times New Roman" w:eastAsia="Times New Roman" w:hAnsi="Times New Roman"/>
          <w:sz w:val="12"/>
          <w:szCs w:val="12"/>
          <w:color w:val="auto"/>
        </w:rPr>
        <w:t>The officers of the Corporation shall include, if and when designated by the Board of Directors, the Chairperson of the Board of Directors, the Chief Executive Officer, the President, one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more Vice Presidents, the Secretary, the Chief Financial Officer and the Treasurer. The Board of Directors may also appoint one or more Assistant Secretaries and Assistant Treasurers and such other officers and agents with such powers and duties as it shall deem appropriate or necessary. The Board of Directors may assign such additional titles to one or more of the officers as it shall deem appropriate. Any one person may hold any number of offices of the Corporation at any one time unless specifically prohibited therefrom by applicable law, the Certificate of Incorporation or these Bylaws. The salaries and other compensation of the officers of the Corporation shall be fixed by or in the manner designated by the Board of Directors or by a committee thereof to which the Board of Directors has delegated such responsibility.</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Section 29.       Tenure and Duties of Officers.</w:t>
      </w:r>
    </w:p>
    <w:p>
      <w:pPr>
        <w:spacing w:after="0" w:line="155" w:lineRule="exact"/>
        <w:rPr>
          <w:sz w:val="20"/>
          <w:szCs w:val="20"/>
          <w:color w:val="auto"/>
        </w:rPr>
      </w:pPr>
    </w:p>
    <w:p>
      <w:pPr>
        <w:jc w:val="both"/>
        <w:ind w:firstLine="879"/>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(a)       General. </w:t>
      </w:r>
      <w:r>
        <w:rPr>
          <w:rFonts w:ascii="Times New Roman" w:cs="Times New Roman" w:eastAsia="Times New Roman" w:hAnsi="Times New Roman"/>
          <w:sz w:val="12"/>
          <w:szCs w:val="12"/>
          <w:color w:val="auto"/>
        </w:rPr>
        <w:t>All officers shall hold office at the pleasure of the Board of Directors and until their successors shall have been duly elected and qualified, subject to such officer’s earlier death, resignation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removal. If the office of any officer becomes vacant for any reason, the vacancy may be filled by the Board of Directors or by a committee thereof to which the Board of Directors has delegated such responsibility or, if so authorized by the Board of Directors, by the Chief Executive Officer or another officer of the Corporation.</w:t>
      </w: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61">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343" w:name="page344"/>
    <w:bookmarkEnd w:id="343"/>
    <w:p>
      <w:pPr>
        <w:jc w:val="both"/>
        <w:ind w:firstLine="87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(b)       Duties of Chief Executive Officer. </w:t>
      </w:r>
      <w:r>
        <w:rPr>
          <w:rFonts w:ascii="Times New Roman" w:cs="Times New Roman" w:eastAsia="Times New Roman" w:hAnsi="Times New Roman"/>
          <w:sz w:val="12"/>
          <w:szCs w:val="12"/>
          <w:color w:val="auto"/>
        </w:rPr>
        <w:t>The Chief Executive Officer shall be the chief executive officer of the Corporation and shall, subject to the supervision, direction and control of the Board of Directors,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shall have the general powers and duties of supervision, direction, management, and control of the business and officers of the Corporation as are customarily associated with the position of Chief Executive Officer. To the extent that a Chief Executive Officer has been appointed and no President has been appointed, all references in these Bylaws to the President shall be deemed references to the Chief Executive Officer. The Chief Executive Officer shall perform other duties customarily associated with the office and shall also perform such other duties and have such other powers, as the Board of Directors shall designate from time to time.</w:t>
      </w:r>
    </w:p>
    <w:p>
      <w:pPr>
        <w:spacing w:after="0" w:line="116" w:lineRule="exact"/>
        <w:rPr>
          <w:sz w:val="20"/>
          <w:szCs w:val="20"/>
          <w:color w:val="auto"/>
        </w:rPr>
      </w:pPr>
    </w:p>
    <w:p>
      <w:pPr>
        <w:jc w:val="both"/>
        <w:ind w:firstLine="879"/>
        <w:spacing w:after="0" w:line="268" w:lineRule="auto"/>
        <w:rPr>
          <w:sz w:val="20"/>
          <w:szCs w:val="20"/>
          <w:color w:val="auto"/>
        </w:rPr>
      </w:pPr>
      <w:r>
        <w:rPr>
          <w:rFonts w:ascii="Times New Roman" w:cs="Times New Roman" w:eastAsia="Times New Roman" w:hAnsi="Times New Roman"/>
          <w:sz w:val="12"/>
          <w:szCs w:val="12"/>
          <w:b w:val="1"/>
          <w:bCs w:val="1"/>
          <w:color w:val="auto"/>
        </w:rPr>
        <w:t>(c)       Duties of President</w:t>
      </w:r>
      <w:r>
        <w:rPr>
          <w:rFonts w:ascii="Times New Roman" w:cs="Times New Roman" w:eastAsia="Times New Roman" w:hAnsi="Times New Roman"/>
          <w:sz w:val="12"/>
          <w:szCs w:val="12"/>
          <w:color w:val="auto"/>
        </w:rPr>
        <w:t>. Unless another officer has been appointed Chief Executive Officer of the Corporation, the President shall be the chief executive officer of the Corporation and shall, subject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supervision, direction and control of the Board of Directors, have the general powers and duties of supervision, direction, management and control of the business and officers of the Corporation as are customarily associated with the position of President. The President shall perform other duties customarily associated with the office and shall also perform such other duties and have such other powers, as the Board of Directors (or the Chief Executive Officer, if the Chief Executive Officer and President are not the same person) shall designate from time to time.</w:t>
      </w:r>
    </w:p>
    <w:p>
      <w:pPr>
        <w:spacing w:after="0" w:line="116" w:lineRule="exact"/>
        <w:rPr>
          <w:sz w:val="20"/>
          <w:szCs w:val="20"/>
          <w:color w:val="auto"/>
        </w:rPr>
      </w:pPr>
    </w:p>
    <w:p>
      <w:pPr>
        <w:jc w:val="both"/>
        <w:ind w:firstLine="879"/>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(d)       Duties of Vice Presidents. </w:t>
      </w:r>
      <w:r>
        <w:rPr>
          <w:rFonts w:ascii="Times New Roman" w:cs="Times New Roman" w:eastAsia="Times New Roman" w:hAnsi="Times New Roman"/>
          <w:sz w:val="12"/>
          <w:szCs w:val="12"/>
          <w:color w:val="auto"/>
        </w:rPr>
        <w:t>A Vice President may assume and perform the duties of the President in the absence or disability of the President or whenever the office of President is vacant, unless the duties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President are being filled by the Chief Executive Officer. A Vice President shall perform other duties customarily associated with the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14" w:lineRule="exact"/>
        <w:rPr>
          <w:sz w:val="20"/>
          <w:szCs w:val="20"/>
          <w:color w:val="auto"/>
        </w:rPr>
      </w:pPr>
    </w:p>
    <w:p>
      <w:pPr>
        <w:jc w:val="both"/>
        <w:ind w:firstLine="879"/>
        <w:spacing w:after="0" w:line="261" w:lineRule="auto"/>
        <w:rPr>
          <w:sz w:val="20"/>
          <w:szCs w:val="20"/>
          <w:color w:val="auto"/>
        </w:rPr>
      </w:pPr>
      <w:r>
        <w:rPr>
          <w:rFonts w:ascii="Times New Roman" w:cs="Times New Roman" w:eastAsia="Times New Roman" w:hAnsi="Times New Roman"/>
          <w:sz w:val="12"/>
          <w:szCs w:val="12"/>
          <w:b w:val="1"/>
          <w:bCs w:val="1"/>
          <w:color w:val="auto"/>
        </w:rPr>
        <w:t xml:space="preserve">(e)       Duties of Secretary and Assistant Secretary. </w:t>
      </w:r>
      <w:r>
        <w:rPr>
          <w:rFonts w:ascii="Times New Roman" w:cs="Times New Roman" w:eastAsia="Times New Roman" w:hAnsi="Times New Roman"/>
          <w:sz w:val="12"/>
          <w:szCs w:val="12"/>
          <w:color w:val="auto"/>
        </w:rPr>
        <w:t>The Secretary of the Corporation shall attend all meetings of the stockholders and of the Board of Directors and shall record all acts, votes and proceedings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thereof in the minute books of the Corporation. The Secretary of the Corporation shall give notice in conformity with these Bylaws of all meetings of the stockholders and of all meetings of the Board of Directors and any committee thereof requiring notice. The Secretary of the Corporation shall perform all other duties provided for in these Bylaws and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Secretary of the Corporation or other officer to assume and perform the duties of the Secretary in the absence or disability of the Secretary, and each Assistant Secretary of the Corporation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w:t>
      </w:r>
    </w:p>
    <w:p>
      <w:pPr>
        <w:spacing w:after="0" w:line="122" w:lineRule="exact"/>
        <w:rPr>
          <w:sz w:val="20"/>
          <w:szCs w:val="20"/>
          <w:color w:val="auto"/>
        </w:rPr>
      </w:pPr>
    </w:p>
    <w:p>
      <w:pPr>
        <w:jc w:val="both"/>
        <w:ind w:firstLine="879"/>
        <w:spacing w:after="0" w:line="264" w:lineRule="auto"/>
        <w:rPr>
          <w:sz w:val="20"/>
          <w:szCs w:val="20"/>
          <w:color w:val="auto"/>
        </w:rPr>
      </w:pPr>
      <w:r>
        <w:rPr>
          <w:rFonts w:ascii="Times New Roman" w:cs="Times New Roman" w:eastAsia="Times New Roman" w:hAnsi="Times New Roman"/>
          <w:sz w:val="12"/>
          <w:szCs w:val="12"/>
          <w:b w:val="1"/>
          <w:bCs w:val="1"/>
          <w:color w:val="auto"/>
        </w:rPr>
        <w:t xml:space="preserve">(f)            Duties of Chief Financial Officer. </w:t>
      </w:r>
      <w:r>
        <w:rPr>
          <w:rFonts w:ascii="Times New Roman" w:cs="Times New Roman" w:eastAsia="Times New Roman" w:hAnsi="Times New Roman"/>
          <w:sz w:val="12"/>
          <w:szCs w:val="12"/>
          <w:color w:val="auto"/>
        </w:rPr>
        <w:t>The Chief Financial Officer shall keep or cause to be kept the books of account of the Corporation in a thorough and proper manner and shall render statements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financial affairs of the Corporation in such form and as often as required by the Board of Directors, the Chief Executive Officer, or the President. The Chief Financial Officer, subject to the order of the Board of Directors, shall have the custody of all funds and securities of the Corporation. The Chief Financial Officer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w:t>
      </w: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62">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44" w:name="page345"/>
    <w:bookmarkEnd w:id="344"/>
    <w:p>
      <w:pPr>
        <w:jc w:val="both"/>
        <w:ind w:firstLine="879"/>
        <w:spacing w:after="0" w:line="264" w:lineRule="auto"/>
        <w:rPr>
          <w:sz w:val="20"/>
          <w:szCs w:val="20"/>
          <w:color w:val="auto"/>
        </w:rPr>
      </w:pPr>
      <w:r>
        <w:rPr>
          <w:rFonts w:ascii="Times New Roman" w:cs="Times New Roman" w:eastAsia="Times New Roman" w:hAnsi="Times New Roman"/>
          <w:sz w:val="12"/>
          <w:szCs w:val="12"/>
          <w:b w:val="1"/>
          <w:bCs w:val="1"/>
          <w:color w:val="auto"/>
        </w:rPr>
        <w:t xml:space="preserve">(g)      Duties of Treasurer and Assistant Treasurer. </w:t>
      </w:r>
      <w:r>
        <w:rPr>
          <w:rFonts w:ascii="Times New Roman" w:cs="Times New Roman" w:eastAsia="Times New Roman" w:hAnsi="Times New Roman"/>
          <w:sz w:val="12"/>
          <w:szCs w:val="12"/>
          <w:color w:val="auto"/>
        </w:rPr>
        <w:t>Unless another officer has been appointed Chief Financial Officer of the Corporation, the Treasurer shall be the chief financial officer of the Corporation.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Treasurer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Treasurer or other officer to assume and perform the duties of the Treasurer in the absence of disability of the Treasurer, and each Assistant Treasurer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Section 30.       Delegation of Authority. </w:t>
      </w:r>
      <w:r>
        <w:rPr>
          <w:rFonts w:ascii="Times New Roman" w:cs="Times New Roman" w:eastAsia="Times New Roman" w:hAnsi="Times New Roman"/>
          <w:sz w:val="12"/>
          <w:szCs w:val="12"/>
          <w:color w:val="auto"/>
        </w:rPr>
        <w:t>The Board of Directors may from time to time delegate the powers or duties of any officer to any other officer or agent, notwithstanding any provision hereof.</w:t>
      </w:r>
    </w:p>
    <w:p>
      <w:pPr>
        <w:spacing w:after="0" w:line="15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Section 31.       Resignations. </w:t>
      </w:r>
      <w:r>
        <w:rPr>
          <w:rFonts w:ascii="Times New Roman" w:cs="Times New Roman" w:eastAsia="Times New Roman" w:hAnsi="Times New Roman"/>
          <w:sz w:val="12"/>
          <w:szCs w:val="12"/>
          <w:color w:val="auto"/>
        </w:rPr>
        <w:t>Any officer may resign at any time by giving notice in writing or by electronic transmission to the Board of Directors, the Chairperson of the Board of Directors, the Chief Executive Officer,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President or the Secretary of the Corporation.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16" w:lineRule="exact"/>
        <w:rPr>
          <w:sz w:val="20"/>
          <w:szCs w:val="20"/>
          <w:color w:val="auto"/>
        </w:rPr>
      </w:pPr>
    </w:p>
    <w:p>
      <w:pPr>
        <w:jc w:val="both"/>
        <w:ind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Section 32.       Removal. </w:t>
      </w:r>
      <w:r>
        <w:rPr>
          <w:rFonts w:ascii="Times New Roman" w:cs="Times New Roman" w:eastAsia="Times New Roman" w:hAnsi="Times New Roman"/>
          <w:sz w:val="12"/>
          <w:szCs w:val="12"/>
          <w:color w:val="auto"/>
        </w:rPr>
        <w:t>Any officer may be removed from office at any time, either with or without cause, by the Board of Directors, or by any duly authorized committee thereof or any superior officer upon whom such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power of removal may have been conferred by the Board of Directors.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VI</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EXECUTION OF CORPORATE INSTRUMENTS AND VOTING OF SECURITIES OWNED BY THE CORPORATION</w:t>
      </w:r>
    </w:p>
    <w:p>
      <w:pPr>
        <w:spacing w:after="0" w:line="155" w:lineRule="exact"/>
        <w:rPr>
          <w:sz w:val="20"/>
          <w:szCs w:val="20"/>
          <w:color w:val="auto"/>
        </w:rPr>
      </w:pPr>
    </w:p>
    <w:p>
      <w:pPr>
        <w:jc w:val="both"/>
        <w:ind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Section 33.       Execution of Corporate Instruments. </w:t>
      </w:r>
      <w:r>
        <w:rPr>
          <w:rFonts w:ascii="Times New Roman" w:cs="Times New Roman" w:eastAsia="Times New Roman" w:hAnsi="Times New Roman"/>
          <w:sz w:val="12"/>
          <w:szCs w:val="12"/>
          <w:color w:val="auto"/>
        </w:rPr>
        <w:t>The Board of Directors may, in its discretion, determine the method and designate the signatory officer or officers, or other person or persons, to execute, sign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endorse on behalf of the Corporation any corporate instrument or document, or to sign on behalf of the Corporation the corporate name without limitation, or to enter into contracts on behalf of the Corporation, except where otherwise provided by applicable law or these Bylaws, and such execution or signature shall be binding upon the Corporation.</w:t>
      </w:r>
    </w:p>
    <w:p>
      <w:pPr>
        <w:spacing w:after="0" w:line="116" w:lineRule="exact"/>
        <w:rPr>
          <w:sz w:val="20"/>
          <w:szCs w:val="20"/>
          <w:color w:val="auto"/>
        </w:rPr>
      </w:pPr>
    </w:p>
    <w:p>
      <w:pPr>
        <w:jc w:val="both"/>
        <w:ind w:firstLine="440"/>
        <w:spacing w:after="0" w:line="291" w:lineRule="auto"/>
        <w:rPr>
          <w:sz w:val="20"/>
          <w:szCs w:val="20"/>
          <w:color w:val="auto"/>
        </w:rPr>
      </w:pPr>
      <w:r>
        <w:rPr>
          <w:rFonts w:ascii="Times New Roman" w:cs="Times New Roman" w:eastAsia="Times New Roman" w:hAnsi="Times New Roman"/>
          <w:sz w:val="12"/>
          <w:szCs w:val="12"/>
          <w:color w:val="auto"/>
        </w:rPr>
        <w:t> All checks and drafts drawn on banks or other depositaries on funds to the credit of the Corporation or in special accounts of the Corporation shall be signed by such person or persons as the Board of Directors shall from time to time authorize so to do.</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63">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45" w:name="page346"/>
    <w:bookmarkEnd w:id="345"/>
    <w:p>
      <w:pPr>
        <w:jc w:val="both"/>
        <w:ind w:right="20" w:firstLine="440"/>
        <w:spacing w:after="0" w:line="291" w:lineRule="auto"/>
        <w:rPr>
          <w:sz w:val="20"/>
          <w:szCs w:val="20"/>
          <w:color w:val="auto"/>
        </w:rPr>
      </w:pPr>
      <w:r>
        <w:rPr>
          <w:rFonts w:ascii="Times New Roman" w:cs="Times New Roman" w:eastAsia="Times New Roman" w:hAnsi="Times New Roman"/>
          <w:sz w:val="12"/>
          <w:szCs w:val="12"/>
          <w:color w:val="auto"/>
        </w:rPr>
        <w:t>Unless otherwise specifically determined by the Board of Directors or otherwise required by applicable law, the execution, signing or endorsement of any corporate instrument or document by or on behalf of the Corporation may be effected manually, by facsimile or (to the extent permitted by applicable law and subject to such policies and procedures as the corporation may have in effect from time to time) by electronic signature.</w:t>
      </w:r>
    </w:p>
    <w:p>
      <w:pPr>
        <w:spacing w:after="0" w:line="105" w:lineRule="exact"/>
        <w:rPr>
          <w:sz w:val="20"/>
          <w:szCs w:val="20"/>
          <w:color w:val="auto"/>
        </w:rPr>
      </w:pPr>
    </w:p>
    <w:p>
      <w:pPr>
        <w:jc w:val="both"/>
        <w:ind w:right="20" w:firstLine="440"/>
        <w:spacing w:after="0" w:line="291" w:lineRule="auto"/>
        <w:rPr>
          <w:sz w:val="20"/>
          <w:szCs w:val="20"/>
          <w:color w:val="auto"/>
        </w:rPr>
      </w:pPr>
      <w:r>
        <w:rPr>
          <w:rFonts w:ascii="Times New Roman" w:cs="Times New Roman" w:eastAsia="Times New Roman" w:hAnsi="Times New Roman"/>
          <w:sz w:val="12"/>
          <w:szCs w:val="12"/>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03" w:lineRule="exact"/>
        <w:rPr>
          <w:sz w:val="20"/>
          <w:szCs w:val="20"/>
          <w:color w:val="auto"/>
        </w:rPr>
      </w:pPr>
    </w:p>
    <w:p>
      <w:pPr>
        <w:jc w:val="both"/>
        <w:ind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Section 34.       Voting of Securities Owned by the Corporation. </w:t>
      </w:r>
      <w:r>
        <w:rPr>
          <w:rFonts w:ascii="Times New Roman" w:cs="Times New Roman" w:eastAsia="Times New Roman" w:hAnsi="Times New Roman"/>
          <w:sz w:val="12"/>
          <w:szCs w:val="12"/>
          <w:color w:val="auto"/>
        </w:rPr>
        <w:t>All stock and other securities of or interests in other corporations or entities owned or held by the Corporation for itself, or for other parties in any capacity,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shall be voted, and all proxies with respect thereto shall be executed, by the person authorized so to do by resolution of the Board of Directors, or, in the absence of such authorization, by the Chairperson of the Board of Directors, the Chief Executive Officer, the President, or any Vice President.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VII</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SHARES OF STOCK</w:t>
      </w:r>
    </w:p>
    <w:p>
      <w:pPr>
        <w:spacing w:after="0" w:line="155"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Section 35.       Form and Execution of Certificates. </w:t>
      </w:r>
      <w:r>
        <w:rPr>
          <w:rFonts w:ascii="Times New Roman" w:cs="Times New Roman" w:eastAsia="Times New Roman" w:hAnsi="Times New Roman"/>
          <w:sz w:val="12"/>
          <w:szCs w:val="12"/>
          <w:color w:val="auto"/>
        </w:rPr>
        <w:t>The shares of the Corporation shall be represented by certificates, or shall be uncertificated if so provided by resolution or resolutions of the Board of Directors.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Certificates for the shares of stock, if any, shall be in such form as is consistent with the Certificate of Incorporation and applicable law. Every holder of stock in the Corporation represented by certificates shall be entitled to have a certificate signed by or in the name of the Corporation by any two authorized officers of the Corporation (it being understood that each of the Chairperson of the Board of Directors, the Chief Executive Officer, the President, any Vice President, the Treasurer, any Assistant Treasurer, the Secretary and any Assistant Secretary shall be an authorized officer for such purposes), certifying the number, and the class or series, of shares owned by such holder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22" w:lineRule="exact"/>
        <w:rPr>
          <w:sz w:val="20"/>
          <w:szCs w:val="20"/>
          <w:color w:val="auto"/>
        </w:rPr>
      </w:pPr>
    </w:p>
    <w:p>
      <w:pPr>
        <w:jc w:val="both"/>
        <w:ind w:firstLine="440"/>
        <w:spacing w:after="0" w:line="264" w:lineRule="auto"/>
        <w:rPr>
          <w:sz w:val="20"/>
          <w:szCs w:val="20"/>
          <w:color w:val="auto"/>
        </w:rPr>
      </w:pPr>
      <w:r>
        <w:rPr>
          <w:rFonts w:ascii="Times New Roman" w:cs="Times New Roman" w:eastAsia="Times New Roman" w:hAnsi="Times New Roman"/>
          <w:sz w:val="12"/>
          <w:szCs w:val="12"/>
          <w:b w:val="1"/>
          <w:bCs w:val="1"/>
          <w:color w:val="auto"/>
        </w:rPr>
        <w:t xml:space="preserve">Section 36.       Lost Certificates. </w:t>
      </w:r>
      <w:r>
        <w:rPr>
          <w:rFonts w:ascii="Times New Roman" w:cs="Times New Roman" w:eastAsia="Times New Roman" w:hAnsi="Times New Roman"/>
          <w:sz w:val="12"/>
          <w:szCs w:val="12"/>
          <w:color w:val="auto"/>
        </w:rPr>
        <w:t>A new certificate or certificates or uncertificated shares shall be issued in place of any certificate or certificates theretofore issued by the Corporation alleged to have been lost, stolen,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destroyed, upon the making of an affidavit of that fact by the person claiming the certificate of stock to be lost, stolen, or destroyed. The Corporation may require, as a condition precedent to the issuance of a new certificate or certificates or uncertificated shares,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 of the issuance of a new certificate or certificates.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Section 37.       Transfers.</w:t>
      </w:r>
    </w:p>
    <w:p>
      <w:pPr>
        <w:spacing w:after="0" w:line="155" w:lineRule="exact"/>
        <w:rPr>
          <w:sz w:val="20"/>
          <w:szCs w:val="20"/>
          <w:color w:val="auto"/>
        </w:rPr>
      </w:pPr>
    </w:p>
    <w:p>
      <w:pPr>
        <w:jc w:val="both"/>
        <w:ind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Transfers of record of shares of stock of the Corporation shall be made only upon its books by the holders thereof, in person or by attorney duly authorized, and, in the case of stock represented by certificate,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upon the surrender of a properly endorsed certificate or certificates for a like number of shares.</w:t>
      </w: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64">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346" w:name="page347"/>
    <w:bookmarkEnd w:id="346"/>
    <w:p>
      <w:pPr>
        <w:jc w:val="both"/>
        <w:ind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The Corporation shall have power to enter into and perform any agreement with any number of stockholders of any one or more classes or series of stock of the Corporation to restrict the transfer of shares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stock of the Corporation of any one or more classes or series owned by such stockholders in any manner not prohibited by the DGCL.</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Section 38.       Fixing Record Dates.</w:t>
      </w:r>
    </w:p>
    <w:p>
      <w:pPr>
        <w:spacing w:after="0" w:line="155" w:lineRule="exact"/>
        <w:rPr>
          <w:sz w:val="20"/>
          <w:szCs w:val="20"/>
          <w:color w:val="auto"/>
        </w:rPr>
      </w:pPr>
    </w:p>
    <w:p>
      <w:pPr>
        <w:jc w:val="both"/>
        <w:ind w:firstLine="879"/>
        <w:spacing w:after="0" w:line="260"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In order that the Corporation may determine the stockholders entitled to notice of or to vote at any meeting of stockholders or any adjournment thereof, the Board of Directors may fix a record date, which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record date shall not precede the date upon which the resolution fixing the record date is adopted by the Board of Directors, and which record date shall, subject to applicable law, not be more than 60 nor less than 10 days before the date of such meeting. If the Board of Directors so fixes a record date for determining the stockholders entitled to notice of any meeting of stockholders, such date shall also be the record date for determining the stockholders entitled to vote at such meeting, unless the Board of Directors determines, at the time it fixes the record date for determining the stockholders entitled to notice of such meeting, that a later date on or before the date of the meeting shall be the record date for determining the stockholders entitled to vote at such meeting. If no record date is fixed by the Board of Directors, the record date for determining stockholders entitled to notice of or to vote at a meeting of stockholders shall be at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72" w:lineRule="exact"/>
        <w:rPr>
          <w:sz w:val="20"/>
          <w:szCs w:val="20"/>
          <w:color w:val="auto"/>
        </w:rPr>
      </w:pPr>
    </w:p>
    <w:p>
      <w:pPr>
        <w:jc w:val="both"/>
        <w:ind w:firstLine="879"/>
        <w:spacing w:after="0" w:line="268"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In order that the Corporation may determine the stockholders entitled to receive payment of any dividend or other distribution or allotment of any rights or the stockholders entitled to exercise any rights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16" w:lineRule="exact"/>
        <w:rPr>
          <w:sz w:val="20"/>
          <w:szCs w:val="20"/>
          <w:color w:val="auto"/>
        </w:rPr>
      </w:pPr>
    </w:p>
    <w:p>
      <w:pPr>
        <w:jc w:val="both"/>
        <w:ind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Section 39.         Registered Stockholders. </w:t>
      </w:r>
      <w:r>
        <w:rPr>
          <w:rFonts w:ascii="Times New Roman" w:cs="Times New Roman" w:eastAsia="Times New Roman" w:hAnsi="Times New Roman"/>
          <w:sz w:val="12"/>
          <w:szCs w:val="12"/>
          <w:color w:val="auto"/>
        </w:rPr>
        <w:t>The Corporation shall be entitled to recognize the exclusive right of a person registered on its books as the owner of shares to receive dividends, and to vote as such owner, and shall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not be bound to recognize any equitable or other claim to or interest in such share or shares on the part of any other person whether or not it shall have express or other notice thereof, except as otherwise provided by the laws of Delaware.</w:t>
      </w:r>
    </w:p>
    <w:p>
      <w:pPr>
        <w:spacing w:after="0" w:line="114"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Section 40.         Additional Powers of the Board. </w:t>
      </w:r>
      <w:r>
        <w:rPr>
          <w:rFonts w:ascii="Times New Roman" w:cs="Times New Roman" w:eastAsia="Times New Roman" w:hAnsi="Times New Roman"/>
          <w:sz w:val="12"/>
          <w:szCs w:val="12"/>
          <w:color w:val="auto"/>
        </w:rPr>
        <w:t>In addition to, and without limiting, the powers set forth in these Bylaws, the Board of Directors shall have power and authority to make all such rules and regulations as it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shall deem expedient concerning the issue, transfer, and registration of certificates for shares of stock of the Corporation, including the use of uncertificated shares of stock, subject to the provisions of the DGCL, other applicable law, the Certificate of Incorporation and these Bylaws. The Board of Directors may appoint and remove transfer agents and registrars of transfers, and may require all stock certificates to bear the signature of any such transfer agent and/or any such registrar of transfers.</w:t>
      </w:r>
    </w:p>
    <w:p>
      <w:pPr>
        <w:spacing w:after="0" w:line="2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65">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47" w:name="page348"/>
    <w:bookmarkEnd w:id="347"/>
    <w:p>
      <w:pPr>
        <w:jc w:val="center"/>
        <w:spacing w:after="0"/>
        <w:rPr>
          <w:sz w:val="20"/>
          <w:szCs w:val="20"/>
          <w:color w:val="auto"/>
        </w:rPr>
      </w:pPr>
      <w:r>
        <w:rPr>
          <w:rFonts w:ascii="Times New Roman" w:cs="Times New Roman" w:eastAsia="Times New Roman" w:hAnsi="Times New Roman"/>
          <w:sz w:val="12"/>
          <w:szCs w:val="12"/>
          <w:b w:val="1"/>
          <w:bCs w:val="1"/>
          <w:color w:val="auto"/>
        </w:rPr>
        <w:t>ARTICLE VIII</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OTHER SECURITIES OF THE CORPORATION</w:t>
      </w:r>
    </w:p>
    <w:p>
      <w:pPr>
        <w:spacing w:after="0" w:line="155" w:lineRule="exact"/>
        <w:rPr>
          <w:sz w:val="20"/>
          <w:szCs w:val="20"/>
          <w:color w:val="auto"/>
        </w:rPr>
      </w:pPr>
    </w:p>
    <w:p>
      <w:pPr>
        <w:jc w:val="both"/>
        <w:ind w:firstLine="440"/>
        <w:spacing w:after="0" w:line="260" w:lineRule="auto"/>
        <w:rPr>
          <w:sz w:val="20"/>
          <w:szCs w:val="20"/>
          <w:color w:val="auto"/>
        </w:rPr>
      </w:pPr>
      <w:r>
        <w:rPr>
          <w:rFonts w:ascii="Times New Roman" w:cs="Times New Roman" w:eastAsia="Times New Roman" w:hAnsi="Times New Roman"/>
          <w:sz w:val="12"/>
          <w:szCs w:val="12"/>
          <w:b w:val="1"/>
          <w:bCs w:val="1"/>
          <w:color w:val="auto"/>
        </w:rPr>
        <w:t xml:space="preserve">Section 41.       Execution of Other Securities. </w:t>
      </w:r>
      <w:r>
        <w:rPr>
          <w:rFonts w:ascii="Times New Roman" w:cs="Times New Roman" w:eastAsia="Times New Roman" w:hAnsi="Times New Roman"/>
          <w:sz w:val="12"/>
          <w:szCs w:val="12"/>
          <w:color w:val="auto"/>
        </w:rPr>
        <w:t>All bonds, debentures and other corporate securities of the Corporation, other than stock certificates (covered in Section 35), may be signed by the Chairperson of the Board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Directors, the Chief Executive Officer, the President or any Vice President, or such other person as may be authorized by the Board of Directors;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where any such bond, debenture or other corporate security shall be authenticated by the manual signature, or where permissible electronic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IX</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DIVIDENDS</w:t>
      </w:r>
    </w:p>
    <w:p>
      <w:pPr>
        <w:spacing w:after="0" w:line="155" w:lineRule="exact"/>
        <w:rPr>
          <w:sz w:val="20"/>
          <w:szCs w:val="20"/>
          <w:color w:val="auto"/>
        </w:rPr>
      </w:pPr>
    </w:p>
    <w:p>
      <w:pPr>
        <w:jc w:val="both"/>
        <w:ind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Section 42.       Declaration of Dividends. </w:t>
      </w:r>
      <w:r>
        <w:rPr>
          <w:rFonts w:ascii="Times New Roman" w:cs="Times New Roman" w:eastAsia="Times New Roman" w:hAnsi="Times New Roman"/>
          <w:sz w:val="12"/>
          <w:szCs w:val="12"/>
          <w:color w:val="auto"/>
        </w:rPr>
        <w:t>Dividends upon the capital stock of the Corporation, subject to the provisions of the Certificate of Incorporation and applicable law, if any, may be declared by the Board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Directors. Dividends may be paid in cash, in property, or in shares of capital stock or other securities of the Corporation, subject to the provisions of the Certificate of Incorporation and applicable law.</w:t>
      </w:r>
    </w:p>
    <w:p>
      <w:pPr>
        <w:spacing w:after="0" w:line="102" w:lineRule="exact"/>
        <w:rPr>
          <w:sz w:val="20"/>
          <w:szCs w:val="20"/>
          <w:color w:val="auto"/>
        </w:rPr>
      </w:pPr>
    </w:p>
    <w:p>
      <w:pPr>
        <w:jc w:val="both"/>
        <w:ind w:right="20"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Section 43.       Dividend Reserve. </w:t>
      </w:r>
      <w:r>
        <w:rPr>
          <w:rFonts w:ascii="Times New Roman" w:cs="Times New Roman" w:eastAsia="Times New Roman" w:hAnsi="Times New Roman"/>
          <w:sz w:val="12"/>
          <w:szCs w:val="12"/>
          <w:color w:val="auto"/>
        </w:rPr>
        <w:t>Before payment of any dividend, there may be set aside out of any funds of the Corporation available for dividends such sum or sums as the Board of Directors from time to time, in its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absolute discretion, determines proper as a reserve or reserves to meet contingencies, or for equalizing dividends, or for repairing or maintaining any property of the Corporation, or for such other purpose or purposes as the Board of Directors shall determine to be conducive to the interests of the Corporation, and the Board of Directors may modify or abolish any such reserve in the manner in which it was created.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X</w:t>
      </w:r>
    </w:p>
    <w:p>
      <w:pPr>
        <w:spacing w:after="0" w:line="1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FISCAL YEAR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Section 44.       Fiscal Year. </w:t>
      </w:r>
      <w:r>
        <w:rPr>
          <w:rFonts w:ascii="Times New Roman" w:cs="Times New Roman" w:eastAsia="Times New Roman" w:hAnsi="Times New Roman"/>
          <w:sz w:val="12"/>
          <w:szCs w:val="12"/>
          <w:color w:val="auto"/>
        </w:rPr>
        <w:t>The fiscal year of the Corporation shall be fixed by resolution of the Board of Directors.</w:t>
      </w: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66">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48" w:name="page349"/>
    <w:bookmarkEnd w:id="348"/>
    <w:p>
      <w:pPr>
        <w:jc w:val="center"/>
        <w:spacing w:after="0"/>
        <w:rPr>
          <w:sz w:val="20"/>
          <w:szCs w:val="20"/>
          <w:color w:val="auto"/>
        </w:rPr>
      </w:pPr>
      <w:r>
        <w:rPr>
          <w:rFonts w:ascii="Times New Roman" w:cs="Times New Roman" w:eastAsia="Times New Roman" w:hAnsi="Times New Roman"/>
          <w:sz w:val="12"/>
          <w:szCs w:val="12"/>
          <w:b w:val="1"/>
          <w:bCs w:val="1"/>
          <w:color w:val="auto"/>
        </w:rPr>
        <w:t>ARTICLE XI</w:t>
      </w:r>
    </w:p>
    <w:p>
      <w:pPr>
        <w:spacing w:after="0" w:line="15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2"/>
          <w:szCs w:val="12"/>
          <w:b w:val="1"/>
          <w:bCs w:val="1"/>
          <w:color w:val="auto"/>
        </w:rPr>
        <w:t>INDEMNIFICATION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Section 45.       Indemnification of Directors, Executive Officers, Other Officers, Employees and Agents.</w:t>
      </w:r>
    </w:p>
    <w:p>
      <w:pPr>
        <w:spacing w:after="0" w:line="155" w:lineRule="exact"/>
        <w:rPr>
          <w:sz w:val="20"/>
          <w:szCs w:val="20"/>
          <w:color w:val="auto"/>
        </w:rPr>
      </w:pPr>
    </w:p>
    <w:p>
      <w:pPr>
        <w:jc w:val="both"/>
        <w:ind w:firstLine="879"/>
        <w:spacing w:after="0" w:line="261" w:lineRule="auto"/>
        <w:rPr>
          <w:sz w:val="20"/>
          <w:szCs w:val="20"/>
          <w:color w:val="auto"/>
        </w:rPr>
      </w:pPr>
      <w:r>
        <w:rPr>
          <w:rFonts w:ascii="Times New Roman" w:cs="Times New Roman" w:eastAsia="Times New Roman" w:hAnsi="Times New Roman"/>
          <w:sz w:val="12"/>
          <w:szCs w:val="12"/>
          <w:b w:val="1"/>
          <w:bCs w:val="1"/>
          <w:color w:val="auto"/>
        </w:rPr>
        <w:t xml:space="preserve">(a)       Directors and Executive Officers. </w:t>
      </w:r>
      <w:r>
        <w:rPr>
          <w:rFonts w:ascii="Times New Roman" w:cs="Times New Roman" w:eastAsia="Times New Roman" w:hAnsi="Times New Roman"/>
          <w:sz w:val="12"/>
          <w:szCs w:val="12"/>
          <w:color w:val="auto"/>
        </w:rPr>
        <w:t>To the fullest extent and in any manner permitted under the DGCL and any other applicable law, the Corporation shall indemnify any person who is made or threatened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be made a party to or is otherwise involved (as a witness or otherwise) in any Proceeding by reason of the fact that such person is or was a director or executive officer, or while serving as a director or executive officer of the Corporation, is or was serving at the request of the Corporation as a director, officer, employee, or agent of Another Enterprise, against Expenses (including attorneys’ fees) reasonably incurred by him or her in connection with such Proceeding;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the Corporation shall not be required to indemnify any director or executive officer in connection with any Proceeding (or part thereof) initiated by such person unless (i) such indemnification is expressly required to be made by applicable law, (ii) the Proceeding was authorized in the specific case by the Board of Directors of the Corporation, (iii) such indemnification is approved by the Board of Directors of the Corporation, in its sole discretion, pursuant to the powers vested in it under the DGCL or any other applicable law or (iv) such indemnification is required to be made under subsection (d) of this Section 45 (collectively, “</w:t>
      </w:r>
      <w:r>
        <w:rPr>
          <w:rFonts w:ascii="Times New Roman" w:cs="Times New Roman" w:eastAsia="Times New Roman" w:hAnsi="Times New Roman"/>
          <w:sz w:val="12"/>
          <w:szCs w:val="12"/>
          <w:b w:val="1"/>
          <w:bCs w:val="1"/>
          <w:i w:val="1"/>
          <w:iCs w:val="1"/>
          <w:color w:val="auto"/>
        </w:rPr>
        <w:t>Covered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Indemnitee Initiated Proceedings</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879"/>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(b)       Other Officers, Employees and Agents. </w:t>
      </w:r>
      <w:r>
        <w:rPr>
          <w:rFonts w:ascii="Times New Roman" w:cs="Times New Roman" w:eastAsia="Times New Roman" w:hAnsi="Times New Roman"/>
          <w:sz w:val="12"/>
          <w:szCs w:val="12"/>
          <w:color w:val="auto"/>
        </w:rPr>
        <w:t>The Corporation shall have power to indemnify (including the power to advance expenses in a manner consistent with subsection (c) of this Section 45) its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officers, employees and agents as set forth in the DGCL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114" w:lineRule="exact"/>
        <w:rPr>
          <w:sz w:val="20"/>
          <w:szCs w:val="20"/>
          <w:color w:val="auto"/>
        </w:rPr>
      </w:pPr>
    </w:p>
    <w:p>
      <w:pPr>
        <w:jc w:val="both"/>
        <w:ind w:firstLine="879"/>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(c)       Expenses. </w:t>
      </w:r>
      <w:r>
        <w:rPr>
          <w:rFonts w:ascii="Times New Roman" w:cs="Times New Roman" w:eastAsia="Times New Roman" w:hAnsi="Times New Roman"/>
          <w:sz w:val="12"/>
          <w:szCs w:val="12"/>
          <w:color w:val="auto"/>
        </w:rPr>
        <w:t>The Corporation shall, to the fullest extent and in any manner permitted under the DGCL and any other applicable law, advance to any director or executive officer who was or is a party or 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threatened to be made a party to any Proceeding prior to the final disposition of the Proceeding, promptly following request therefor, all expenses (including attorneys’ fees) incurred by any director or executive officer in defending any Proceeding provided, however, that if the DGCL requires, an advancement of expenses incurred by a director or executive officer in his or her capacity as a director or executive officer (and not in any other capacity in which service was or is rendered by such person, including, without limitation, service to an employee benefit plan) shall be made only upon delivery to the Corporation of an undertaking (hereinafter, an “undertaking”), by or on behalf of such person, to repay all amounts so advanced if it shall ultimately be determined by final judicial decision from which there is no further right to appeal (hereinafter a “final adjudication”) that such person is not entitled to be indemnified for such expenses under this Section 45 or otherwise.</w:t>
      </w:r>
    </w:p>
    <w:p>
      <w:pPr>
        <w:spacing w:after="0" w:line="124" w:lineRule="exact"/>
        <w:rPr>
          <w:sz w:val="20"/>
          <w:szCs w:val="20"/>
          <w:color w:val="auto"/>
        </w:rPr>
      </w:pPr>
    </w:p>
    <w:p>
      <w:pPr>
        <w:jc w:val="both"/>
        <w:ind w:firstLine="440"/>
        <w:spacing w:after="0" w:line="263" w:lineRule="auto"/>
        <w:rPr>
          <w:sz w:val="20"/>
          <w:szCs w:val="20"/>
          <w:color w:val="auto"/>
        </w:rPr>
      </w:pPr>
      <w:r>
        <w:rPr>
          <w:rFonts w:ascii="Times New Roman" w:cs="Times New Roman" w:eastAsia="Times New Roman" w:hAnsi="Times New Roman"/>
          <w:sz w:val="12"/>
          <w:szCs w:val="12"/>
          <w:color w:val="auto"/>
        </w:rPr>
        <w:t>Notwithstanding the foregoing, unless otherwise determined pursuant to paragraph (d) of this Section 45, no advance shall be made by the Corporation to an executive officer of the Corporation (except by reason of the fact that such executive officer is or was a director of the Corporation in which event this paragraph shall not apply) in any Proceeding, if a determination is reasonably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7">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49" w:name="page350"/>
    <w:bookmarkEnd w:id="349"/>
    <w:p>
      <w:pPr>
        <w:jc w:val="both"/>
        <w:ind w:firstLine="879"/>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(d)       Enforcement. </w:t>
      </w:r>
      <w:r>
        <w:rPr>
          <w:rFonts w:ascii="Times New Roman" w:cs="Times New Roman" w:eastAsia="Times New Roman" w:hAnsi="Times New Roman"/>
          <w:sz w:val="12"/>
          <w:szCs w:val="12"/>
          <w:color w:val="auto"/>
        </w:rPr>
        <w:t>Without the necessity of entering into an express contract, all rights to indemnification and advances to directors and executive officers under this Section 45 shall be deemed to be contractual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rights, shall vest when the person becomes a director or executive officer of the Corporation, shall continue as vested contract rights even if such person ceases to be a director or executive officer of the Corporation, and shall be effective to the same extent and as if provided for in a contract between the Corporation and the director or executive officer. Any right to indemnification or advances granted by this Section 45 to a director or executive officer shall be enforceable by or on behalf of the person holding such right in any court of competent jurisdiction if (i) the claim for indemnification or advances is denied, in whole or in part, or (ii) no disposition of such claim is made within 90 days of request therefor. To the fullest extent permitted by applicable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Proceeding,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45 or otherwise shall be on the Corporation.</w:t>
      </w:r>
    </w:p>
    <w:p>
      <w:pPr>
        <w:spacing w:after="0" w:line="129" w:lineRule="exact"/>
        <w:rPr>
          <w:sz w:val="20"/>
          <w:szCs w:val="20"/>
          <w:color w:val="auto"/>
        </w:rPr>
      </w:pPr>
    </w:p>
    <w:p>
      <w:pPr>
        <w:jc w:val="both"/>
        <w:ind w:firstLine="87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(e)       Non-Exclusivity of Rights. </w:t>
      </w:r>
      <w:r>
        <w:rPr>
          <w:rFonts w:ascii="Times New Roman" w:cs="Times New Roman" w:eastAsia="Times New Roman" w:hAnsi="Times New Roman"/>
          <w:sz w:val="12"/>
          <w:szCs w:val="12"/>
          <w:color w:val="auto"/>
        </w:rPr>
        <w:t>The rights conferred on any person by this Section 45 shall not be exclusive of any other right that such person may have or hereafter acquire under any applicable statute,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116" w:lineRule="exact"/>
        <w:rPr>
          <w:sz w:val="20"/>
          <w:szCs w:val="20"/>
          <w:color w:val="auto"/>
        </w:rPr>
      </w:pPr>
    </w:p>
    <w:p>
      <w:pPr>
        <w:jc w:val="both"/>
        <w:ind w:right="20"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(f)       Survival of Rights. </w:t>
      </w:r>
      <w:r>
        <w:rPr>
          <w:rFonts w:ascii="Times New Roman" w:cs="Times New Roman" w:eastAsia="Times New Roman" w:hAnsi="Times New Roman"/>
          <w:sz w:val="12"/>
          <w:szCs w:val="12"/>
          <w:color w:val="auto"/>
        </w:rPr>
        <w:t>The rights conferred on any person by this Section 45 shall continue as to a person who has ceased to be a director or executive officer and shall inure to the benefit of the heirs, executors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administrators of such a person.</w:t>
      </w:r>
    </w:p>
    <w:p>
      <w:pPr>
        <w:spacing w:after="0" w:line="102" w:lineRule="exact"/>
        <w:rPr>
          <w:sz w:val="20"/>
          <w:szCs w:val="20"/>
          <w:color w:val="auto"/>
        </w:rPr>
      </w:pPr>
    </w:p>
    <w:p>
      <w:pPr>
        <w:jc w:val="both"/>
        <w:ind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(g)      Insurance. </w:t>
      </w:r>
      <w:r>
        <w:rPr>
          <w:rFonts w:ascii="Times New Roman" w:cs="Times New Roman" w:eastAsia="Times New Roman" w:hAnsi="Times New Roman"/>
          <w:sz w:val="12"/>
          <w:szCs w:val="12"/>
          <w:color w:val="auto"/>
        </w:rPr>
        <w:t>To the fullest extent permitted by the DGCL or any other applicable law, the Corporation, upon approval by the Board of Directors, may purchase and maintain insurance on behalf of any person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required or permitted to be indemnified pursuant to this Section 45.</w:t>
      </w: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8">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350" w:name="page351"/>
    <w:bookmarkEnd w:id="350"/>
    <w:p>
      <w:pPr>
        <w:jc w:val="both"/>
        <w:ind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(h)      Amendments. </w:t>
      </w:r>
      <w:r>
        <w:rPr>
          <w:rFonts w:ascii="Times New Roman" w:cs="Times New Roman" w:eastAsia="Times New Roman" w:hAnsi="Times New Roman"/>
          <w:sz w:val="12"/>
          <w:szCs w:val="12"/>
          <w:color w:val="auto"/>
        </w:rPr>
        <w:t>Any repeal or modification of this Section 45 shall only be prospective and shall not affect the rights under this Section 45 in effect at the time of the alleged occurrence of any action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omission to act that is the cause of any Proceeding against any agent of the Corporation.</w:t>
      </w:r>
    </w:p>
    <w:p>
      <w:pPr>
        <w:spacing w:after="0" w:line="102" w:lineRule="exact"/>
        <w:rPr>
          <w:sz w:val="20"/>
          <w:szCs w:val="20"/>
          <w:color w:val="auto"/>
        </w:rPr>
      </w:pPr>
    </w:p>
    <w:p>
      <w:pPr>
        <w:jc w:val="both"/>
        <w:ind w:firstLine="87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(i)       Saving Clause. </w:t>
      </w:r>
      <w:r>
        <w:rPr>
          <w:rFonts w:ascii="Times New Roman" w:cs="Times New Roman" w:eastAsia="Times New Roman" w:hAnsi="Times New Roman"/>
          <w:sz w:val="12"/>
          <w:szCs w:val="12"/>
          <w:color w:val="auto"/>
        </w:rPr>
        <w:t>If this Article XI or any portion hereof shall be invalidated on any ground by any court of competent jurisdiction, then the Corporation shall nevertheless indemnify and advance expenses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each director and executive officer to the fullest extent not prohibited by any applicable portion of this Article XI that shall not have been invalidated, or by any other applicable law. If this Article XI shall be invalid due to the application of the indemnification and advancement provisions of another jurisdiction, then the Corporation shall indemnify and advance expenses to each director and executive officer to the fullest extent not prohibited under the applicable law of such jurisdiction.</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 xml:space="preserve">(j)       Certain Definitions and Construction of Terms. </w:t>
      </w:r>
      <w:r>
        <w:rPr>
          <w:rFonts w:ascii="Times New Roman" w:cs="Times New Roman" w:eastAsia="Times New Roman" w:hAnsi="Times New Roman"/>
          <w:sz w:val="12"/>
          <w:szCs w:val="12"/>
          <w:color w:val="auto"/>
        </w:rPr>
        <w:t>For the purposes of Article XI of the Bylaws, the following definitions and rules of construction shall apply:</w:t>
      </w:r>
    </w:p>
    <w:p>
      <w:pPr>
        <w:spacing w:after="0" w:line="1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The term “</w:t>
      </w:r>
      <w:r>
        <w:rPr>
          <w:rFonts w:ascii="Times New Roman" w:cs="Times New Roman" w:eastAsia="Times New Roman" w:hAnsi="Times New Roman"/>
          <w:sz w:val="12"/>
          <w:szCs w:val="12"/>
          <w:b w:val="1"/>
          <w:bCs w:val="1"/>
          <w:i w:val="1"/>
          <w:iCs w:val="1"/>
          <w:color w:val="auto"/>
        </w:rPr>
        <w:t>Another Enterprise</w:t>
      </w:r>
      <w:r>
        <w:rPr>
          <w:rFonts w:ascii="Times New Roman" w:cs="Times New Roman" w:eastAsia="Times New Roman" w:hAnsi="Times New Roman"/>
          <w:sz w:val="12"/>
          <w:szCs w:val="12"/>
          <w:color w:val="auto"/>
        </w:rPr>
        <w:t>” shall mean any corporation, partnership, joint venture, trust or other enterprise, including any employee benefit plan.</w:t>
      </w:r>
    </w:p>
    <w:p>
      <w:pPr>
        <w:spacing w:after="0" w:line="155" w:lineRule="exact"/>
        <w:rPr>
          <w:sz w:val="20"/>
          <w:szCs w:val="20"/>
          <w:color w:val="auto"/>
        </w:rPr>
      </w:pPr>
    </w:p>
    <w:p>
      <w:pPr>
        <w:jc w:val="both"/>
        <w:ind w:firstLine="1187"/>
        <w:spacing w:after="0" w:line="268" w:lineRule="auto"/>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The term the “</w:t>
      </w:r>
      <w:r>
        <w:rPr>
          <w:rFonts w:ascii="Times New Roman" w:cs="Times New Roman" w:eastAsia="Times New Roman" w:hAnsi="Times New Roman"/>
          <w:sz w:val="12"/>
          <w:szCs w:val="12"/>
          <w:b w:val="1"/>
          <w:bCs w:val="1"/>
          <w:i w:val="1"/>
          <w:iCs w:val="1"/>
          <w:color w:val="auto"/>
        </w:rPr>
        <w:t>Corporation</w:t>
      </w:r>
      <w:r>
        <w:rPr>
          <w:rFonts w:ascii="Times New Roman" w:cs="Times New Roman" w:eastAsia="Times New Roman" w:hAnsi="Times New Roman"/>
          <w:sz w:val="12"/>
          <w:szCs w:val="12"/>
          <w:color w:val="auto"/>
        </w:rPr>
        <w:t>” shall include, in addition to the resulting Corporation, any constituent Corporation (including any constituent of a constituent) absorbed in a consolidation or merger that, if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45 with respect to the resulting or surviving Corporation as he would have with respect to such constituent Corporation if its separate existence had continued.</w:t>
      </w:r>
    </w:p>
    <w:p>
      <w:pPr>
        <w:spacing w:after="0" w:line="116" w:lineRule="exact"/>
        <w:rPr>
          <w:sz w:val="20"/>
          <w:szCs w:val="20"/>
          <w:color w:val="auto"/>
        </w:rPr>
      </w:pPr>
    </w:p>
    <w:p>
      <w:pPr>
        <w:jc w:val="both"/>
        <w:ind w:firstLine="1187"/>
        <w:spacing w:after="0" w:line="294" w:lineRule="auto"/>
        <w:rPr>
          <w:sz w:val="20"/>
          <w:szCs w:val="20"/>
          <w:color w:val="auto"/>
        </w:rPr>
      </w:pPr>
      <w:r>
        <w:rPr>
          <w:rFonts w:ascii="Times New Roman" w:cs="Times New Roman" w:eastAsia="Times New Roman" w:hAnsi="Times New Roman"/>
          <w:sz w:val="12"/>
          <w:szCs w:val="12"/>
          <w:b w:val="1"/>
          <w:bCs w:val="1"/>
          <w:color w:val="auto"/>
        </w:rPr>
        <w:t>(iii)          </w:t>
      </w:r>
      <w:r>
        <w:rPr>
          <w:rFonts w:ascii="Times New Roman" w:cs="Times New Roman" w:eastAsia="Times New Roman" w:hAnsi="Times New Roman"/>
          <w:sz w:val="12"/>
          <w:szCs w:val="12"/>
          <w:color w:val="auto"/>
        </w:rPr>
        <w:t>References to a “</w:t>
      </w:r>
      <w:r>
        <w:rPr>
          <w:rFonts w:ascii="Times New Roman" w:cs="Times New Roman" w:eastAsia="Times New Roman" w:hAnsi="Times New Roman"/>
          <w:sz w:val="12"/>
          <w:szCs w:val="12"/>
          <w:b w:val="1"/>
          <w:bCs w:val="1"/>
          <w:i w:val="1"/>
          <w:iCs w:val="1"/>
          <w:color w:val="auto"/>
        </w:rPr>
        <w:t>director</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i w:val="1"/>
          <w:iCs w:val="1"/>
          <w:color w:val="auto"/>
        </w:rPr>
        <w:t>executive officer</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i w:val="1"/>
          <w:iCs w:val="1"/>
          <w:color w:val="auto"/>
        </w:rPr>
        <w:t>officer</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i w:val="1"/>
          <w:iCs w:val="1"/>
          <w:color w:val="auto"/>
        </w:rPr>
        <w:t>employee</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agent</w:t>
      </w:r>
      <w:r>
        <w:rPr>
          <w:rFonts w:ascii="Times New Roman" w:cs="Times New Roman" w:eastAsia="Times New Roman" w:hAnsi="Times New Roman"/>
          <w:sz w:val="12"/>
          <w:szCs w:val="12"/>
          <w:color w:val="auto"/>
        </w:rPr>
        <w:t>” of the Corporation shall include, without limitation, situations where such person is serving at the request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Corporation as, respectively, a director, executive officer, officer, employee, trustee or agent of Another Enterprise.</w:t>
      </w:r>
    </w:p>
    <w:p>
      <w:pPr>
        <w:spacing w:after="0" w:line="102" w:lineRule="exact"/>
        <w:rPr>
          <w:sz w:val="20"/>
          <w:szCs w:val="20"/>
          <w:color w:val="auto"/>
        </w:rPr>
      </w:pPr>
    </w:p>
    <w:p>
      <w:pPr>
        <w:jc w:val="both"/>
        <w:ind w:firstLine="1187"/>
        <w:spacing w:after="0" w:line="294" w:lineRule="auto"/>
        <w:rPr>
          <w:sz w:val="20"/>
          <w:szCs w:val="20"/>
          <w:color w:val="auto"/>
        </w:rPr>
      </w:pPr>
      <w:r>
        <w:rPr>
          <w:rFonts w:ascii="Times New Roman" w:cs="Times New Roman" w:eastAsia="Times New Roman" w:hAnsi="Times New Roman"/>
          <w:sz w:val="12"/>
          <w:szCs w:val="12"/>
          <w:b w:val="1"/>
          <w:bCs w:val="1"/>
          <w:color w:val="auto"/>
        </w:rPr>
        <w:t>(iv)           </w:t>
      </w:r>
      <w:r>
        <w:rPr>
          <w:rFonts w:ascii="Times New Roman" w:cs="Times New Roman" w:eastAsia="Times New Roman" w:hAnsi="Times New Roman"/>
          <w:sz w:val="12"/>
          <w:szCs w:val="12"/>
          <w:color w:val="auto"/>
        </w:rPr>
        <w:t>The term “</w:t>
      </w:r>
      <w:r>
        <w:rPr>
          <w:rFonts w:ascii="Times New Roman" w:cs="Times New Roman" w:eastAsia="Times New Roman" w:hAnsi="Times New Roman"/>
          <w:sz w:val="12"/>
          <w:szCs w:val="12"/>
          <w:b w:val="1"/>
          <w:bCs w:val="1"/>
          <w:i w:val="1"/>
          <w:iCs w:val="1"/>
          <w:color w:val="auto"/>
        </w:rPr>
        <w:t>executive officer</w:t>
      </w:r>
      <w:r>
        <w:rPr>
          <w:rFonts w:ascii="Times New Roman" w:cs="Times New Roman" w:eastAsia="Times New Roman" w:hAnsi="Times New Roman"/>
          <w:sz w:val="12"/>
          <w:szCs w:val="12"/>
          <w:color w:val="auto"/>
        </w:rPr>
        <w:t>” shall mean those persons designated by the Corporation as (a) executive officers for purposes of the disclosures required in the Corporation’s proxy and periodic reports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(b) officers for purposes of Section 16 of the 1934 Act.</w:t>
      </w:r>
    </w:p>
    <w:p>
      <w:pPr>
        <w:spacing w:after="0" w:line="102" w:lineRule="exact"/>
        <w:rPr>
          <w:sz w:val="20"/>
          <w:szCs w:val="20"/>
          <w:color w:val="auto"/>
        </w:rPr>
      </w:pPr>
    </w:p>
    <w:p>
      <w:pPr>
        <w:jc w:val="both"/>
        <w:ind w:firstLine="1187"/>
        <w:spacing w:after="0" w:line="294" w:lineRule="auto"/>
        <w:rPr>
          <w:sz w:val="20"/>
          <w:szCs w:val="20"/>
          <w:color w:val="auto"/>
        </w:rPr>
      </w:pPr>
      <w:r>
        <w:rPr>
          <w:rFonts w:ascii="Times New Roman" w:cs="Times New Roman" w:eastAsia="Times New Roman" w:hAnsi="Times New Roman"/>
          <w:sz w:val="12"/>
          <w:szCs w:val="12"/>
          <w:b w:val="1"/>
          <w:bCs w:val="1"/>
          <w:color w:val="auto"/>
        </w:rPr>
        <w:t>(v)            </w:t>
      </w:r>
      <w:r>
        <w:rPr>
          <w:rFonts w:ascii="Times New Roman" w:cs="Times New Roman" w:eastAsia="Times New Roman" w:hAnsi="Times New Roman"/>
          <w:sz w:val="12"/>
          <w:szCs w:val="12"/>
          <w:color w:val="auto"/>
        </w:rPr>
        <w:t>The term “</w:t>
      </w:r>
      <w:r>
        <w:rPr>
          <w:rFonts w:ascii="Times New Roman" w:cs="Times New Roman" w:eastAsia="Times New Roman" w:hAnsi="Times New Roman"/>
          <w:sz w:val="12"/>
          <w:szCs w:val="12"/>
          <w:b w:val="1"/>
          <w:bCs w:val="1"/>
          <w:i w:val="1"/>
          <w:iCs w:val="1"/>
          <w:color w:val="auto"/>
        </w:rPr>
        <w:t>expenses</w:t>
      </w:r>
      <w:r>
        <w:rPr>
          <w:rFonts w:ascii="Times New Roman" w:cs="Times New Roman" w:eastAsia="Times New Roman" w:hAnsi="Times New Roman"/>
          <w:sz w:val="12"/>
          <w:szCs w:val="12"/>
          <w:color w:val="auto"/>
        </w:rPr>
        <w:t>” shall be broadly construed and shall include, without limitation, court costs, attorneys’ fees, witness fees, fines, amounts paid in settlement or judgment and any other costs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expenses of any nature or kind incurred in connection with any Proceeding.</w:t>
      </w:r>
    </w:p>
    <w:p>
      <w:pPr>
        <w:spacing w:after="0" w:line="102" w:lineRule="exact"/>
        <w:rPr>
          <w:sz w:val="20"/>
          <w:szCs w:val="20"/>
          <w:color w:val="auto"/>
        </w:rPr>
      </w:pPr>
    </w:p>
    <w:p>
      <w:pPr>
        <w:jc w:val="both"/>
        <w:ind w:firstLine="1187"/>
        <w:spacing w:after="0" w:line="264" w:lineRule="auto"/>
        <w:rPr>
          <w:sz w:val="20"/>
          <w:szCs w:val="20"/>
          <w:color w:val="auto"/>
        </w:rPr>
      </w:pPr>
      <w:r>
        <w:rPr>
          <w:rFonts w:ascii="Times New Roman" w:cs="Times New Roman" w:eastAsia="Times New Roman" w:hAnsi="Times New Roman"/>
          <w:sz w:val="12"/>
          <w:szCs w:val="12"/>
          <w:b w:val="1"/>
          <w:bCs w:val="1"/>
          <w:color w:val="auto"/>
        </w:rPr>
        <w:t>(vi)           </w:t>
      </w:r>
      <w:r>
        <w:rPr>
          <w:rFonts w:ascii="Times New Roman" w:cs="Times New Roman" w:eastAsia="Times New Roman" w:hAnsi="Times New Roman"/>
          <w:sz w:val="12"/>
          <w:szCs w:val="12"/>
          <w:color w:val="auto"/>
        </w:rPr>
        <w:t>References to “</w:t>
      </w:r>
      <w:r>
        <w:rPr>
          <w:rFonts w:ascii="Times New Roman" w:cs="Times New Roman" w:eastAsia="Times New Roman" w:hAnsi="Times New Roman"/>
          <w:sz w:val="12"/>
          <w:szCs w:val="12"/>
          <w:b w:val="1"/>
          <w:bCs w:val="1"/>
          <w:i w:val="1"/>
          <w:iCs w:val="1"/>
          <w:color w:val="auto"/>
        </w:rPr>
        <w:t>fines</w:t>
      </w:r>
      <w:r>
        <w:rPr>
          <w:rFonts w:ascii="Times New Roman" w:cs="Times New Roman" w:eastAsia="Times New Roman" w:hAnsi="Times New Roman"/>
          <w:sz w:val="12"/>
          <w:szCs w:val="12"/>
          <w:color w:val="auto"/>
        </w:rPr>
        <w:t>” shall include any excise taxes assessed on a person with respect to an employee benefit plan; The term “</w:t>
      </w:r>
      <w:r>
        <w:rPr>
          <w:rFonts w:ascii="Times New Roman" w:cs="Times New Roman" w:eastAsia="Times New Roman" w:hAnsi="Times New Roman"/>
          <w:sz w:val="12"/>
          <w:szCs w:val="12"/>
          <w:b w:val="1"/>
          <w:bCs w:val="1"/>
          <w:i w:val="1"/>
          <w:iCs w:val="1"/>
          <w:color w:val="auto"/>
        </w:rPr>
        <w:t>Proceeding</w:t>
      </w:r>
      <w:r>
        <w:rPr>
          <w:rFonts w:ascii="Times New Roman" w:cs="Times New Roman" w:eastAsia="Times New Roman" w:hAnsi="Times New Roman"/>
          <w:sz w:val="12"/>
          <w:szCs w:val="12"/>
          <w:color w:val="auto"/>
        </w:rPr>
        <w:t>” shall mean any threatened, pending, or completed action,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suit, or proceeding, whether civil, criminal, administrative, or investigative, to which a person is made or threatened to be made a party to or is otherwise involved in (as a witness or otherwise) by reason of the fact that such person is or was a director or executive officer of the Corporation, or while serving as a director or executive officer of the Corporation, is or was serving at the request of the corporation as a director, officer, employee or agent of Another Enterprise. 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9">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51" w:name="page352"/>
    <w:bookmarkEnd w:id="351"/>
    <w:p>
      <w:pPr>
        <w:jc w:val="both"/>
        <w:ind w:firstLine="1187"/>
        <w:spacing w:after="0" w:line="274" w:lineRule="auto"/>
        <w:rPr>
          <w:sz w:val="20"/>
          <w:szCs w:val="20"/>
          <w:color w:val="auto"/>
        </w:rPr>
      </w:pPr>
      <w:r>
        <w:rPr>
          <w:rFonts w:ascii="Times New Roman" w:cs="Times New Roman" w:eastAsia="Times New Roman" w:hAnsi="Times New Roman"/>
          <w:sz w:val="12"/>
          <w:szCs w:val="12"/>
          <w:b w:val="1"/>
          <w:bCs w:val="1"/>
          <w:color w:val="auto"/>
        </w:rPr>
        <w:t>(vii)          </w:t>
      </w:r>
      <w:r>
        <w:rPr>
          <w:rFonts w:ascii="Times New Roman" w:cs="Times New Roman" w:eastAsia="Times New Roman" w:hAnsi="Times New Roman"/>
          <w:sz w:val="12"/>
          <w:szCs w:val="12"/>
          <w:color w:val="auto"/>
        </w:rPr>
        <w:t>References to “</w:t>
      </w:r>
      <w:r>
        <w:rPr>
          <w:rFonts w:ascii="Times New Roman" w:cs="Times New Roman" w:eastAsia="Times New Roman" w:hAnsi="Times New Roman"/>
          <w:sz w:val="12"/>
          <w:szCs w:val="12"/>
          <w:b w:val="1"/>
          <w:bCs w:val="1"/>
          <w:i w:val="1"/>
          <w:iCs w:val="1"/>
          <w:color w:val="auto"/>
        </w:rPr>
        <w:t>serving at the request of the Corporation</w:t>
      </w:r>
      <w:r>
        <w:rPr>
          <w:rFonts w:ascii="Times New Roman" w:cs="Times New Roman" w:eastAsia="Times New Roman" w:hAnsi="Times New Roman"/>
          <w:sz w:val="12"/>
          <w:szCs w:val="12"/>
          <w:color w:val="auto"/>
        </w:rPr>
        <w:t>” shall include any service as a director, officer, employee or agent of the Corporation that imposes duties on, or involves services by, such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12"/>
          <w:szCs w:val="12"/>
          <w:b w:val="1"/>
          <w:bCs w:val="1"/>
          <w:i w:val="1"/>
          <w:iCs w:val="1"/>
          <w:color w:val="auto"/>
        </w:rPr>
        <w:t>not opposed to the best interests of the Corporation</w:t>
      </w:r>
      <w:r>
        <w:rPr>
          <w:rFonts w:ascii="Times New Roman" w:cs="Times New Roman" w:eastAsia="Times New Roman" w:hAnsi="Times New Roman"/>
          <w:sz w:val="12"/>
          <w:szCs w:val="12"/>
          <w:color w:val="auto"/>
        </w:rPr>
        <w:t>” as referred to in this Section 45.</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XII</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NOTICES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Section 46.       Notices.</w:t>
      </w:r>
    </w:p>
    <w:p>
      <w:pPr>
        <w:spacing w:after="0" w:line="155" w:lineRule="exact"/>
        <w:rPr>
          <w:sz w:val="20"/>
          <w:szCs w:val="20"/>
          <w:color w:val="auto"/>
        </w:rPr>
      </w:pPr>
    </w:p>
    <w:p>
      <w:pPr>
        <w:jc w:val="both"/>
        <w:ind w:firstLine="879"/>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(a)       Notice to Stockholders. </w:t>
      </w:r>
      <w:r>
        <w:rPr>
          <w:rFonts w:ascii="Times New Roman" w:cs="Times New Roman" w:eastAsia="Times New Roman" w:hAnsi="Times New Roman"/>
          <w:sz w:val="12"/>
          <w:szCs w:val="12"/>
          <w:color w:val="auto"/>
        </w:rPr>
        <w:t>Notice to stockholders of stockholder meetings shall be given as provided in Section 7. Without limiting the manner by which notice may otherwise be given effectively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stockholders under any agreement or contract with such stockholder, and except as otherwise required by applicable law, notice to stockholders for purposes other than stockholder meetings may be sent by U.S. mail or nationally recognized overnight courier, or by electronic mail or other electronic means in accordance with Section 232 of the DGCL.</w:t>
      </w:r>
    </w:p>
    <w:p>
      <w:pPr>
        <w:spacing w:after="0" w:line="114" w:lineRule="exact"/>
        <w:rPr>
          <w:sz w:val="20"/>
          <w:szCs w:val="20"/>
          <w:color w:val="auto"/>
        </w:rPr>
      </w:pPr>
    </w:p>
    <w:p>
      <w:pPr>
        <w:jc w:val="both"/>
        <w:ind w:firstLine="879"/>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(b)       Notice to Directors. </w:t>
      </w:r>
      <w:r>
        <w:rPr>
          <w:rFonts w:ascii="Times New Roman" w:cs="Times New Roman" w:eastAsia="Times New Roman" w:hAnsi="Times New Roman"/>
          <w:sz w:val="12"/>
          <w:szCs w:val="12"/>
          <w:color w:val="auto"/>
        </w:rPr>
        <w:t>Any notice required to be given to any director may be given by the method stated in subsection (a), or otherwise provided in these Bylaws (including by any of the means specified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Section 21(d)), or by overnight delivery services. Any notice sent by overnight delivery services or by U.S. mail shall be sent to such address as such director shall have filed in writing with the Secretary of the Corporation, or, in the absence of such filing, to the last known post office address of such director.</w:t>
      </w:r>
    </w:p>
    <w:p>
      <w:pPr>
        <w:spacing w:after="0" w:line="114" w:lineRule="exact"/>
        <w:rPr>
          <w:sz w:val="20"/>
          <w:szCs w:val="20"/>
          <w:color w:val="auto"/>
        </w:rPr>
      </w:pPr>
    </w:p>
    <w:p>
      <w:pPr>
        <w:jc w:val="both"/>
        <w:ind w:firstLine="879"/>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(c)       Affidavit of Mailing. </w:t>
      </w:r>
      <w:r>
        <w:rPr>
          <w:rFonts w:ascii="Times New Roman" w:cs="Times New Roman" w:eastAsia="Times New Roman" w:hAnsi="Times New Roman"/>
          <w:sz w:val="12"/>
          <w:szCs w:val="12"/>
          <w:color w:val="auto"/>
        </w:rPr>
        <w:t>An affidavit of mailing, executed by a duly authorized and competent employee of the Corporation or its transfer agent appointed with respect to the class of stock affected, or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14" w:lineRule="exact"/>
        <w:rPr>
          <w:sz w:val="20"/>
          <w:szCs w:val="20"/>
          <w:color w:val="auto"/>
        </w:rPr>
      </w:pPr>
    </w:p>
    <w:p>
      <w:pPr>
        <w:jc w:val="both"/>
        <w:ind w:right="20"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(d)       Methods of Notice. </w:t>
      </w:r>
      <w:r>
        <w:rPr>
          <w:rFonts w:ascii="Times New Roman" w:cs="Times New Roman" w:eastAsia="Times New Roman" w:hAnsi="Times New Roman"/>
          <w:sz w:val="12"/>
          <w:szCs w:val="12"/>
          <w:color w:val="auto"/>
        </w:rPr>
        <w:t>It shall not be necessary that the same method of giving notice be employed in respect of all recipients of notice, but one permissible method may be employed in respect of any one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more, and any other permissible method or methods may be employed in respect of any other or others.</w:t>
      </w:r>
    </w:p>
    <w:p>
      <w:pPr>
        <w:spacing w:after="0" w:line="102" w:lineRule="exact"/>
        <w:rPr>
          <w:sz w:val="20"/>
          <w:szCs w:val="20"/>
          <w:color w:val="auto"/>
        </w:rPr>
      </w:pPr>
    </w:p>
    <w:p>
      <w:pPr>
        <w:jc w:val="both"/>
        <w:ind w:firstLine="879"/>
        <w:spacing w:after="0" w:line="264" w:lineRule="auto"/>
        <w:rPr>
          <w:sz w:val="20"/>
          <w:szCs w:val="20"/>
          <w:color w:val="auto"/>
        </w:rPr>
      </w:pPr>
      <w:r>
        <w:rPr>
          <w:rFonts w:ascii="Times New Roman" w:cs="Times New Roman" w:eastAsia="Times New Roman" w:hAnsi="Times New Roman"/>
          <w:sz w:val="12"/>
          <w:szCs w:val="12"/>
          <w:b w:val="1"/>
          <w:bCs w:val="1"/>
          <w:color w:val="auto"/>
        </w:rPr>
        <w:t xml:space="preserve">(e)       Notice to Person with Whom Communication is Unlawful. </w:t>
      </w:r>
      <w:r>
        <w:rPr>
          <w:rFonts w:ascii="Times New Roman" w:cs="Times New Roman" w:eastAsia="Times New Roman" w:hAnsi="Times New Roman"/>
          <w:sz w:val="12"/>
          <w:szCs w:val="12"/>
          <w:color w:val="auto"/>
        </w:rPr>
        <w:t>Whenever notice is required to be given, under applicable law or any provision of the Certificate of Incorporation or Bylaws of the Corporation,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0">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352" w:name="page353"/>
    <w:bookmarkEnd w:id="352"/>
    <w:p>
      <w:pPr>
        <w:jc w:val="both"/>
        <w:ind w:firstLine="87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(f)        Notice to Stockholders Sharing an Address. </w:t>
      </w:r>
      <w:r>
        <w:rPr>
          <w:rFonts w:ascii="Times New Roman" w:cs="Times New Roman" w:eastAsia="Times New Roman" w:hAnsi="Times New Roman"/>
          <w:sz w:val="12"/>
          <w:szCs w:val="12"/>
          <w:color w:val="auto"/>
        </w:rPr>
        <w:t>Except as otherwise prohibited under the DGCL, any notice given under the provisions of the DGCL, the Certificate of Incorporation or these Bylaws shall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XIII</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AMENDMENTS</w:t>
      </w:r>
    </w:p>
    <w:p>
      <w:pPr>
        <w:spacing w:after="0" w:line="15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Section 47.       Amendments. </w:t>
      </w:r>
      <w:r>
        <w:rPr>
          <w:rFonts w:ascii="Times New Roman" w:cs="Times New Roman" w:eastAsia="Times New Roman" w:hAnsi="Times New Roman"/>
          <w:sz w:val="12"/>
          <w:szCs w:val="12"/>
          <w:color w:val="auto"/>
        </w:rPr>
        <w:t>The Board of Directors is expressly empowered to adopt, amend or repeal the Bylaws. Any adoption, amendment or repeal of the Bylaws by the Board of Directors shall require the approval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 majority of the authorized number of directors. The stockholders also shall have power to adopt, amend or repeal the Bylaws; provided, however, that, in addition to any vote of the holders of any class or series of stock of the Corporation required by applicable law or by the Certificate of Incorporation, such action by stockholders shall require the affirmative vote of the holders of at least 66-2/3% of the voting power of all of the then-outstanding shares of the capital stock of the Corporation entitled to vote in the election of directors, voting together as a single class.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XIV</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LOANS TO OFFICERS</w:t>
      </w:r>
    </w:p>
    <w:p>
      <w:pPr>
        <w:spacing w:after="0" w:line="15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Section 48.       Loans to Officers. </w:t>
      </w:r>
      <w:r>
        <w:rPr>
          <w:rFonts w:ascii="Times New Roman" w:cs="Times New Roman" w:eastAsia="Times New Roman" w:hAnsi="Times New Roman"/>
          <w:sz w:val="12"/>
          <w:szCs w:val="12"/>
          <w:color w:val="auto"/>
        </w:rPr>
        <w:t>Except as otherwise prohibited by applicable law, the Corporation may lend money to, or guarantee any obligation of, or otherwise assist any officer or other employee of the Corporation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2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1">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353" w:name="page354"/>
    <w:bookmarkEnd w:id="353"/>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AMENDED AND RESTATED BYLAWS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 Delaware Corporation</w:t>
      </w:r>
    </w:p>
    <w:p>
      <w:pPr>
        <w:spacing w:after="0" w:line="153" w:lineRule="exact"/>
        <w:rPr>
          <w:sz w:val="20"/>
          <w:szCs w:val="20"/>
          <w:color w:val="auto"/>
        </w:rPr>
      </w:pPr>
    </w:p>
    <w:p>
      <w:pPr>
        <w:ind w:firstLine="440"/>
        <w:spacing w:after="0" w:line="294" w:lineRule="auto"/>
        <w:rPr>
          <w:sz w:val="20"/>
          <w:szCs w:val="20"/>
          <w:color w:val="auto"/>
        </w:rPr>
      </w:pPr>
      <w:r>
        <w:rPr>
          <w:rFonts w:ascii="Times New Roman" w:cs="Times New Roman" w:eastAsia="Times New Roman" w:hAnsi="Times New Roman"/>
          <w:sz w:val="12"/>
          <w:szCs w:val="12"/>
          <w:color w:val="auto"/>
        </w:rPr>
        <w:t>I, Sara Klein, certify that I am Secretary of Alumis Inc., a Delaware corporation (the “</w:t>
      </w:r>
      <w:r>
        <w:rPr>
          <w:rFonts w:ascii="Times New Roman" w:cs="Times New Roman" w:eastAsia="Times New Roman" w:hAnsi="Times New Roman"/>
          <w:sz w:val="12"/>
          <w:szCs w:val="12"/>
          <w:b w:val="1"/>
          <w:bCs w:val="1"/>
          <w:color w:val="auto"/>
        </w:rPr>
        <w:t>Corporation</w:t>
      </w:r>
      <w:r>
        <w:rPr>
          <w:rFonts w:ascii="Times New Roman" w:cs="Times New Roman" w:eastAsia="Times New Roman" w:hAnsi="Times New Roman"/>
          <w:sz w:val="12"/>
          <w:szCs w:val="12"/>
          <w:color w:val="auto"/>
        </w:rPr>
        <w:t>”), that I am duly authorized to make and deliver this certification, and that the attached Amended and Restated Bylaws are a true and complete copy of the Amended and Restated Bylaws of the Corporation in effect as of the date of this certificate.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[__________]</w:t>
      </w:r>
    </w:p>
    <w:p>
      <w:pPr>
        <w:spacing w:after="0" w:line="3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Sara Klein,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-84455</wp:posOffset>
            </wp:positionV>
            <wp:extent cx="3588385" cy="571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2">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73">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280"/>
          </w:cols>
          <w:pgMar w:left="300" w:top="656" w:right="319" w:bottom="1440" w:gutter="0" w:footer="0" w:header="0"/>
        </w:sectPr>
      </w:pPr>
    </w:p>
    <w:bookmarkStart w:id="354" w:name="page355"/>
    <w:bookmarkEnd w:id="354"/>
    <w:p>
      <w:pPr>
        <w:ind w:left="9580"/>
        <w:spacing w:after="0"/>
        <w:rPr>
          <w:sz w:val="20"/>
          <w:szCs w:val="20"/>
          <w:color w:val="auto"/>
        </w:rPr>
      </w:pPr>
      <w:r>
        <w:rPr>
          <w:rFonts w:ascii="Times New Roman" w:cs="Times New Roman" w:eastAsia="Times New Roman" w:hAnsi="Times New Roman"/>
          <w:sz w:val="12"/>
          <w:szCs w:val="1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15240</wp:posOffset>
            </wp:positionV>
            <wp:extent cx="6978650" cy="49022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4">
                      <a:extLst>
                        <a:ext uri="{28A0092B-C50C-407E-A947-70E740481C1C}"/>
                      </a:extLst>
                    </a:blip>
                    <a:srcRect/>
                    <a:stretch>
                      <a:fillRect/>
                    </a:stretch>
                  </pic:blipFill>
                  <pic:spPr bwMode="auto">
                    <a:xfrm>
                      <a:off x="0" y="0"/>
                      <a:ext cx="6978650" cy="490220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355" w:name="page356"/>
    <w:bookmarkEnd w:id="3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377825</wp:posOffset>
            </wp:positionH>
            <wp:positionV relativeFrom="page">
              <wp:posOffset>88900</wp:posOffset>
            </wp:positionV>
            <wp:extent cx="6792595" cy="722884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75">
                      <a:extLst>
                        <a:ext uri="{28A0092B-C50C-407E-A947-70E740481C1C}"/>
                      </a:extLst>
                    </a:blip>
                    <a:srcRect/>
                    <a:stretch>
                      <a:fillRect/>
                    </a:stretch>
                  </pic:blipFill>
                  <pic:spPr bwMode="auto">
                    <a:xfrm>
                      <a:off x="0" y="0"/>
                      <a:ext cx="6792595" cy="7228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6" w:name="page357"/>
    <w:bookmarkEnd w:id="356"/>
    <w:p>
      <w:pPr>
        <w:jc w:val="right"/>
        <w:spacing w:after="0"/>
        <w:rPr>
          <w:sz w:val="20"/>
          <w:szCs w:val="20"/>
          <w:color w:val="auto"/>
        </w:rPr>
      </w:pPr>
      <w:r>
        <w:rPr>
          <w:rFonts w:ascii="Times New Roman" w:cs="Times New Roman" w:eastAsia="Times New Roman" w:hAnsi="Times New Roman"/>
          <w:sz w:val="15"/>
          <w:szCs w:val="15"/>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970915" cy="36639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76">
                      <a:extLst>
                        <a:ext uri="{28A0092B-C50C-407E-A947-70E740481C1C}"/>
                      </a:extLst>
                    </a:blip>
                    <a:srcRect/>
                    <a:stretch>
                      <a:fillRect/>
                    </a:stretch>
                  </pic:blipFill>
                  <pic:spPr bwMode="auto">
                    <a:xfrm>
                      <a:off x="0" y="0"/>
                      <a:ext cx="970915" cy="36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David Peinsipp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(415) 693 2177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dpeinsipp@cooley.com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June 24,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Alumis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280 East Grand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South San Francisco, California 94080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5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2"/>
          <w:szCs w:val="12"/>
          <w:color w:val="auto"/>
        </w:rPr>
        <w:t>You have requested our opinion, as counsel to Alumis Inc., a Delaware corporation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in connection with the filing by the Company of a Registration Statement (No. 333-280068) on Form S-1 (the “</w:t>
      </w:r>
      <w:r>
        <w:rPr>
          <w:rFonts w:ascii="Times New Roman" w:cs="Times New Roman" w:eastAsia="Times New Roman" w:hAnsi="Times New Roman"/>
          <w:sz w:val="12"/>
          <w:szCs w:val="12"/>
          <w:b w:val="1"/>
          <w:bCs w:val="1"/>
          <w:i w:val="1"/>
          <w:iCs w:val="1"/>
          <w:color w:val="auto"/>
        </w:rPr>
        <w:t>Registration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Statement</w:t>
      </w:r>
      <w:r>
        <w:rPr>
          <w:rFonts w:ascii="Times New Roman" w:cs="Times New Roman" w:eastAsia="Times New Roman" w:hAnsi="Times New Roman"/>
          <w:sz w:val="12"/>
          <w:szCs w:val="12"/>
          <w:color w:val="auto"/>
        </w:rPr>
        <w:t>”) with the Securities and Exchange Commission, including a related prospectus included in the Registration Statement (the “</w:t>
      </w:r>
      <w:r>
        <w:rPr>
          <w:rFonts w:ascii="Times New Roman" w:cs="Times New Roman" w:eastAsia="Times New Roman" w:hAnsi="Times New Roman"/>
          <w:sz w:val="12"/>
          <w:szCs w:val="12"/>
          <w:b w:val="1"/>
          <w:bCs w:val="1"/>
          <w:i w:val="1"/>
          <w:iCs w:val="1"/>
          <w:color w:val="auto"/>
        </w:rPr>
        <w:t>Prospectus</w:t>
      </w:r>
      <w:r>
        <w:rPr>
          <w:rFonts w:ascii="Times New Roman" w:cs="Times New Roman" w:eastAsia="Times New Roman" w:hAnsi="Times New Roman"/>
          <w:sz w:val="12"/>
          <w:szCs w:val="12"/>
          <w:color w:val="auto"/>
        </w:rPr>
        <w:t>”), covering an underwritten public offering of up to 20,297,500 shares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Shares</w:t>
      </w:r>
      <w:r>
        <w:rPr>
          <w:rFonts w:ascii="Times New Roman" w:cs="Times New Roman" w:eastAsia="Times New Roman" w:hAnsi="Times New Roman"/>
          <w:sz w:val="12"/>
          <w:szCs w:val="12"/>
          <w:color w:val="auto"/>
        </w:rPr>
        <w:t>”) of the Company’s voting common stock, par value $0.0001, including up to 2,647,500 Shares that may be sold pursuant to the exercise of an option to purchase additional shares.</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In connection with this opinion, we have (i) examined and relied upon (a) the Registration Statement and the Prospectus, (b) the Company’s certificate of incorporation and bylaws, each as currently in effect, (c) the Company’s Amended and Restated Certificate of Incorporation and Amended and Restated Bylaws, filed as Exhibits 3.3 and 3.4 to the Registration Statement, respectively, each of which is to be in effect in connection with the closing of the offering contemplated by the Registration Statement and (d) such other records, documents, opinions, certificates, memoranda and instruments as in our judgment are necessary or appropriate to enable us to render the opinion expressed below and (ii) assumed that (a) the Shares to be sold to the underwriters by the Company will be sold at a price established by the Board of Directors of the Company or a duly authorized committee thereof and (b) the Amended and Restated Certificate of Incorporation referred to in clause (i)(c) is filed with the Secretary of State of the State of Delaware before issuance of the Shares.</w:t>
      </w:r>
    </w:p>
    <w:p>
      <w:pPr>
        <w:spacing w:after="0" w:line="12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2"/>
          <w:szCs w:val="12"/>
          <w:color w:val="auto"/>
        </w:rPr>
        <w:t>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17"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2"/>
          <w:szCs w:val="12"/>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05"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2"/>
          <w:szCs w:val="12"/>
          <w:color w:val="auto"/>
        </w:rPr>
        <w:t>On the basis of the foregoing, and in reliance thereon, we are of the opinion that the Shares, when sold and issued against payment therefor as described in the Registration Statement and the Prospectus, will be validly issued, fully paid and nonassessable.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Cooley LLP 3 Embarcadero Center 20th Floor San Francisco, CA 94111-4004</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 +1 415 693 2000 f: +1 415 693 2222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296545</wp:posOffset>
            </wp:positionV>
            <wp:extent cx="7176135" cy="571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7">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284" w:right="29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186055</wp:posOffset>
            </wp:positionH>
            <wp:positionV relativeFrom="page">
              <wp:posOffset>426085</wp:posOffset>
            </wp:positionV>
            <wp:extent cx="970915" cy="36639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8">
                      <a:clrChange>
                        <a:clrFrom>
                          <a:srgbClr val="FFFFFF"/>
                        </a:clrFrom>
                        <a:clrTo>
                          <a:srgbClr val="FFFFFF">
                            <a:alpha val="0"/>
                          </a:srgbClr>
                        </a:clrTo>
                      </a:clrChange>
                      <a:extLst>
                        <a:ext uri="{28A0092B-C50C-407E-A947-70E740481C1C}"/>
                      </a:extLst>
                    </a:blip>
                    <a:srcRect/>
                    <a:stretch>
                      <a:fillRect/>
                    </a:stretch>
                  </pic:blipFill>
                  <pic:spPr bwMode="auto">
                    <a:xfrm>
                      <a:off x="0" y="0"/>
                      <a:ext cx="970915" cy="366395"/>
                    </a:xfrm>
                    <a:prstGeom prst="rect">
                      <a:avLst/>
                    </a:prstGeom>
                    <a:noFill/>
                  </pic:spPr>
                </pic:pic>
              </a:graphicData>
            </a:graphic>
          </wp:anchor>
        </w:drawing>
        <w:t>Alumis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Page 2</w:t>
      </w:r>
    </w:p>
    <w:p>
      <w:pPr>
        <w:spacing w:after="0" w:line="12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2"/>
          <w:szCs w:val="12"/>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26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We consent to the reference to our firm under the caption “Legal Matters” in the Prospectus included in the Registration Statement and to the filing of this opinion as an exhibit to the Registration Statement. In giving such consents, we do not thereby admit that we are in the category of persons whose consent is required under Section 7 of the Securities Act of 1933, as amended, or the rules and regulations of the Commission thereunder.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Sincerely,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Cooley LLP</w:t>
      </w:r>
    </w:p>
    <w:p>
      <w:pPr>
        <w:spacing w:after="0" w:line="15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color w:val="auto"/>
        </w:rPr>
        <w:t>/s/ David Peinsipp</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David Peinsipp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-86360</wp:posOffset>
            </wp:positionV>
            <wp:extent cx="3367405" cy="571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9">
                      <a:extLst>
                        <a:ext uri="{28A0092B-C50C-407E-A947-70E740481C1C}"/>
                      </a:extLst>
                    </a:blip>
                    <a:srcRect/>
                    <a:stretch>
                      <a:fillRect/>
                    </a:stretch>
                  </pic:blipFill>
                  <pic:spPr bwMode="auto">
                    <a:xfrm>
                      <a:off x="0" y="0"/>
                      <a:ext cx="3367405" cy="5715"/>
                    </a:xfrm>
                    <a:prstGeom prst="rect">
                      <a:avLst/>
                    </a:prstGeom>
                    <a:noFill/>
                  </pic:spPr>
                </pic:pic>
              </a:graphicData>
            </a:graphic>
          </wp:anchor>
        </w:drawing>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Cooley LLP 3 Embarcadero Center 20th Floor San Francisco, CA 94111-4004</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 +1 415 693 2000 f: +1 415 693 2222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296545</wp:posOffset>
            </wp:positionV>
            <wp:extent cx="7176135" cy="571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0">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1376" w:right="299" w:bottom="1440" w:gutter="0" w:footer="0" w:header="0"/>
        </w:sectPr>
      </w:pPr>
    </w:p>
    <w:bookmarkStart w:id="358" w:name="page359"/>
    <w:bookmarkEnd w:id="358"/>
    <w:p>
      <w:pPr>
        <w:jc w:val="right"/>
        <w:spacing w:after="0"/>
        <w:rPr>
          <w:sz w:val="20"/>
          <w:szCs w:val="20"/>
          <w:color w:val="auto"/>
        </w:rPr>
      </w:pPr>
      <w:r>
        <w:rPr>
          <w:rFonts w:ascii="Times New Roman" w:cs="Times New Roman" w:eastAsia="Times New Roman" w:hAnsi="Times New Roman"/>
          <w:sz w:val="12"/>
          <w:szCs w:val="12"/>
          <w:b w:val="1"/>
          <w:bCs w:val="1"/>
          <w:color w:val="auto"/>
        </w:rPr>
        <w:t>Exhibit 10.3</w:t>
      </w:r>
    </w:p>
    <w:p>
      <w:pPr>
        <w:spacing w:after="0" w:line="15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lumis</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nc</w:t>
      </w:r>
      <w:r>
        <w:rPr>
          <w:rFonts w:ascii="Times New Roman" w:cs="Times New Roman" w:eastAsia="Times New Roman" w:hAnsi="Times New Roman"/>
          <w:sz w:val="12"/>
          <w:szCs w:val="12"/>
          <w:b w:val="1"/>
          <w:bCs w:val="1"/>
          <w:color w:val="auto"/>
        </w:rPr>
        <w:t>.</w:t>
      </w:r>
    </w:p>
    <w:p>
      <w:pPr>
        <w:spacing w:after="0" w:line="15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b w:val="1"/>
          <w:bCs w:val="1"/>
          <w:color w:val="auto"/>
        </w:rPr>
        <w:t>2024 E</w:t>
      </w:r>
      <w:r>
        <w:rPr>
          <w:rFonts w:ascii="Times New Roman" w:cs="Times New Roman" w:eastAsia="Times New Roman" w:hAnsi="Times New Roman"/>
          <w:sz w:val="8"/>
          <w:szCs w:val="8"/>
          <w:b w:val="1"/>
          <w:bCs w:val="1"/>
          <w:color w:val="auto"/>
        </w:rPr>
        <w:t>quity</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ncentive</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lan</w:t>
      </w:r>
    </w:p>
    <w:p>
      <w:pPr>
        <w:spacing w:after="0" w:line="15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dopted by the</w:t>
      </w:r>
      <w:r>
        <w:rPr>
          <w:rFonts w:ascii="Times New Roman" w:cs="Times New Roman" w:eastAsia="Times New Roman" w:hAnsi="Times New Roman"/>
          <w:sz w:val="12"/>
          <w:szCs w:val="12"/>
          <w:b w:val="1"/>
          <w:bCs w:val="1"/>
          <w:color w:val="auto"/>
        </w:rPr>
        <w:t xml:space="preserve"> B</w:t>
      </w:r>
      <w:r>
        <w:rPr>
          <w:rFonts w:ascii="Times New Roman" w:cs="Times New Roman" w:eastAsia="Times New Roman" w:hAnsi="Times New Roman"/>
          <w:sz w:val="8"/>
          <w:szCs w:val="8"/>
          <w:b w:val="1"/>
          <w:bCs w:val="1"/>
          <w:color w:val="auto"/>
        </w:rPr>
        <w:t>oard of</w:t>
      </w:r>
      <w:r>
        <w:rPr>
          <w:rFonts w:ascii="Times New Roman" w:cs="Times New Roman" w:eastAsia="Times New Roman" w:hAnsi="Times New Roman"/>
          <w:sz w:val="12"/>
          <w:szCs w:val="12"/>
          <w:b w:val="1"/>
          <w:bCs w:val="1"/>
          <w:color w:val="auto"/>
        </w:rPr>
        <w:t xml:space="preserve"> D</w:t>
      </w:r>
      <w:r>
        <w:rPr>
          <w:rFonts w:ascii="Times New Roman" w:cs="Times New Roman" w:eastAsia="Times New Roman" w:hAnsi="Times New Roman"/>
          <w:sz w:val="8"/>
          <w:szCs w:val="8"/>
          <w:b w:val="1"/>
          <w:bCs w:val="1"/>
          <w:color w:val="auto"/>
        </w:rPr>
        <w:t>irectors</w:t>
      </w:r>
      <w:r>
        <w:rPr>
          <w:rFonts w:ascii="Times New Roman" w:cs="Times New Roman" w:eastAsia="Times New Roman" w:hAnsi="Times New Roman"/>
          <w:sz w:val="12"/>
          <w:szCs w:val="12"/>
          <w:b w:val="1"/>
          <w:bCs w:val="1"/>
          <w:color w:val="auto"/>
        </w:rPr>
        <w:t>: J</w:t>
      </w:r>
      <w:r>
        <w:rPr>
          <w:rFonts w:ascii="Times New Roman" w:cs="Times New Roman" w:eastAsia="Times New Roman" w:hAnsi="Times New Roman"/>
          <w:sz w:val="8"/>
          <w:szCs w:val="8"/>
          <w:b w:val="1"/>
          <w:bCs w:val="1"/>
          <w:color w:val="auto"/>
        </w:rPr>
        <w:t>une</w:t>
      </w:r>
      <w:r>
        <w:rPr>
          <w:rFonts w:ascii="Times New Roman" w:cs="Times New Roman" w:eastAsia="Times New Roman" w:hAnsi="Times New Roman"/>
          <w:sz w:val="12"/>
          <w:szCs w:val="12"/>
          <w:b w:val="1"/>
          <w:bCs w:val="1"/>
          <w:color w:val="auto"/>
        </w:rPr>
        <w:t xml:space="preserve"> 21, 2024</w:t>
      </w:r>
    </w:p>
    <w:p>
      <w:pPr>
        <w:spacing w:after="0" w:line="2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pproved by the</w:t>
      </w:r>
      <w:r>
        <w:rPr>
          <w:rFonts w:ascii="Times New Roman" w:cs="Times New Roman" w:eastAsia="Times New Roman" w:hAnsi="Times New Roman"/>
          <w:sz w:val="12"/>
          <w:szCs w:val="12"/>
          <w:b w:val="1"/>
          <w:bCs w:val="1"/>
          <w:color w:val="auto"/>
        </w:rPr>
        <w:t xml:space="preserve"> S</w:t>
      </w:r>
      <w:r>
        <w:rPr>
          <w:rFonts w:ascii="Times New Roman" w:cs="Times New Roman" w:eastAsia="Times New Roman" w:hAnsi="Times New Roman"/>
          <w:sz w:val="8"/>
          <w:szCs w:val="8"/>
          <w:b w:val="1"/>
          <w:bCs w:val="1"/>
          <w:color w:val="auto"/>
        </w:rPr>
        <w:t>tockholders</w:t>
      </w:r>
      <w:r>
        <w:rPr>
          <w:rFonts w:ascii="Times New Roman" w:cs="Times New Roman" w:eastAsia="Times New Roman" w:hAnsi="Times New Roman"/>
          <w:sz w:val="12"/>
          <w:szCs w:val="12"/>
          <w:b w:val="1"/>
          <w:bCs w:val="1"/>
          <w:color w:val="auto"/>
        </w:rPr>
        <w:t>: J</w:t>
      </w:r>
      <w:r>
        <w:rPr>
          <w:rFonts w:ascii="Times New Roman" w:cs="Times New Roman" w:eastAsia="Times New Roman" w:hAnsi="Times New Roman"/>
          <w:sz w:val="8"/>
          <w:szCs w:val="8"/>
          <w:b w:val="1"/>
          <w:bCs w:val="1"/>
          <w:color w:val="auto"/>
        </w:rPr>
        <w:t>une</w:t>
      </w:r>
      <w:r>
        <w:rPr>
          <w:rFonts w:ascii="Times New Roman" w:cs="Times New Roman" w:eastAsia="Times New Roman" w:hAnsi="Times New Roman"/>
          <w:sz w:val="12"/>
          <w:szCs w:val="12"/>
          <w:b w:val="1"/>
          <w:bCs w:val="1"/>
          <w:color w:val="auto"/>
        </w:rPr>
        <w:t xml:space="preserve"> 23, 2024</w:t>
      </w:r>
    </w:p>
    <w:p>
      <w:pPr>
        <w:spacing w:after="0" w:line="141" w:lineRule="exact"/>
        <w:rPr>
          <w:sz w:val="20"/>
          <w:szCs w:val="20"/>
          <w:color w:val="auto"/>
        </w:rPr>
      </w:pPr>
    </w:p>
    <w:p>
      <w:pPr>
        <w:ind w:left="447" w:hanging="447"/>
        <w:spacing w:after="0"/>
        <w:tabs>
          <w:tab w:leader="none" w:pos="447" w:val="left"/>
        </w:tabs>
        <w:numPr>
          <w:ilvl w:val="0"/>
          <w:numId w:val="17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w:t>
      </w:r>
      <w:r>
        <w:rPr>
          <w:rFonts w:ascii="Times New Roman" w:cs="Times New Roman" w:eastAsia="Times New Roman" w:hAnsi="Times New Roman"/>
          <w:sz w:val="8"/>
          <w:szCs w:val="8"/>
          <w:b w:val="1"/>
          <w:bCs w:val="1"/>
          <w:color w:val="auto"/>
        </w:rPr>
        <w:t>eneral</w:t>
      </w:r>
      <w:r>
        <w:rPr>
          <w:rFonts w:ascii="Times New Roman" w:cs="Times New Roman" w:eastAsia="Times New Roman" w:hAnsi="Times New Roman"/>
          <w:sz w:val="12"/>
          <w:szCs w:val="12"/>
          <w:b w:val="1"/>
          <w:bCs w:val="1"/>
          <w:color w:val="auto"/>
        </w:rPr>
        <w:t>.</w:t>
      </w:r>
    </w:p>
    <w:p>
      <w:pPr>
        <w:spacing w:after="0" w:line="155" w:lineRule="exact"/>
        <w:rPr>
          <w:sz w:val="20"/>
          <w:szCs w:val="20"/>
          <w:color w:val="auto"/>
        </w:rPr>
      </w:pPr>
    </w:p>
    <w:p>
      <w:pPr>
        <w:jc w:val="both"/>
        <w:ind w:left="7"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(a)            Successor to and Continuation of Prior Plan. </w:t>
      </w:r>
      <w:r>
        <w:rPr>
          <w:rFonts w:ascii="Times New Roman" w:cs="Times New Roman" w:eastAsia="Times New Roman" w:hAnsi="Times New Roman"/>
          <w:sz w:val="12"/>
          <w:szCs w:val="12"/>
          <w:color w:val="auto"/>
        </w:rPr>
        <w:t>The Plan is the successor to and continuation of the Prior Plan. As of the Effective Date, (i) no additional awards may be granted under the Prior Plan; (ii)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14" w:lineRule="exact"/>
        <w:rPr>
          <w:sz w:val="20"/>
          <w:szCs w:val="20"/>
          <w:color w:val="auto"/>
        </w:rPr>
      </w:pPr>
    </w:p>
    <w:p>
      <w:pPr>
        <w:jc w:val="both"/>
        <w:ind w:left="7"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(b)            Plan Purpose. </w:t>
      </w:r>
      <w:r>
        <w:rPr>
          <w:rFonts w:ascii="Times New Roman" w:cs="Times New Roman" w:eastAsia="Times New Roman" w:hAnsi="Times New Roman"/>
          <w:sz w:val="12"/>
          <w:szCs w:val="12"/>
          <w:color w:val="auto"/>
        </w:rPr>
        <w:t>The Company, by means of the Plan, seeks to secure and retain the services of Employees, Directors and Consultants, to provide incentives for such persons to exert maximum efforts for the success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Company and any Affiliate and to provide a means by which such persons may be given an opportunity to benefit from increases in value of the Common Stock through the granting of Awards.</w:t>
      </w:r>
    </w:p>
    <w:p>
      <w:pPr>
        <w:spacing w:after="0" w:line="102" w:lineRule="exact"/>
        <w:rPr>
          <w:sz w:val="20"/>
          <w:szCs w:val="20"/>
          <w:color w:val="auto"/>
        </w:rPr>
      </w:pPr>
    </w:p>
    <w:p>
      <w:pPr>
        <w:jc w:val="both"/>
        <w:ind w:left="7"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(c)            Available Awards. </w:t>
      </w:r>
      <w:r>
        <w:rPr>
          <w:rFonts w:ascii="Times New Roman" w:cs="Times New Roman" w:eastAsia="Times New Roman" w:hAnsi="Times New Roman"/>
          <w:sz w:val="12"/>
          <w:szCs w:val="12"/>
          <w:color w:val="auto"/>
        </w:rPr>
        <w:t>The Plan provides for the grant of the following Awards: (i) Incentive Stock Options; (ii) Nonstatutory Stock Options; (iii) SARs; (iv) Restricted Stock Awards; (v) RSU Awards; (vi) Performance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Awards; and (vii) Other Awards.</w:t>
      </w:r>
    </w:p>
    <w:p>
      <w:pPr>
        <w:spacing w:after="0" w:line="102"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12"/>
          <w:szCs w:val="12"/>
          <w:b w:val="1"/>
          <w:bCs w:val="1"/>
          <w:color w:val="auto"/>
        </w:rPr>
        <w:t xml:space="preserve">(d)            Adoption Date; Effective Date. </w:t>
      </w:r>
      <w:r>
        <w:rPr>
          <w:rFonts w:ascii="Times New Roman" w:cs="Times New Roman" w:eastAsia="Times New Roman" w:hAnsi="Times New Roman"/>
          <w:sz w:val="12"/>
          <w:szCs w:val="12"/>
          <w:color w:val="auto"/>
        </w:rPr>
        <w:t>The Plan will come into existence on the Adoption Date, but no Award may be granted prior to the Effective Date.</w:t>
      </w:r>
    </w:p>
    <w:p>
      <w:pPr>
        <w:spacing w:after="0" w:line="1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b w:val="1"/>
          <w:bCs w:val="1"/>
          <w:color w:val="auto"/>
        </w:rPr>
        <w:t>2.             S</w:t>
      </w:r>
      <w:r>
        <w:rPr>
          <w:rFonts w:ascii="Times New Roman" w:cs="Times New Roman" w:eastAsia="Times New Roman" w:hAnsi="Times New Roman"/>
          <w:sz w:val="8"/>
          <w:szCs w:val="8"/>
          <w:b w:val="1"/>
          <w:bCs w:val="1"/>
          <w:color w:val="auto"/>
        </w:rPr>
        <w:t>hares</w:t>
      </w:r>
      <w:r>
        <w:rPr>
          <w:rFonts w:ascii="Times New Roman" w:cs="Times New Roman" w:eastAsia="Times New Roman" w:hAnsi="Times New Roman"/>
          <w:sz w:val="12"/>
          <w:szCs w:val="12"/>
          <w:b w:val="1"/>
          <w:bCs w:val="1"/>
          <w:color w:val="auto"/>
        </w:rPr>
        <w:t xml:space="preserve"> S</w:t>
      </w:r>
      <w:r>
        <w:rPr>
          <w:rFonts w:ascii="Times New Roman" w:cs="Times New Roman" w:eastAsia="Times New Roman" w:hAnsi="Times New Roman"/>
          <w:sz w:val="8"/>
          <w:szCs w:val="8"/>
          <w:b w:val="1"/>
          <w:bCs w:val="1"/>
          <w:color w:val="auto"/>
        </w:rPr>
        <w:t>ubject to the</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lan</w:t>
      </w:r>
      <w:r>
        <w:rPr>
          <w:rFonts w:ascii="Times New Roman" w:cs="Times New Roman" w:eastAsia="Times New Roman" w:hAnsi="Times New Roman"/>
          <w:sz w:val="12"/>
          <w:szCs w:val="12"/>
          <w:b w:val="1"/>
          <w:bCs w:val="1"/>
          <w:color w:val="auto"/>
        </w:rPr>
        <w:t>.</w:t>
      </w:r>
    </w:p>
    <w:p>
      <w:pPr>
        <w:spacing w:after="0" w:line="155" w:lineRule="exact"/>
        <w:rPr>
          <w:sz w:val="20"/>
          <w:szCs w:val="20"/>
          <w:color w:val="auto"/>
        </w:rPr>
      </w:pPr>
    </w:p>
    <w:p>
      <w:pPr>
        <w:jc w:val="both"/>
        <w:ind w:left="7"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(a)            Share Reserve. </w:t>
      </w:r>
      <w:r>
        <w:rPr>
          <w:rFonts w:ascii="Times New Roman" w:cs="Times New Roman" w:eastAsia="Times New Roman" w:hAnsi="Times New Roman"/>
          <w:sz w:val="12"/>
          <w:szCs w:val="12"/>
          <w:color w:val="auto"/>
        </w:rPr>
        <w:t>Subject to adjustment in accordance with Section 2(c) and any adjustments as necessary to implement any Capitalization Adjustments, the aggregate number of shares of Common Stock that may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issued pursuant to Awards will not exceed 14,629,339 shares, which is the sum of: (i) 7,800,000 new shares, plus (ii) up to 6,829,339 Returning Shares,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2025 and ending on (and including) January 1, 2034, in an amount equal to five percent (5%) of the total number of shares of Capital Stock outstanding on December 31 of the preceding year; provided, however, that the Board may act prior to January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2"/>
          <w:szCs w:val="12"/>
          <w:color w:val="auto"/>
        </w:rPr>
        <w:t xml:space="preserve"> of a given year to provide that the increase for such year will be a lesser number of shares of Common Stock.</w:t>
      </w:r>
    </w:p>
    <w:p>
      <w:pPr>
        <w:spacing w:after="0" w:line="34" w:lineRule="exact"/>
        <w:rPr>
          <w:sz w:val="20"/>
          <w:szCs w:val="20"/>
          <w:color w:val="auto"/>
        </w:rPr>
      </w:pPr>
    </w:p>
    <w:p>
      <w:pPr>
        <w:jc w:val="both"/>
        <w:ind w:left="7"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(b)            Aggregate Incentive Stock Option Limit. </w:t>
      </w:r>
      <w:r>
        <w:rPr>
          <w:rFonts w:ascii="Times New Roman" w:cs="Times New Roman" w:eastAsia="Times New Roman" w:hAnsi="Times New Roman"/>
          <w:sz w:val="12"/>
          <w:szCs w:val="12"/>
          <w:color w:val="auto"/>
        </w:rPr>
        <w:t>Notwithstanding anything to the contrary in Section 2(a) and subject to any adjustments as necessary to implement any Capitalization Adjustments, the aggregate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maximum number of shares of Common Stock that may be issued pursuant to the exercise of Incentive Stock Options is 43,888,017 shares.</w:t>
      </w:r>
    </w:p>
    <w:p>
      <w:pPr>
        <w:spacing w:after="0" w:line="25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135" cy="571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1">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289" w:right="299" w:bottom="1440" w:gutter="0" w:footer="0" w:header="0"/>
        </w:sectPr>
      </w:pPr>
    </w:p>
    <w:bookmarkStart w:id="359" w:name="page360"/>
    <w:bookmarkEnd w:id="359"/>
    <w:p>
      <w:pPr>
        <w:ind w:left="447"/>
        <w:spacing w:after="0"/>
        <w:rPr>
          <w:sz w:val="20"/>
          <w:szCs w:val="20"/>
          <w:color w:val="auto"/>
        </w:rPr>
      </w:pPr>
      <w:r>
        <w:rPr>
          <w:rFonts w:ascii="Times New Roman" w:cs="Times New Roman" w:eastAsia="Times New Roman" w:hAnsi="Times New Roman"/>
          <w:sz w:val="12"/>
          <w:szCs w:val="12"/>
          <w:b w:val="1"/>
          <w:bCs w:val="1"/>
          <w:color w:val="auto"/>
        </w:rPr>
        <w:t>(c)            Share Reserve Operation.</w:t>
      </w:r>
    </w:p>
    <w:p>
      <w:pPr>
        <w:spacing w:after="0" w:line="155" w:lineRule="exact"/>
        <w:rPr>
          <w:sz w:val="20"/>
          <w:szCs w:val="20"/>
          <w:color w:val="auto"/>
        </w:rPr>
      </w:pPr>
    </w:p>
    <w:p>
      <w:pPr>
        <w:jc w:val="both"/>
        <w:ind w:left="7" w:firstLine="87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(i)            Limit Applies to Common Stock Issued Pursuant to Awards. </w:t>
      </w:r>
      <w:r>
        <w:rPr>
          <w:rFonts w:ascii="Times New Roman" w:cs="Times New Roman" w:eastAsia="Times New Roman" w:hAnsi="Times New Roman"/>
          <w:sz w:val="12"/>
          <w:szCs w:val="12"/>
          <w:color w:val="auto"/>
        </w:rPr>
        <w:t>For clarity, the Share Reserve is a limit on the number of shares of Common Stock that may be issued pursuant to Awards and does not limit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16" w:lineRule="exact"/>
        <w:rPr>
          <w:sz w:val="20"/>
          <w:szCs w:val="20"/>
          <w:color w:val="auto"/>
        </w:rPr>
      </w:pPr>
    </w:p>
    <w:p>
      <w:pPr>
        <w:jc w:val="both"/>
        <w:ind w:left="7" w:firstLine="879"/>
        <w:spacing w:after="0" w:line="267" w:lineRule="auto"/>
        <w:rPr>
          <w:sz w:val="20"/>
          <w:szCs w:val="20"/>
          <w:color w:val="auto"/>
        </w:rPr>
      </w:pPr>
      <w:r>
        <w:rPr>
          <w:rFonts w:ascii="Times New Roman" w:cs="Times New Roman" w:eastAsia="Times New Roman" w:hAnsi="Times New Roman"/>
          <w:sz w:val="12"/>
          <w:szCs w:val="12"/>
          <w:b w:val="1"/>
          <w:bCs w:val="1"/>
          <w:color w:val="auto"/>
        </w:rPr>
        <w:t xml:space="preserve">(ii)          Actions that Do Not Constitute Issuance of Common Stock and Do Not Reduce Share Reserve. </w:t>
      </w:r>
      <w:r>
        <w:rPr>
          <w:rFonts w:ascii="Times New Roman" w:cs="Times New Roman" w:eastAsia="Times New Roman" w:hAnsi="Times New Roman"/>
          <w:sz w:val="12"/>
          <w:szCs w:val="12"/>
          <w:color w:val="auto"/>
        </w:rPr>
        <w:t>The following actions do not result in an issuance of shares under the Plan and accordingly do not reduce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number of shares subject to the Share Reserve and available for issuance under the Plan: (1) the expiration or termination of any portion of an Award without the shares covered by such portion of the Award having been issued;</w:t>
      </w:r>
    </w:p>
    <w:p>
      <w:pPr>
        <w:ind w:left="7" w:hanging="7"/>
        <w:spacing w:after="0" w:line="269" w:lineRule="auto"/>
        <w:tabs>
          <w:tab w:leader="none" w:pos="186"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settlement of any portion of an Award in cash (</w:t>
      </w:r>
      <w:r>
        <w:rPr>
          <w:rFonts w:ascii="Times New Roman" w:cs="Times New Roman" w:eastAsia="Times New Roman" w:hAnsi="Times New Roman"/>
          <w:sz w:val="12"/>
          <w:szCs w:val="12"/>
          <w:i w:val="1"/>
          <w:iCs w:val="1"/>
          <w:color w:val="auto"/>
        </w:rPr>
        <w:t>i.e.</w:t>
      </w:r>
      <w:r>
        <w:rPr>
          <w:rFonts w:ascii="Times New Roman" w:cs="Times New Roman" w:eastAsia="Times New Roman" w:hAnsi="Times New Roman"/>
          <w:sz w:val="12"/>
          <w:szCs w:val="12"/>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16" w:lineRule="exact"/>
        <w:rPr>
          <w:sz w:val="20"/>
          <w:szCs w:val="20"/>
          <w:color w:val="auto"/>
        </w:rPr>
      </w:pPr>
    </w:p>
    <w:p>
      <w:pPr>
        <w:jc w:val="both"/>
        <w:ind w:left="7" w:right="20" w:firstLine="87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(iii)         Reversion of Previously Issued Shares of Common Stock to Share Reserve. </w:t>
      </w:r>
      <w:r>
        <w:rPr>
          <w:rFonts w:ascii="Times New Roman" w:cs="Times New Roman" w:eastAsia="Times New Roman" w:hAnsi="Times New Roman"/>
          <w:sz w:val="12"/>
          <w:szCs w:val="12"/>
          <w:color w:val="auto"/>
        </w:rPr>
        <w:t>The following shares of Common Stock previously issued pursuant to an Award and accordingly initially deducted from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11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b w:val="1"/>
          <w:bCs w:val="1"/>
          <w:color w:val="auto"/>
        </w:rPr>
        <w:t>3.             E</w:t>
      </w:r>
      <w:r>
        <w:rPr>
          <w:rFonts w:ascii="Times New Roman" w:cs="Times New Roman" w:eastAsia="Times New Roman" w:hAnsi="Times New Roman"/>
          <w:sz w:val="8"/>
          <w:szCs w:val="8"/>
          <w:b w:val="1"/>
          <w:bCs w:val="1"/>
          <w:color w:val="auto"/>
        </w:rPr>
        <w:t>ligibility and</w:t>
      </w:r>
      <w:r>
        <w:rPr>
          <w:rFonts w:ascii="Times New Roman" w:cs="Times New Roman" w:eastAsia="Times New Roman" w:hAnsi="Times New Roman"/>
          <w:sz w:val="12"/>
          <w:szCs w:val="12"/>
          <w:b w:val="1"/>
          <w:bCs w:val="1"/>
          <w:color w:val="auto"/>
        </w:rPr>
        <w:t xml:space="preserve"> L</w:t>
      </w:r>
      <w:r>
        <w:rPr>
          <w:rFonts w:ascii="Times New Roman" w:cs="Times New Roman" w:eastAsia="Times New Roman" w:hAnsi="Times New Roman"/>
          <w:sz w:val="8"/>
          <w:szCs w:val="8"/>
          <w:b w:val="1"/>
          <w:bCs w:val="1"/>
          <w:color w:val="auto"/>
        </w:rPr>
        <w:t>imitations</w:t>
      </w:r>
      <w:r>
        <w:rPr>
          <w:rFonts w:ascii="Times New Roman" w:cs="Times New Roman" w:eastAsia="Times New Roman" w:hAnsi="Times New Roman"/>
          <w:sz w:val="12"/>
          <w:szCs w:val="12"/>
          <w:b w:val="1"/>
          <w:bCs w:val="1"/>
          <w:color w:val="auto"/>
        </w:rPr>
        <w:t>.</w:t>
      </w:r>
    </w:p>
    <w:p>
      <w:pPr>
        <w:spacing w:after="0" w:line="155"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12"/>
          <w:szCs w:val="12"/>
          <w:b w:val="1"/>
          <w:bCs w:val="1"/>
          <w:color w:val="auto"/>
        </w:rPr>
        <w:t xml:space="preserve">(a)            Eligible Award Recipients. </w:t>
      </w:r>
      <w:r>
        <w:rPr>
          <w:rFonts w:ascii="Times New Roman" w:cs="Times New Roman" w:eastAsia="Times New Roman" w:hAnsi="Times New Roman"/>
          <w:sz w:val="12"/>
          <w:szCs w:val="12"/>
          <w:color w:val="auto"/>
        </w:rPr>
        <w:t>Subject to the terms of the Plan, Employees, Directors and Consultants are eligible to receive Awards.</w:t>
      </w:r>
    </w:p>
    <w:p>
      <w:pPr>
        <w:spacing w:after="0" w:line="155"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12"/>
          <w:szCs w:val="12"/>
          <w:b w:val="1"/>
          <w:bCs w:val="1"/>
          <w:color w:val="auto"/>
        </w:rPr>
        <w:t>(b)            Specific Award Limitations.</w:t>
      </w:r>
    </w:p>
    <w:p>
      <w:pPr>
        <w:spacing w:after="0" w:line="155" w:lineRule="exact"/>
        <w:rPr>
          <w:sz w:val="20"/>
          <w:szCs w:val="20"/>
          <w:color w:val="auto"/>
        </w:rPr>
      </w:pPr>
    </w:p>
    <w:p>
      <w:pPr>
        <w:jc w:val="both"/>
        <w:ind w:left="7"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(i)            Limitations on Incentive Stock Option Recipients. </w:t>
      </w:r>
      <w:r>
        <w:rPr>
          <w:rFonts w:ascii="Times New Roman" w:cs="Times New Roman" w:eastAsia="Times New Roman" w:hAnsi="Times New Roman"/>
          <w:sz w:val="12"/>
          <w:szCs w:val="12"/>
          <w:color w:val="auto"/>
        </w:rPr>
        <w:t>Incentive Stock Options may be granted only to Employees of the Company or a “parent corporation” or “subsidiary corporation” thereof (as such terms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are defined in Sections 424(e) and (f) of the Code).</w:t>
      </w:r>
    </w:p>
    <w:p>
      <w:pPr>
        <w:spacing w:after="0" w:line="102" w:lineRule="exact"/>
        <w:rPr>
          <w:sz w:val="20"/>
          <w:szCs w:val="20"/>
          <w:color w:val="auto"/>
        </w:rPr>
      </w:pPr>
    </w:p>
    <w:p>
      <w:pPr>
        <w:jc w:val="both"/>
        <w:ind w:left="7" w:firstLine="87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(ii)           Incentive Stock Option $100,000 Limitation. </w:t>
      </w:r>
      <w:r>
        <w:rPr>
          <w:rFonts w:ascii="Times New Roman" w:cs="Times New Roman" w:eastAsia="Times New Roman" w:hAnsi="Times New Roman"/>
          <w:sz w:val="12"/>
          <w:szCs w:val="12"/>
          <w:color w:val="auto"/>
        </w:rPr>
        <w:t>To the extent that the aggregate Fair Market Value (determined at the time of grant) of Common Stock with respect to which Incentive Stock Options 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26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135" cy="571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2">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656" w:right="299" w:bottom="1440" w:gutter="0" w:footer="0" w:header="0"/>
        </w:sectPr>
      </w:pPr>
    </w:p>
    <w:bookmarkStart w:id="360" w:name="page361"/>
    <w:bookmarkEnd w:id="360"/>
    <w:p>
      <w:pPr>
        <w:jc w:val="both"/>
        <w:ind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(iii)          Limitations on Incentive Stock Options Granted to Ten Percent Stockholders. </w:t>
      </w:r>
      <w:r>
        <w:rPr>
          <w:rFonts w:ascii="Times New Roman" w:cs="Times New Roman" w:eastAsia="Times New Roman" w:hAnsi="Times New Roman"/>
          <w:sz w:val="12"/>
          <w:szCs w:val="12"/>
          <w:color w:val="auto"/>
        </w:rPr>
        <w:t>A Ten Percent Stockholder may not be granted an Incentive Stock Option unless (1) the exercise price of such Option is 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least 110% of the Fair Market Value on the date of grant of such Option and (2) the Option is not exercisable after the expiration of five years from the date of grant of such Option.</w:t>
      </w:r>
    </w:p>
    <w:p>
      <w:pPr>
        <w:spacing w:after="0" w:line="102" w:lineRule="exact"/>
        <w:rPr>
          <w:sz w:val="20"/>
          <w:szCs w:val="20"/>
          <w:color w:val="auto"/>
        </w:rPr>
      </w:pPr>
    </w:p>
    <w:p>
      <w:pPr>
        <w:jc w:val="both"/>
        <w:ind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(iv)           Limitations on Nonstatutory Stock Options and SARs. </w:t>
      </w:r>
      <w:r>
        <w:rPr>
          <w:rFonts w:ascii="Times New Roman" w:cs="Times New Roman" w:eastAsia="Times New Roman" w:hAnsi="Times New Roman"/>
          <w:sz w:val="12"/>
          <w:szCs w:val="12"/>
          <w:color w:val="auto"/>
        </w:rPr>
        <w:t>Nonstatutory Stock Options and SARs may not be granted to Employees, Directors and Consultants unless the stock underlying such Awards 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treated as “service recipient stock” under Section 409A or unless such Awards otherwise comply with the requirements of Section 409A.</w:t>
      </w:r>
    </w:p>
    <w:p>
      <w:pPr>
        <w:spacing w:after="0" w:line="102" w:lineRule="exact"/>
        <w:rPr>
          <w:sz w:val="20"/>
          <w:szCs w:val="20"/>
          <w:color w:val="auto"/>
        </w:rPr>
      </w:pPr>
    </w:p>
    <w:p>
      <w:pPr>
        <w:jc w:val="both"/>
        <w:ind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(c)            Aggregate Incentive Stock Option Limit. </w:t>
      </w:r>
      <w:r>
        <w:rPr>
          <w:rFonts w:ascii="Times New Roman" w:cs="Times New Roman" w:eastAsia="Times New Roman" w:hAnsi="Times New Roman"/>
          <w:sz w:val="12"/>
          <w:szCs w:val="12"/>
          <w:color w:val="auto"/>
        </w:rPr>
        <w:t>The aggregate maximum number of shares of Common Stock that may be issued pursuant to the exercise of Incentive Stock Options is the number of shares specified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Section 2(b).</w:t>
      </w:r>
    </w:p>
    <w:p>
      <w:pPr>
        <w:spacing w:after="0" w:line="102"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(d)            Non-Employee Director Compensation Limit. </w:t>
      </w:r>
      <w:r>
        <w:rPr>
          <w:rFonts w:ascii="Times New Roman" w:cs="Times New Roman" w:eastAsia="Times New Roman" w:hAnsi="Times New Roman"/>
          <w:sz w:val="12"/>
          <w:szCs w:val="12"/>
          <w:color w:val="auto"/>
        </w:rPr>
        <w:t>The aggregate value of all compensation granted or paid, as applicable, to any individual for service as a Non-Employee Director with respect to any calendar year,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including Awards granted and cash fees paid by the Company to such Non-Employee Director, will not exceed (1) $750,000 in total value or (2)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O</w:t>
      </w:r>
      <w:r>
        <w:rPr>
          <w:rFonts w:ascii="Times New Roman" w:cs="Times New Roman" w:eastAsia="Times New Roman" w:hAnsi="Times New Roman"/>
          <w:sz w:val="8"/>
          <w:szCs w:val="8"/>
          <w:b w:val="1"/>
          <w:bCs w:val="1"/>
          <w:color w:val="auto"/>
        </w:rPr>
        <w:t>ptions and</w:t>
      </w:r>
      <w:r>
        <w:rPr>
          <w:rFonts w:ascii="Times New Roman" w:cs="Times New Roman" w:eastAsia="Times New Roman" w:hAnsi="Times New Roman"/>
          <w:sz w:val="12"/>
          <w:szCs w:val="12"/>
          <w:b w:val="1"/>
          <w:bCs w:val="1"/>
          <w:color w:val="auto"/>
        </w:rPr>
        <w:t xml:space="preserve"> S</w:t>
      </w:r>
      <w:r>
        <w:rPr>
          <w:rFonts w:ascii="Times New Roman" w:cs="Times New Roman" w:eastAsia="Times New Roman" w:hAnsi="Times New Roman"/>
          <w:sz w:val="8"/>
          <w:szCs w:val="8"/>
          <w:b w:val="1"/>
          <w:bCs w:val="1"/>
          <w:color w:val="auto"/>
        </w:rPr>
        <w:t>tock</w:t>
      </w:r>
      <w:r>
        <w:rPr>
          <w:rFonts w:ascii="Times New Roman" w:cs="Times New Roman" w:eastAsia="Times New Roman" w:hAnsi="Times New Roman"/>
          <w:sz w:val="12"/>
          <w:szCs w:val="12"/>
          <w:b w:val="1"/>
          <w:bCs w:val="1"/>
          <w:color w:val="auto"/>
        </w:rPr>
        <w:t xml:space="preserve"> A</w:t>
      </w:r>
      <w:r>
        <w:rPr>
          <w:rFonts w:ascii="Times New Roman" w:cs="Times New Roman" w:eastAsia="Times New Roman" w:hAnsi="Times New Roman"/>
          <w:sz w:val="8"/>
          <w:szCs w:val="8"/>
          <w:b w:val="1"/>
          <w:bCs w:val="1"/>
          <w:color w:val="auto"/>
        </w:rPr>
        <w:t>ppreciation</w:t>
      </w:r>
      <w:r>
        <w:rPr>
          <w:rFonts w:ascii="Times New Roman" w:cs="Times New Roman" w:eastAsia="Times New Roman" w:hAnsi="Times New Roman"/>
          <w:sz w:val="12"/>
          <w:szCs w:val="12"/>
          <w:b w:val="1"/>
          <w:bCs w:val="1"/>
          <w:color w:val="auto"/>
        </w:rPr>
        <w:t xml:space="preserve"> R</w:t>
      </w:r>
      <w:r>
        <w:rPr>
          <w:rFonts w:ascii="Times New Roman" w:cs="Times New Roman" w:eastAsia="Times New Roman" w:hAnsi="Times New Roman"/>
          <w:sz w:val="8"/>
          <w:szCs w:val="8"/>
          <w:b w:val="1"/>
          <w:bCs w:val="1"/>
          <w:color w:val="auto"/>
        </w:rPr>
        <w:t>ights</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jc w:val="both"/>
        <w:ind w:firstLine="440"/>
        <w:spacing w:after="0" w:line="265" w:lineRule="auto"/>
        <w:rPr>
          <w:sz w:val="20"/>
          <w:szCs w:val="20"/>
          <w:color w:val="auto"/>
        </w:rPr>
      </w:pPr>
      <w:r>
        <w:rPr>
          <w:rFonts w:ascii="Times New Roman" w:cs="Times New Roman" w:eastAsia="Times New Roman" w:hAnsi="Times New Roman"/>
          <w:sz w:val="12"/>
          <w:szCs w:val="12"/>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268" w:lineRule="exact"/>
        <w:rPr>
          <w:sz w:val="20"/>
          <w:szCs w:val="20"/>
          <w:color w:val="auto"/>
        </w:rPr>
      </w:pPr>
    </w:p>
    <w:p>
      <w:pPr>
        <w:jc w:val="both"/>
        <w:ind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(a)            Term. </w:t>
      </w:r>
      <w:r>
        <w:rPr>
          <w:rFonts w:ascii="Times New Roman" w:cs="Times New Roman" w:eastAsia="Times New Roman" w:hAnsi="Times New Roman"/>
          <w:sz w:val="12"/>
          <w:szCs w:val="12"/>
          <w:color w:val="auto"/>
        </w:rPr>
        <w:t>Subject to Section 3(b) regarding Ten Percent Stockholders, no Option or SAR will be exercisable after the expiration of ten years from the date of grant of such Award or such shorter period specified in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Award Agreement.</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83">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61" w:name="page362"/>
    <w:bookmarkEnd w:id="361"/>
    <w:p>
      <w:pPr>
        <w:jc w:val="both"/>
        <w:ind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(b)            Exercise or Strike Price. </w:t>
      </w:r>
      <w:r>
        <w:rPr>
          <w:rFonts w:ascii="Times New Roman" w:cs="Times New Roman" w:eastAsia="Times New Roman" w:hAnsi="Times New Roman"/>
          <w:sz w:val="12"/>
          <w:szCs w:val="12"/>
          <w:color w:val="auto"/>
        </w:rPr>
        <w:t>Subject to Section 3(b) regarding Ten Percent Stockholders, the exercise or strike price of each Option or SAR will not be less than 100% of the Fair Market Value on the date of grant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14"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(c)            Exercise Procedure and Payment of Exercise Price for Options. </w:t>
      </w:r>
      <w:r>
        <w:rPr>
          <w:rFonts w:ascii="Times New Roman" w:cs="Times New Roman" w:eastAsia="Times New Roman" w:hAnsi="Times New Roman"/>
          <w:sz w:val="12"/>
          <w:szCs w:val="12"/>
          <w:color w:val="auto"/>
        </w:rPr>
        <w:t>In order to exercise an Option, the Participant must provide notice of exercise to the Plan Administrator in accordance with the procedures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by cash or check, bank draft or money order payable to the Company;</w:t>
      </w:r>
    </w:p>
    <w:p>
      <w:pPr>
        <w:spacing w:after="0" w:line="155" w:lineRule="exact"/>
        <w:rPr>
          <w:sz w:val="20"/>
          <w:szCs w:val="20"/>
          <w:color w:val="auto"/>
        </w:rPr>
      </w:pPr>
    </w:p>
    <w:p>
      <w:pPr>
        <w:jc w:val="both"/>
        <w:ind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pursuant to a “cashless exercise” program developed under Regulation T as promulgated by the U.S. Federal Reserve Board that, prior to the issuance of the Common Stock subject to the Option, results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either the receipt of cash (or check) by the Company or the receipt of irrevocable instructions to pay the exercise price to the Company from the sales proceeds;</w:t>
      </w:r>
    </w:p>
    <w:p>
      <w:pPr>
        <w:spacing w:after="0" w:line="102" w:lineRule="exact"/>
        <w:rPr>
          <w:sz w:val="20"/>
          <w:szCs w:val="20"/>
          <w:color w:val="auto"/>
        </w:rPr>
      </w:pPr>
    </w:p>
    <w:p>
      <w:pPr>
        <w:jc w:val="both"/>
        <w:ind w:firstLine="879"/>
        <w:spacing w:after="0" w:line="264" w:lineRule="auto"/>
        <w:rPr>
          <w:sz w:val="20"/>
          <w:szCs w:val="20"/>
          <w:color w:val="auto"/>
        </w:rPr>
      </w:pPr>
      <w:r>
        <w:rPr>
          <w:rFonts w:ascii="Times New Roman" w:cs="Times New Roman" w:eastAsia="Times New Roman" w:hAnsi="Times New Roman"/>
          <w:sz w:val="12"/>
          <w:szCs w:val="12"/>
          <w:b w:val="1"/>
          <w:bCs w:val="1"/>
          <w:color w:val="auto"/>
        </w:rPr>
        <w:t>(iii)            </w:t>
      </w:r>
      <w:r>
        <w:rPr>
          <w:rFonts w:ascii="Times New Roman" w:cs="Times New Roman" w:eastAsia="Times New Roman" w:hAnsi="Times New Roman"/>
          <w:sz w:val="12"/>
          <w:szCs w:val="12"/>
          <w:color w:val="auto"/>
        </w:rPr>
        <w:t>by delivery to the Company (either by actual delivery or attestation) of shares of Common Stock that are already owned by the Participant free and clear of any liens, claims, encumbrances or security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20" w:lineRule="exact"/>
        <w:rPr>
          <w:sz w:val="20"/>
          <w:szCs w:val="20"/>
          <w:color w:val="auto"/>
        </w:rPr>
      </w:pPr>
    </w:p>
    <w:p>
      <w:pPr>
        <w:jc w:val="both"/>
        <w:ind w:firstLine="879"/>
        <w:spacing w:after="0" w:line="274" w:lineRule="auto"/>
        <w:rPr>
          <w:sz w:val="20"/>
          <w:szCs w:val="20"/>
          <w:color w:val="auto"/>
        </w:rPr>
      </w:pPr>
      <w:r>
        <w:rPr>
          <w:rFonts w:ascii="Times New Roman" w:cs="Times New Roman" w:eastAsia="Times New Roman" w:hAnsi="Times New Roman"/>
          <w:sz w:val="12"/>
          <w:szCs w:val="12"/>
          <w:b w:val="1"/>
          <w:bCs w:val="1"/>
          <w:color w:val="auto"/>
        </w:rPr>
        <w:t>(iv)            </w:t>
      </w:r>
      <w:r>
        <w:rPr>
          <w:rFonts w:ascii="Times New Roman" w:cs="Times New Roman" w:eastAsia="Times New Roman" w:hAnsi="Times New Roman"/>
          <w:sz w:val="12"/>
          <w:szCs w:val="12"/>
          <w:color w:val="auto"/>
        </w:rPr>
        <w:t>if the Option is a Nonstatutory Stock Option, by a “net exercise” arrangement pursuant to which the Company will reduce the number of shares of Common Stock issuable upon exercise by the largest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(v)            </w:t>
      </w:r>
      <w:r>
        <w:rPr>
          <w:rFonts w:ascii="Times New Roman" w:cs="Times New Roman" w:eastAsia="Times New Roman" w:hAnsi="Times New Roman"/>
          <w:sz w:val="12"/>
          <w:szCs w:val="12"/>
          <w:color w:val="auto"/>
        </w:rPr>
        <w:t>in any other form of consideration that may be acceptable to the Board and permissible under Applicable Law.</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84">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62" w:name="page363"/>
    <w:bookmarkEnd w:id="362"/>
    <w:p>
      <w:pPr>
        <w:jc w:val="both"/>
        <w:ind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(d)            Exercise Procedure and Payment of Appreciation Distribution for SARs. </w:t>
      </w:r>
      <w:r>
        <w:rPr>
          <w:rFonts w:ascii="Times New Roman" w:cs="Times New Roman" w:eastAsia="Times New Roman" w:hAnsi="Times New Roman"/>
          <w:sz w:val="12"/>
          <w:szCs w:val="12"/>
          <w:color w:val="auto"/>
        </w:rPr>
        <w:t>In order to exercise any SAR, the Participant must provide notice of exercise to the Plan Administrator in accordance with the SAR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16" w:lineRule="exact"/>
        <w:rPr>
          <w:sz w:val="20"/>
          <w:szCs w:val="20"/>
          <w:color w:val="auto"/>
        </w:rPr>
      </w:pPr>
    </w:p>
    <w:p>
      <w:pPr>
        <w:jc w:val="both"/>
        <w:ind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(e)            Transferability. </w:t>
      </w:r>
      <w:r>
        <w:rPr>
          <w:rFonts w:ascii="Times New Roman" w:cs="Times New Roman" w:eastAsia="Times New Roman" w:hAnsi="Times New Roman"/>
          <w:sz w:val="12"/>
          <w:szCs w:val="12"/>
          <w:color w:val="auto"/>
        </w:rPr>
        <w:t>Options and SARs may not be transferred to third party financial institutions for value. The Board may impose such additional limitations on the transferability of an Option or SAR as it determines.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2"/>
          <w:szCs w:val="12"/>
          <w:i w:val="1"/>
          <w:iCs w:val="1"/>
          <w:color w:val="auto"/>
        </w:rPr>
        <w:t>provided, further</w:t>
      </w:r>
      <w:r>
        <w:rPr>
          <w:rFonts w:ascii="Times New Roman" w:cs="Times New Roman" w:eastAsia="Times New Roman" w:hAnsi="Times New Roman"/>
          <w:sz w:val="12"/>
          <w:szCs w:val="12"/>
          <w:color w:val="auto"/>
        </w:rPr>
        <w:t>, that if an Option is an Incentive Stock Option, such Option may be deemed to be a Nonstatutory Stock Option as a result of such transfer:</w:t>
      </w:r>
    </w:p>
    <w:p>
      <w:pPr>
        <w:spacing w:after="0" w:line="114" w:lineRule="exact"/>
        <w:rPr>
          <w:sz w:val="20"/>
          <w:szCs w:val="20"/>
          <w:color w:val="auto"/>
        </w:rPr>
      </w:pPr>
    </w:p>
    <w:p>
      <w:pPr>
        <w:jc w:val="both"/>
        <w:ind w:firstLine="87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(i)            Restrictions on Transfer. </w:t>
      </w:r>
      <w:r>
        <w:rPr>
          <w:rFonts w:ascii="Times New Roman" w:cs="Times New Roman" w:eastAsia="Times New Roman" w:hAnsi="Times New Roman"/>
          <w:sz w:val="12"/>
          <w:szCs w:val="12"/>
          <w:color w:val="auto"/>
        </w:rPr>
        <w:t>An Option or SAR will not be transferable, except by will or by the laws of descent and distribution, and will be exercisable during the lifetime of the Participant only by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16" w:lineRule="exact"/>
        <w:rPr>
          <w:sz w:val="20"/>
          <w:szCs w:val="20"/>
          <w:color w:val="auto"/>
        </w:rPr>
      </w:pPr>
    </w:p>
    <w:p>
      <w:pPr>
        <w:jc w:val="both"/>
        <w:ind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(ii)          Domestic Relations Orders. </w:t>
      </w:r>
      <w:r>
        <w:rPr>
          <w:rFonts w:ascii="Times New Roman" w:cs="Times New Roman" w:eastAsia="Times New Roman" w:hAnsi="Times New Roman"/>
          <w:sz w:val="12"/>
          <w:szCs w:val="12"/>
          <w:color w:val="auto"/>
        </w:rPr>
        <w:t>Notwithstanding the foregoing, subject to the execution of transfer documentation in a format acceptable to the Company and subject to the approval of the Board or a duly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authorized Officer, an Option or SAR may be transferred pursuant to a domestic relations order.</w:t>
      </w:r>
    </w:p>
    <w:p>
      <w:pPr>
        <w:spacing w:after="0" w:line="102" w:lineRule="exact"/>
        <w:rPr>
          <w:sz w:val="20"/>
          <w:szCs w:val="20"/>
          <w:color w:val="auto"/>
        </w:rPr>
      </w:pPr>
    </w:p>
    <w:p>
      <w:pPr>
        <w:jc w:val="both"/>
        <w:ind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(f)             Vesting. </w:t>
      </w:r>
      <w:r>
        <w:rPr>
          <w:rFonts w:ascii="Times New Roman" w:cs="Times New Roman" w:eastAsia="Times New Roman" w:hAnsi="Times New Roman"/>
          <w:sz w:val="12"/>
          <w:szCs w:val="12"/>
          <w:color w:val="auto"/>
        </w:rPr>
        <w:t>The Board may impose such restrictions on or conditions to the vesting and/or exercisability of an Option or SAR as determined by the Board. Except as otherwise provided in the applicable Award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or other written agreement between a Participant and the Company or an Affiliate, vesting of Options and SARs will cease upon termination of the Participant’s Continuous Service.</w:t>
      </w:r>
    </w:p>
    <w:p>
      <w:pPr>
        <w:spacing w:after="0" w:line="102"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(g)            Termination of Continuous Service for Cause. </w:t>
      </w:r>
      <w:r>
        <w:rPr>
          <w:rFonts w:ascii="Times New Roman" w:cs="Times New Roman" w:eastAsia="Times New Roman" w:hAnsi="Times New Roman"/>
          <w:sz w:val="12"/>
          <w:szCs w:val="12"/>
          <w:color w:val="auto"/>
        </w:rPr>
        <w:t>Except as explicitly otherwise provided in the Award Agreement or other written agreement between a Participant and the Company or an Affiliate, if a Participant’s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85">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63" w:name="page364"/>
    <w:bookmarkEnd w:id="363"/>
    <w:p>
      <w:pPr>
        <w:jc w:val="both"/>
        <w:ind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(h)            Post-Termination Exercise Period Following Termination of Continuous Service for Reasons Other than Cause. </w:t>
      </w:r>
      <w:r>
        <w:rPr>
          <w:rFonts w:ascii="Times New Roman" w:cs="Times New Roman" w:eastAsia="Times New Roman" w:hAnsi="Times New Roman"/>
          <w:sz w:val="12"/>
          <w:szCs w:val="12"/>
          <w:color w:val="auto"/>
        </w:rPr>
        <w:t>Subject to Section 4(i), if a Participant’s Continuous Service terminates for any reason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three months following the date of such termination if such termination is a termination without Cause (other than any termination due to the Participant’s Disability or death);</w:t>
      </w:r>
    </w:p>
    <w:p>
      <w:pPr>
        <w:spacing w:after="0" w:line="1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12 months following the date of such termination if such termination is due to the Participant’s Disability;</w:t>
      </w:r>
    </w:p>
    <w:p>
      <w:pPr>
        <w:spacing w:after="0" w:line="1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(iii)         </w:t>
      </w:r>
      <w:r>
        <w:rPr>
          <w:rFonts w:ascii="Times New Roman" w:cs="Times New Roman" w:eastAsia="Times New Roman" w:hAnsi="Times New Roman"/>
          <w:sz w:val="12"/>
          <w:szCs w:val="12"/>
          <w:color w:val="auto"/>
        </w:rPr>
        <w:t>18 months following the date of such termination if such termination is due to the Participant’s death; or</w:t>
      </w:r>
    </w:p>
    <w:p>
      <w:pPr>
        <w:spacing w:after="0" w:line="1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(iv)          </w:t>
      </w:r>
      <w:r>
        <w:rPr>
          <w:rFonts w:ascii="Times New Roman" w:cs="Times New Roman" w:eastAsia="Times New Roman" w:hAnsi="Times New Roman"/>
          <w:sz w:val="12"/>
          <w:szCs w:val="12"/>
          <w:color w:val="auto"/>
        </w:rPr>
        <w:t>18 months following the date of the Participant’s death if such death occurs following the date of such termination but during the period such Award is otherwise exercisable (as provided in (i) or (ii) above).</w:t>
      </w:r>
    </w:p>
    <w:p>
      <w:pPr>
        <w:spacing w:after="0" w:line="15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15"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2"/>
          <w:szCs w:val="12"/>
          <w:b w:val="1"/>
          <w:bCs w:val="1"/>
          <w:color w:val="auto"/>
        </w:rPr>
        <w:t xml:space="preserve">(i)             Restrictions on Exercise; Extension of Exercisability. </w:t>
      </w:r>
      <w:r>
        <w:rPr>
          <w:rFonts w:ascii="Times New Roman" w:cs="Times New Roman" w:eastAsia="Times New Roman" w:hAnsi="Times New Roman"/>
          <w:sz w:val="12"/>
          <w:szCs w:val="12"/>
          <w:color w:val="auto"/>
        </w:rPr>
        <w:t>A Participant may not exercise an Option or SAR at any time that the issuance of shares of Common Stock upon such exercise would violate Applicable Law.</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6">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64" w:name="page365"/>
    <w:bookmarkEnd w:id="364"/>
    <w:p>
      <w:pPr>
        <w:jc w:val="both"/>
        <w:ind w:firstLine="440"/>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(j)            Non-Exempt Employees. </w:t>
      </w:r>
      <w:r>
        <w:rPr>
          <w:rFonts w:ascii="Times New Roman" w:cs="Times New Roman" w:eastAsia="Times New Roman" w:hAnsi="Times New Roman"/>
          <w:sz w:val="12"/>
          <w:szCs w:val="12"/>
          <w:color w:val="auto"/>
        </w:rPr>
        <w:t>No Option or SAR, whether or not vested, granted to an Employee who is a non-exempt employee for purposes of the U.S. Fair Labor Standards Act of 1938, as amended, will be first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exercisable for any shares of Common Stock until at least six months following the date of grant of such Award. Notwithstanding the foregoing, in accordance with the provisions of the U.S.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(k)            Whole Shares. </w:t>
      </w:r>
      <w:r>
        <w:rPr>
          <w:rFonts w:ascii="Times New Roman" w:cs="Times New Roman" w:eastAsia="Times New Roman" w:hAnsi="Times New Roman"/>
          <w:sz w:val="12"/>
          <w:szCs w:val="12"/>
          <w:color w:val="auto"/>
        </w:rPr>
        <w:t>Options and SARs may be exercised only with respect to whole shares of Common Stock or their equivalents.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              A</w:t>
      </w:r>
      <w:r>
        <w:rPr>
          <w:rFonts w:ascii="Times New Roman" w:cs="Times New Roman" w:eastAsia="Times New Roman" w:hAnsi="Times New Roman"/>
          <w:sz w:val="8"/>
          <w:szCs w:val="8"/>
          <w:b w:val="1"/>
          <w:bCs w:val="1"/>
          <w:color w:val="auto"/>
        </w:rPr>
        <w:t>wards</w:t>
      </w:r>
      <w:r>
        <w:rPr>
          <w:rFonts w:ascii="Times New Roman" w:cs="Times New Roman" w:eastAsia="Times New Roman" w:hAnsi="Times New Roman"/>
          <w:sz w:val="12"/>
          <w:szCs w:val="12"/>
          <w:b w:val="1"/>
          <w:bCs w:val="1"/>
          <w:color w:val="auto"/>
        </w:rPr>
        <w:t xml:space="preserve"> O</w:t>
      </w:r>
      <w:r>
        <w:rPr>
          <w:rFonts w:ascii="Times New Roman" w:cs="Times New Roman" w:eastAsia="Times New Roman" w:hAnsi="Times New Roman"/>
          <w:sz w:val="8"/>
          <w:szCs w:val="8"/>
          <w:b w:val="1"/>
          <w:bCs w:val="1"/>
          <w:color w:val="auto"/>
        </w:rPr>
        <w:t>ther</w:t>
      </w:r>
      <w:r>
        <w:rPr>
          <w:rFonts w:ascii="Times New Roman" w:cs="Times New Roman" w:eastAsia="Times New Roman" w:hAnsi="Times New Roman"/>
          <w:sz w:val="12"/>
          <w:szCs w:val="12"/>
          <w:b w:val="1"/>
          <w:bCs w:val="1"/>
          <w:color w:val="auto"/>
        </w:rPr>
        <w:t xml:space="preserve"> T</w:t>
      </w:r>
      <w:r>
        <w:rPr>
          <w:rFonts w:ascii="Times New Roman" w:cs="Times New Roman" w:eastAsia="Times New Roman" w:hAnsi="Times New Roman"/>
          <w:sz w:val="8"/>
          <w:szCs w:val="8"/>
          <w:b w:val="1"/>
          <w:bCs w:val="1"/>
          <w:color w:val="auto"/>
        </w:rPr>
        <w:t>han</w:t>
      </w:r>
      <w:r>
        <w:rPr>
          <w:rFonts w:ascii="Times New Roman" w:cs="Times New Roman" w:eastAsia="Times New Roman" w:hAnsi="Times New Roman"/>
          <w:sz w:val="12"/>
          <w:szCs w:val="12"/>
          <w:b w:val="1"/>
          <w:bCs w:val="1"/>
          <w:color w:val="auto"/>
        </w:rPr>
        <w:t xml:space="preserve"> O</w:t>
      </w:r>
      <w:r>
        <w:rPr>
          <w:rFonts w:ascii="Times New Roman" w:cs="Times New Roman" w:eastAsia="Times New Roman" w:hAnsi="Times New Roman"/>
          <w:sz w:val="8"/>
          <w:szCs w:val="8"/>
          <w:b w:val="1"/>
          <w:bCs w:val="1"/>
          <w:color w:val="auto"/>
        </w:rPr>
        <w:t>ptions and</w:t>
      </w:r>
      <w:r>
        <w:rPr>
          <w:rFonts w:ascii="Times New Roman" w:cs="Times New Roman" w:eastAsia="Times New Roman" w:hAnsi="Times New Roman"/>
          <w:sz w:val="12"/>
          <w:szCs w:val="12"/>
          <w:b w:val="1"/>
          <w:bCs w:val="1"/>
          <w:color w:val="auto"/>
        </w:rPr>
        <w:t xml:space="preserve"> S</w:t>
      </w:r>
      <w:r>
        <w:rPr>
          <w:rFonts w:ascii="Times New Roman" w:cs="Times New Roman" w:eastAsia="Times New Roman" w:hAnsi="Times New Roman"/>
          <w:sz w:val="8"/>
          <w:szCs w:val="8"/>
          <w:b w:val="1"/>
          <w:bCs w:val="1"/>
          <w:color w:val="auto"/>
        </w:rPr>
        <w:t>tock</w:t>
      </w:r>
      <w:r>
        <w:rPr>
          <w:rFonts w:ascii="Times New Roman" w:cs="Times New Roman" w:eastAsia="Times New Roman" w:hAnsi="Times New Roman"/>
          <w:sz w:val="12"/>
          <w:szCs w:val="12"/>
          <w:b w:val="1"/>
          <w:bCs w:val="1"/>
          <w:color w:val="auto"/>
        </w:rPr>
        <w:t xml:space="preserve"> A</w:t>
      </w:r>
      <w:r>
        <w:rPr>
          <w:rFonts w:ascii="Times New Roman" w:cs="Times New Roman" w:eastAsia="Times New Roman" w:hAnsi="Times New Roman"/>
          <w:sz w:val="8"/>
          <w:szCs w:val="8"/>
          <w:b w:val="1"/>
          <w:bCs w:val="1"/>
          <w:color w:val="auto"/>
        </w:rPr>
        <w:t>ppreciation</w:t>
      </w:r>
      <w:r>
        <w:rPr>
          <w:rFonts w:ascii="Times New Roman" w:cs="Times New Roman" w:eastAsia="Times New Roman" w:hAnsi="Times New Roman"/>
          <w:sz w:val="12"/>
          <w:szCs w:val="12"/>
          <w:b w:val="1"/>
          <w:bCs w:val="1"/>
          <w:color w:val="auto"/>
        </w:rPr>
        <w:t xml:space="preserve"> R</w:t>
      </w:r>
      <w:r>
        <w:rPr>
          <w:rFonts w:ascii="Times New Roman" w:cs="Times New Roman" w:eastAsia="Times New Roman" w:hAnsi="Times New Roman"/>
          <w:sz w:val="8"/>
          <w:szCs w:val="8"/>
          <w:b w:val="1"/>
          <w:bCs w:val="1"/>
          <w:color w:val="auto"/>
        </w:rPr>
        <w:t>ights</w:t>
      </w:r>
      <w:r>
        <w:rPr>
          <w:rFonts w:ascii="Times New Roman" w:cs="Times New Roman" w:eastAsia="Times New Roman" w:hAnsi="Times New Roman"/>
          <w:sz w:val="12"/>
          <w:szCs w:val="12"/>
          <w:b w:val="1"/>
          <w:bCs w:val="1"/>
          <w:color w:val="auto"/>
        </w:rPr>
        <w:t>.</w:t>
      </w:r>
    </w:p>
    <w:p>
      <w:pPr>
        <w:spacing w:after="0" w:line="155" w:lineRule="exact"/>
        <w:rPr>
          <w:sz w:val="20"/>
          <w:szCs w:val="20"/>
          <w:color w:val="auto"/>
        </w:rPr>
      </w:pPr>
    </w:p>
    <w:p>
      <w:pPr>
        <w:jc w:val="both"/>
        <w:ind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(a)            Restricted Stock Awards and RSU Awards. </w:t>
      </w:r>
      <w:r>
        <w:rPr>
          <w:rFonts w:ascii="Times New Roman" w:cs="Times New Roman" w:eastAsia="Times New Roman" w:hAnsi="Times New Roman"/>
          <w:sz w:val="12"/>
          <w:szCs w:val="12"/>
          <w:color w:val="auto"/>
        </w:rPr>
        <w:t>Each Restricted Stock Award and RSU Award will have such terms and conditions as determined by the Board; provided, however, that each Restricted Stock Award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and RSU Award Agreement will conform (through incorporation of the provisions hereof by reference in the Award Agreement or otherwise) to the substance of each of the following provisions:</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(i)            Form of Award.</w:t>
      </w:r>
    </w:p>
    <w:p>
      <w:pPr>
        <w:spacing w:after="0" w:line="155" w:lineRule="exact"/>
        <w:rPr>
          <w:sz w:val="20"/>
          <w:szCs w:val="20"/>
          <w:color w:val="auto"/>
        </w:rPr>
      </w:pPr>
    </w:p>
    <w:p>
      <w:pPr>
        <w:jc w:val="both"/>
        <w:ind w:firstLine="1319"/>
        <w:spacing w:after="0" w:line="274" w:lineRule="auto"/>
        <w:rPr>
          <w:sz w:val="20"/>
          <w:szCs w:val="20"/>
          <w:color w:val="auto"/>
        </w:rPr>
      </w:pPr>
      <w:r>
        <w:rPr>
          <w:rFonts w:ascii="Times New Roman" w:cs="Times New Roman" w:eastAsia="Times New Roman" w:hAnsi="Times New Roman"/>
          <w:sz w:val="12"/>
          <w:szCs w:val="12"/>
          <w:b w:val="1"/>
          <w:bCs w:val="1"/>
          <w:color w:val="auto"/>
        </w:rPr>
        <w:t>(1)            </w:t>
      </w:r>
      <w:r>
        <w:rPr>
          <w:rFonts w:ascii="Times New Roman" w:cs="Times New Roman" w:eastAsia="Times New Roman" w:hAnsi="Times New Roman"/>
          <w:sz w:val="12"/>
          <w:szCs w:val="12"/>
          <w:color w:val="auto"/>
        </w:rPr>
        <w:t>Restricted Stock Awards: To the extent consistent with the Company’s Bylaws, at the Board’s election, shares of Common Stock subject to a Restricted Stock Award may be (A) held in book entry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14" w:lineRule="exact"/>
        <w:rPr>
          <w:sz w:val="20"/>
          <w:szCs w:val="20"/>
          <w:color w:val="auto"/>
        </w:rPr>
      </w:pPr>
    </w:p>
    <w:p>
      <w:pPr>
        <w:jc w:val="both"/>
        <w:ind w:firstLine="1319"/>
        <w:spacing w:after="0" w:line="266" w:lineRule="auto"/>
        <w:rPr>
          <w:sz w:val="20"/>
          <w:szCs w:val="20"/>
          <w:color w:val="auto"/>
        </w:rPr>
      </w:pPr>
      <w:r>
        <w:rPr>
          <w:rFonts w:ascii="Times New Roman" w:cs="Times New Roman" w:eastAsia="Times New Roman" w:hAnsi="Times New Roman"/>
          <w:sz w:val="12"/>
          <w:szCs w:val="12"/>
          <w:b w:val="1"/>
          <w:bCs w:val="1"/>
          <w:color w:val="auto"/>
        </w:rPr>
        <w:t>(2)            </w:t>
      </w:r>
      <w:r>
        <w:rPr>
          <w:rFonts w:ascii="Times New Roman" w:cs="Times New Roman" w:eastAsia="Times New Roman" w:hAnsi="Times New Roman"/>
          <w:sz w:val="12"/>
          <w:szCs w:val="12"/>
          <w:color w:val="auto"/>
        </w:rPr>
        <w:t>RSU Awards: An RSU Award represents a Participant’s right to be issued on a future date the number of shares of Common Stock that is equal to the number of restricted stock units subject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RSU Award. As a holder of an RSU Award, a Participant is an unsecured creditor of the Company with respect to the Company’s unfunded obligation, if any, to issue shares of Common Stock in settlement of such Award and nothing contained in the Plan or any RSU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7">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365" w:name="page366"/>
    <w:bookmarkEnd w:id="365"/>
    <w:p>
      <w:pPr>
        <w:ind w:left="880"/>
        <w:spacing w:after="0"/>
        <w:rPr>
          <w:sz w:val="20"/>
          <w:szCs w:val="20"/>
          <w:color w:val="auto"/>
        </w:rPr>
      </w:pPr>
      <w:r>
        <w:rPr>
          <w:rFonts w:ascii="Times New Roman" w:cs="Times New Roman" w:eastAsia="Times New Roman" w:hAnsi="Times New Roman"/>
          <w:sz w:val="12"/>
          <w:szCs w:val="12"/>
          <w:b w:val="1"/>
          <w:bCs w:val="1"/>
          <w:color w:val="auto"/>
        </w:rPr>
        <w:t>(ii)          Consideration.</w:t>
      </w:r>
    </w:p>
    <w:p>
      <w:pPr>
        <w:spacing w:after="0" w:line="155" w:lineRule="exact"/>
        <w:rPr>
          <w:sz w:val="20"/>
          <w:szCs w:val="20"/>
          <w:color w:val="auto"/>
        </w:rPr>
      </w:pPr>
    </w:p>
    <w:p>
      <w:pPr>
        <w:jc w:val="both"/>
        <w:ind w:right="20" w:firstLine="1319"/>
        <w:spacing w:after="0" w:line="294" w:lineRule="auto"/>
        <w:rPr>
          <w:sz w:val="20"/>
          <w:szCs w:val="20"/>
          <w:color w:val="auto"/>
        </w:rPr>
      </w:pPr>
      <w:r>
        <w:rPr>
          <w:rFonts w:ascii="Times New Roman" w:cs="Times New Roman" w:eastAsia="Times New Roman" w:hAnsi="Times New Roman"/>
          <w:sz w:val="12"/>
          <w:szCs w:val="12"/>
          <w:b w:val="1"/>
          <w:bCs w:val="1"/>
          <w:color w:val="auto"/>
        </w:rPr>
        <w:t>(1)            </w:t>
      </w:r>
      <w:r>
        <w:rPr>
          <w:rFonts w:ascii="Times New Roman" w:cs="Times New Roman" w:eastAsia="Times New Roman" w:hAnsi="Times New Roman"/>
          <w:sz w:val="12"/>
          <w:szCs w:val="12"/>
          <w:color w:val="auto"/>
        </w:rPr>
        <w:t>Restricted Stock Awards: A Restricted Stock Award may be granted in consideration for (A) cash or check, bank draft or money order payable to the Company, (B) services to the Company or 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Affiliate, or (C) any other form of consideration as the Board may determine and permissible under Applicable Law.</w:t>
      </w:r>
    </w:p>
    <w:p>
      <w:pPr>
        <w:spacing w:after="0" w:line="102" w:lineRule="exact"/>
        <w:rPr>
          <w:sz w:val="20"/>
          <w:szCs w:val="20"/>
          <w:color w:val="auto"/>
        </w:rPr>
      </w:pPr>
    </w:p>
    <w:p>
      <w:pPr>
        <w:jc w:val="both"/>
        <w:ind w:firstLine="1319"/>
        <w:spacing w:after="0" w:line="268" w:lineRule="auto"/>
        <w:rPr>
          <w:sz w:val="20"/>
          <w:szCs w:val="20"/>
          <w:color w:val="auto"/>
        </w:rPr>
      </w:pPr>
      <w:r>
        <w:rPr>
          <w:rFonts w:ascii="Times New Roman" w:cs="Times New Roman" w:eastAsia="Times New Roman" w:hAnsi="Times New Roman"/>
          <w:sz w:val="12"/>
          <w:szCs w:val="12"/>
          <w:b w:val="1"/>
          <w:bCs w:val="1"/>
          <w:color w:val="auto"/>
        </w:rPr>
        <w:t>(2)            </w:t>
      </w:r>
      <w:r>
        <w:rPr>
          <w:rFonts w:ascii="Times New Roman" w:cs="Times New Roman" w:eastAsia="Times New Roman" w:hAnsi="Times New Roman"/>
          <w:sz w:val="12"/>
          <w:szCs w:val="12"/>
          <w:color w:val="auto"/>
        </w:rPr>
        <w:t>RSU Awards: Unless otherwise determined by the Board at the time of grant, an RSU Award will be granted in consideration for the Participant’s services to the Company or an Affiliate, such that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16" w:lineRule="exact"/>
        <w:rPr>
          <w:sz w:val="20"/>
          <w:szCs w:val="20"/>
          <w:color w:val="auto"/>
        </w:rPr>
      </w:pPr>
    </w:p>
    <w:p>
      <w:pPr>
        <w:jc w:val="both"/>
        <w:ind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(iii)         Vesting. </w:t>
      </w:r>
      <w:r>
        <w:rPr>
          <w:rFonts w:ascii="Times New Roman" w:cs="Times New Roman" w:eastAsia="Times New Roman" w:hAnsi="Times New Roman"/>
          <w:sz w:val="12"/>
          <w:szCs w:val="12"/>
          <w:color w:val="auto"/>
        </w:rPr>
        <w:t>The Board may impose such restrictions on or conditions to the vesting of a Restricted Stock Award or RSU Award as determined by the Board. Except as otherwise provided in the Award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or other written agreement between a Participant and the Company or an Affiliate, vesting of Restricted Stock Awards and RSU Awards will cease upon termination of the Participant’s Continuous Service.</w:t>
      </w:r>
    </w:p>
    <w:p>
      <w:pPr>
        <w:spacing w:after="0" w:line="102" w:lineRule="exact"/>
        <w:rPr>
          <w:sz w:val="20"/>
          <w:szCs w:val="20"/>
          <w:color w:val="auto"/>
        </w:rPr>
      </w:pPr>
    </w:p>
    <w:p>
      <w:pPr>
        <w:jc w:val="both"/>
        <w:ind w:firstLine="879"/>
        <w:spacing w:after="0" w:line="264" w:lineRule="auto"/>
        <w:rPr>
          <w:sz w:val="20"/>
          <w:szCs w:val="20"/>
          <w:color w:val="auto"/>
        </w:rPr>
      </w:pPr>
      <w:r>
        <w:rPr>
          <w:rFonts w:ascii="Times New Roman" w:cs="Times New Roman" w:eastAsia="Times New Roman" w:hAnsi="Times New Roman"/>
          <w:sz w:val="12"/>
          <w:szCs w:val="12"/>
          <w:b w:val="1"/>
          <w:bCs w:val="1"/>
          <w:color w:val="auto"/>
        </w:rPr>
        <w:t xml:space="preserve">(iv)          Termination of Continuous Service. </w:t>
      </w:r>
      <w:r>
        <w:rPr>
          <w:rFonts w:ascii="Times New Roman" w:cs="Times New Roman" w:eastAsia="Times New Roman" w:hAnsi="Times New Roman"/>
          <w:sz w:val="12"/>
          <w:szCs w:val="12"/>
          <w:color w:val="auto"/>
        </w:rPr>
        <w:t>Except as otherwise provided in the Award Agreement or other written agreement between a Participant and the Company or an Affiliate, if a Participant’s Continuous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20" w:lineRule="exact"/>
        <w:rPr>
          <w:sz w:val="20"/>
          <w:szCs w:val="20"/>
          <w:color w:val="auto"/>
        </w:rPr>
      </w:pPr>
    </w:p>
    <w:p>
      <w:pPr>
        <w:jc w:val="both"/>
        <w:ind w:right="20"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(v)           Dividends and Dividend Equivalents. </w:t>
      </w:r>
      <w:r>
        <w:rPr>
          <w:rFonts w:ascii="Times New Roman" w:cs="Times New Roman" w:eastAsia="Times New Roman" w:hAnsi="Times New Roman"/>
          <w:sz w:val="12"/>
          <w:szCs w:val="12"/>
          <w:color w:val="auto"/>
        </w:rPr>
        <w:t>Dividends or dividend equivalents may be paid or credited, as applicable, with respect to any shares of Common Stock subject to a Restricted Stock Award or RSU</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Award, as determined by the Board and specified in the Award Agreement.</w:t>
      </w:r>
    </w:p>
    <w:p>
      <w:pPr>
        <w:spacing w:after="0" w:line="102" w:lineRule="exact"/>
        <w:rPr>
          <w:sz w:val="20"/>
          <w:szCs w:val="20"/>
          <w:color w:val="auto"/>
        </w:rPr>
      </w:pPr>
    </w:p>
    <w:p>
      <w:pPr>
        <w:jc w:val="both"/>
        <w:ind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(vi)          Settlement of RSU Awards. </w:t>
      </w:r>
      <w:r>
        <w:rPr>
          <w:rFonts w:ascii="Times New Roman" w:cs="Times New Roman" w:eastAsia="Times New Roman" w:hAnsi="Times New Roman"/>
          <w:sz w:val="12"/>
          <w:szCs w:val="12"/>
          <w:color w:val="auto"/>
        </w:rPr>
        <w:t>An RSU Award may be settled by the issuance of shares of Common Stock or cash (or any combination thereof) or in any other form of payment, as determined by the Board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specified in the RSU Award Agreement. At the time of grant, the Board may determine to impose such restrictions or conditions that delay such delivery to a date following the vesting of the RSU Award.</w:t>
      </w:r>
    </w:p>
    <w:p>
      <w:pPr>
        <w:spacing w:after="0" w:line="102" w:lineRule="exact"/>
        <w:rPr>
          <w:sz w:val="20"/>
          <w:szCs w:val="20"/>
          <w:color w:val="auto"/>
        </w:rPr>
      </w:pPr>
    </w:p>
    <w:p>
      <w:pPr>
        <w:jc w:val="both"/>
        <w:ind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(b)            Performance Awards. </w:t>
      </w:r>
      <w:r>
        <w:rPr>
          <w:rFonts w:ascii="Times New Roman" w:cs="Times New Roman" w:eastAsia="Times New Roman" w:hAnsi="Times New Roman"/>
          <w:sz w:val="12"/>
          <w:szCs w:val="12"/>
          <w:color w:val="auto"/>
        </w:rPr>
        <w:t>With respect to any Performance Award, the length of any Performance Period, the Performance Goals to be achieved during the Performance Period, the other terms and conditions of such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Award, and the measure of whether and to what degree such Performance Goals have been attained will be determined by the Board.</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8">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366" w:name="page367"/>
    <w:bookmarkEnd w:id="366"/>
    <w:p>
      <w:pPr>
        <w:jc w:val="both"/>
        <w:ind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(c)            Other Awards. </w:t>
      </w:r>
      <w:r>
        <w:rPr>
          <w:rFonts w:ascii="Times New Roman" w:cs="Times New Roman" w:eastAsia="Times New Roman" w:hAnsi="Times New Roman"/>
          <w:sz w:val="12"/>
          <w:szCs w:val="12"/>
          <w:color w:val="auto"/>
        </w:rPr>
        <w:t>Other forms of Awards valued in whole or in part by reference to, or otherwise based on, Common Stock, including the appreciation in value thereof may be granted either alone or in addition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A</w:t>
      </w:r>
      <w:r>
        <w:rPr>
          <w:rFonts w:ascii="Times New Roman" w:cs="Times New Roman" w:eastAsia="Times New Roman" w:hAnsi="Times New Roman"/>
          <w:sz w:val="8"/>
          <w:szCs w:val="8"/>
          <w:b w:val="1"/>
          <w:bCs w:val="1"/>
          <w:color w:val="auto"/>
        </w:rPr>
        <w:t>djustments upon</w:t>
      </w:r>
      <w:r>
        <w:rPr>
          <w:rFonts w:ascii="Times New Roman" w:cs="Times New Roman" w:eastAsia="Times New Roman" w:hAnsi="Times New Roman"/>
          <w:sz w:val="12"/>
          <w:szCs w:val="12"/>
          <w:b w:val="1"/>
          <w:bCs w:val="1"/>
          <w:color w:val="auto"/>
        </w:rPr>
        <w:t xml:space="preserve"> C</w:t>
      </w:r>
      <w:r>
        <w:rPr>
          <w:rFonts w:ascii="Times New Roman" w:cs="Times New Roman" w:eastAsia="Times New Roman" w:hAnsi="Times New Roman"/>
          <w:sz w:val="8"/>
          <w:szCs w:val="8"/>
          <w:b w:val="1"/>
          <w:bCs w:val="1"/>
          <w:color w:val="auto"/>
        </w:rPr>
        <w:t>hanges in</w:t>
      </w:r>
      <w:r>
        <w:rPr>
          <w:rFonts w:ascii="Times New Roman" w:cs="Times New Roman" w:eastAsia="Times New Roman" w:hAnsi="Times New Roman"/>
          <w:sz w:val="12"/>
          <w:szCs w:val="12"/>
          <w:b w:val="1"/>
          <w:bCs w:val="1"/>
          <w:color w:val="auto"/>
        </w:rPr>
        <w:t xml:space="preserve"> C</w:t>
      </w:r>
      <w:r>
        <w:rPr>
          <w:rFonts w:ascii="Times New Roman" w:cs="Times New Roman" w:eastAsia="Times New Roman" w:hAnsi="Times New Roman"/>
          <w:sz w:val="8"/>
          <w:szCs w:val="8"/>
          <w:b w:val="1"/>
          <w:bCs w:val="1"/>
          <w:color w:val="auto"/>
        </w:rPr>
        <w:t>ommon</w:t>
      </w:r>
      <w:r>
        <w:rPr>
          <w:rFonts w:ascii="Times New Roman" w:cs="Times New Roman" w:eastAsia="Times New Roman" w:hAnsi="Times New Roman"/>
          <w:sz w:val="12"/>
          <w:szCs w:val="12"/>
          <w:b w:val="1"/>
          <w:bCs w:val="1"/>
          <w:color w:val="auto"/>
        </w:rPr>
        <w:t xml:space="preserve"> S</w:t>
      </w:r>
      <w:r>
        <w:rPr>
          <w:rFonts w:ascii="Times New Roman" w:cs="Times New Roman" w:eastAsia="Times New Roman" w:hAnsi="Times New Roman"/>
          <w:sz w:val="8"/>
          <w:szCs w:val="8"/>
          <w:b w:val="1"/>
          <w:bCs w:val="1"/>
          <w:color w:val="auto"/>
        </w:rPr>
        <w:t>tock</w:t>
      </w:r>
      <w:r>
        <w:rPr>
          <w:rFonts w:ascii="Times New Roman" w:cs="Times New Roman" w:eastAsia="Times New Roman" w:hAnsi="Times New Roman"/>
          <w:sz w:val="12"/>
          <w:szCs w:val="12"/>
          <w:b w:val="1"/>
          <w:bCs w:val="1"/>
          <w:color w:val="auto"/>
        </w:rPr>
        <w:t>; O</w:t>
      </w:r>
      <w:r>
        <w:rPr>
          <w:rFonts w:ascii="Times New Roman" w:cs="Times New Roman" w:eastAsia="Times New Roman" w:hAnsi="Times New Roman"/>
          <w:sz w:val="8"/>
          <w:szCs w:val="8"/>
          <w:b w:val="1"/>
          <w:bCs w:val="1"/>
          <w:color w:val="auto"/>
        </w:rPr>
        <w:t>ther</w:t>
      </w:r>
      <w:r>
        <w:rPr>
          <w:rFonts w:ascii="Times New Roman" w:cs="Times New Roman" w:eastAsia="Times New Roman" w:hAnsi="Times New Roman"/>
          <w:sz w:val="12"/>
          <w:szCs w:val="12"/>
          <w:b w:val="1"/>
          <w:bCs w:val="1"/>
          <w:color w:val="auto"/>
        </w:rPr>
        <w:t xml:space="preserve"> C</w:t>
      </w:r>
      <w:r>
        <w:rPr>
          <w:rFonts w:ascii="Times New Roman" w:cs="Times New Roman" w:eastAsia="Times New Roman" w:hAnsi="Times New Roman"/>
          <w:sz w:val="8"/>
          <w:szCs w:val="8"/>
          <w:b w:val="1"/>
          <w:bCs w:val="1"/>
          <w:color w:val="auto"/>
        </w:rPr>
        <w:t>orporate</w:t>
      </w:r>
      <w:r>
        <w:rPr>
          <w:rFonts w:ascii="Times New Roman" w:cs="Times New Roman" w:eastAsia="Times New Roman" w:hAnsi="Times New Roman"/>
          <w:sz w:val="12"/>
          <w:szCs w:val="12"/>
          <w:b w:val="1"/>
          <w:bCs w:val="1"/>
          <w:color w:val="auto"/>
        </w:rPr>
        <w:t xml:space="preserve"> E</w:t>
      </w:r>
      <w:r>
        <w:rPr>
          <w:rFonts w:ascii="Times New Roman" w:cs="Times New Roman" w:eastAsia="Times New Roman" w:hAnsi="Times New Roman"/>
          <w:sz w:val="8"/>
          <w:szCs w:val="8"/>
          <w:b w:val="1"/>
          <w:bCs w:val="1"/>
          <w:color w:val="auto"/>
        </w:rPr>
        <w:t>vents</w:t>
      </w:r>
      <w:r>
        <w:rPr>
          <w:rFonts w:ascii="Times New Roman" w:cs="Times New Roman" w:eastAsia="Times New Roman" w:hAnsi="Times New Roman"/>
          <w:sz w:val="12"/>
          <w:szCs w:val="12"/>
          <w:b w:val="1"/>
          <w:bCs w:val="1"/>
          <w:color w:val="auto"/>
        </w:rPr>
        <w:t>.</w:t>
      </w:r>
    </w:p>
    <w:p>
      <w:pPr>
        <w:spacing w:after="0" w:line="155" w:lineRule="exact"/>
        <w:rPr>
          <w:sz w:val="20"/>
          <w:szCs w:val="20"/>
          <w:color w:val="auto"/>
        </w:rPr>
      </w:pPr>
    </w:p>
    <w:p>
      <w:pPr>
        <w:jc w:val="both"/>
        <w:ind w:firstLine="440"/>
        <w:spacing w:after="0" w:line="264" w:lineRule="auto"/>
        <w:rPr>
          <w:sz w:val="20"/>
          <w:szCs w:val="20"/>
          <w:color w:val="auto"/>
        </w:rPr>
      </w:pPr>
      <w:r>
        <w:rPr>
          <w:rFonts w:ascii="Times New Roman" w:cs="Times New Roman" w:eastAsia="Times New Roman" w:hAnsi="Times New Roman"/>
          <w:sz w:val="12"/>
          <w:szCs w:val="12"/>
          <w:b w:val="1"/>
          <w:bCs w:val="1"/>
          <w:color w:val="auto"/>
        </w:rPr>
        <w:t xml:space="preserve">(a)            Capitalization Adjustments. </w:t>
      </w:r>
      <w:r>
        <w:rPr>
          <w:rFonts w:ascii="Times New Roman" w:cs="Times New Roman" w:eastAsia="Times New Roman" w:hAnsi="Times New Roman"/>
          <w:sz w:val="12"/>
          <w:szCs w:val="12"/>
          <w:color w:val="auto"/>
        </w:rPr>
        <w:t>In the event of a Capitalization Adjustment, the Board shall appropriately and proportionately adjust: (i) the class(es) and maximum number of shares of Common Stock subject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20" w:lineRule="exact"/>
        <w:rPr>
          <w:sz w:val="20"/>
          <w:szCs w:val="20"/>
          <w:color w:val="auto"/>
        </w:rPr>
      </w:pPr>
    </w:p>
    <w:p>
      <w:pPr>
        <w:jc w:val="both"/>
        <w:ind w:firstLine="440"/>
        <w:spacing w:after="0" w:line="264" w:lineRule="auto"/>
        <w:rPr>
          <w:sz w:val="20"/>
          <w:szCs w:val="20"/>
          <w:color w:val="auto"/>
        </w:rPr>
      </w:pPr>
      <w:r>
        <w:rPr>
          <w:rFonts w:ascii="Times New Roman" w:cs="Times New Roman" w:eastAsia="Times New Roman" w:hAnsi="Times New Roman"/>
          <w:sz w:val="12"/>
          <w:szCs w:val="12"/>
          <w:b w:val="1"/>
          <w:bCs w:val="1"/>
          <w:color w:val="auto"/>
        </w:rPr>
        <w:t xml:space="preserve">(b)            Dissolution or Liquidation. </w:t>
      </w:r>
      <w:r>
        <w:rPr>
          <w:rFonts w:ascii="Times New Roman" w:cs="Times New Roman" w:eastAsia="Times New Roman" w:hAnsi="Times New Roman"/>
          <w:sz w:val="12"/>
          <w:szCs w:val="12"/>
          <w:color w:val="auto"/>
        </w:rPr>
        <w:t>Except as otherwise provided in the Award Agreement, in the event of a dissolution or liquidation of the Company, all outstanding Awards (other than Awards consisting of vested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20" w:lineRule="exact"/>
        <w:rPr>
          <w:sz w:val="20"/>
          <w:szCs w:val="20"/>
          <w:color w:val="auto"/>
        </w:rPr>
      </w:pPr>
    </w:p>
    <w:p>
      <w:pPr>
        <w:jc w:val="both"/>
        <w:ind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(c)            Corporate Transaction. </w:t>
      </w:r>
      <w:r>
        <w:rPr>
          <w:rFonts w:ascii="Times New Roman" w:cs="Times New Roman" w:eastAsia="Times New Roman" w:hAnsi="Times New Roman"/>
          <w:sz w:val="12"/>
          <w:szCs w:val="12"/>
          <w:color w:val="auto"/>
        </w:rPr>
        <w:t>The following provisions will apply to Awards in the event of a Corporate Transaction, except as set forth in Section 11, unless otherwise provided in the instrument evidencing the Award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other written agreement between the Company or any Affiliate and the Participant or unless otherwise expressly provided by the Board at the time of grant of an Award.</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9">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67" w:name="page368"/>
    <w:bookmarkEnd w:id="367"/>
    <w:p>
      <w:pPr>
        <w:jc w:val="both"/>
        <w:ind w:left="7" w:firstLine="879"/>
        <w:spacing w:after="0" w:line="264" w:lineRule="auto"/>
        <w:rPr>
          <w:sz w:val="20"/>
          <w:szCs w:val="20"/>
          <w:color w:val="auto"/>
        </w:rPr>
      </w:pPr>
      <w:r>
        <w:rPr>
          <w:rFonts w:ascii="Times New Roman" w:cs="Times New Roman" w:eastAsia="Times New Roman" w:hAnsi="Times New Roman"/>
          <w:sz w:val="12"/>
          <w:szCs w:val="12"/>
          <w:b w:val="1"/>
          <w:bCs w:val="1"/>
          <w:color w:val="auto"/>
        </w:rPr>
        <w:t xml:space="preserve">(i)            Awards May Be Assumed. </w:t>
      </w:r>
      <w:r>
        <w:rPr>
          <w:rFonts w:ascii="Times New Roman" w:cs="Times New Roman" w:eastAsia="Times New Roman" w:hAnsi="Times New Roman"/>
          <w:sz w:val="12"/>
          <w:szCs w:val="12"/>
          <w:color w:val="auto"/>
        </w:rPr>
        <w:t>In the event of a Corporate Transaction, any surviving corporation or acquiring corporation (or the surviving or acquiring corporation’s parent company) may assume or continue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w:t>
      </w:r>
    </w:p>
    <w:p>
      <w:pPr>
        <w:spacing w:after="0" w:line="120" w:lineRule="exact"/>
        <w:rPr>
          <w:sz w:val="20"/>
          <w:szCs w:val="20"/>
          <w:color w:val="auto"/>
        </w:rPr>
      </w:pPr>
    </w:p>
    <w:p>
      <w:pPr>
        <w:jc w:val="both"/>
        <w:ind w:left="7" w:firstLine="879"/>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(ii)            Awards Held by Current Participants. </w:t>
      </w:r>
      <w:r>
        <w:rPr>
          <w:rFonts w:ascii="Times New Roman" w:cs="Times New Roman" w:eastAsia="Times New Roman" w:hAnsi="Times New Roman"/>
          <w:sz w:val="12"/>
          <w:szCs w:val="12"/>
          <w:color w:val="auto"/>
        </w:rPr>
        <w:t>In the event of a Corporate Transaction in which the surviving corporation or acquiring corporation (or its parent company) does not assume or continue such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2"/>
          <w:szCs w:val="12"/>
          <w:b w:val="1"/>
          <w:bCs w:val="1"/>
          <w:i w:val="1"/>
          <w:iCs w:val="1"/>
          <w:color w:val="auto"/>
        </w:rPr>
        <w:t>Current Participants</w:t>
      </w:r>
      <w:r>
        <w:rPr>
          <w:rFonts w:ascii="Times New Roman" w:cs="Times New Roman" w:eastAsia="Times New Roman" w:hAnsi="Times New Roman"/>
          <w:sz w:val="12"/>
          <w:szCs w:val="12"/>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23" w:lineRule="exact"/>
        <w:rPr>
          <w:sz w:val="20"/>
          <w:szCs w:val="20"/>
          <w:color w:val="auto"/>
        </w:rPr>
      </w:pPr>
    </w:p>
    <w:p>
      <w:pPr>
        <w:jc w:val="both"/>
        <w:ind w:left="7" w:firstLine="87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(iii)            Awards Held by Persons other than Current Participants. </w:t>
      </w:r>
      <w:r>
        <w:rPr>
          <w:rFonts w:ascii="Times New Roman" w:cs="Times New Roman" w:eastAsia="Times New Roman" w:hAnsi="Times New Roman"/>
          <w:sz w:val="12"/>
          <w:szCs w:val="12"/>
          <w:color w:val="auto"/>
        </w:rPr>
        <w:t>In the event of a Corporate Transaction in which the surviving corporation or acquiring corporation (or its parent company) does not assume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16" w:lineRule="exact"/>
        <w:rPr>
          <w:sz w:val="20"/>
          <w:szCs w:val="20"/>
          <w:color w:val="auto"/>
        </w:rPr>
      </w:pPr>
    </w:p>
    <w:p>
      <w:pPr>
        <w:jc w:val="both"/>
        <w:ind w:left="7" w:right="20" w:firstLine="879"/>
        <w:spacing w:after="0" w:line="267" w:lineRule="auto"/>
        <w:rPr>
          <w:sz w:val="20"/>
          <w:szCs w:val="20"/>
          <w:color w:val="auto"/>
        </w:rPr>
      </w:pPr>
      <w:r>
        <w:rPr>
          <w:rFonts w:ascii="Times New Roman" w:cs="Times New Roman" w:eastAsia="Times New Roman" w:hAnsi="Times New Roman"/>
          <w:sz w:val="12"/>
          <w:szCs w:val="12"/>
          <w:b w:val="1"/>
          <w:bCs w:val="1"/>
          <w:color w:val="auto"/>
        </w:rPr>
        <w:t xml:space="preserve">(iv)            Payment for Awards in Lieu of Exercise. </w:t>
      </w:r>
      <w:r>
        <w:rPr>
          <w:rFonts w:ascii="Times New Roman" w:cs="Times New Roman" w:eastAsia="Times New Roman" w:hAnsi="Times New Roman"/>
          <w:sz w:val="12"/>
          <w:szCs w:val="12"/>
          <w:color w:val="auto"/>
        </w:rPr>
        <w:t>Notwithstanding the foregoing, in the event an Award will terminate if not exercised prior to the effective time of a Corporate Transaction, the Board may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provide, in its sole discretion, that the holder of such Award may not exercise such Award but will receive a payment, in such form as may be determined by the Board, equal in value, at the effective time, to the excess, if any, of</w:t>
      </w:r>
    </w:p>
    <w:p>
      <w:pPr>
        <w:ind w:left="7" w:hanging="7"/>
        <w:spacing w:after="0" w:line="269" w:lineRule="auto"/>
        <w:tabs>
          <w:tab w:leader="none" w:pos="182"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26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135" cy="571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0">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656" w:right="299" w:bottom="1440" w:gutter="0" w:footer="0" w:header="0"/>
        </w:sectPr>
      </w:pPr>
    </w:p>
    <w:bookmarkStart w:id="368" w:name="page369"/>
    <w:bookmarkEnd w:id="368"/>
    <w:p>
      <w:pPr>
        <w:jc w:val="both"/>
        <w:ind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(d)            Appointment of Stockholder Representative. </w:t>
      </w:r>
      <w:r>
        <w:rPr>
          <w:rFonts w:ascii="Times New Roman" w:cs="Times New Roman" w:eastAsia="Times New Roman" w:hAnsi="Times New Roman"/>
          <w:sz w:val="12"/>
          <w:szCs w:val="12"/>
          <w:color w:val="auto"/>
        </w:rPr>
        <w:t>As a condition to the receipt of an Award under this Plan, a Participant will be deemed to have agreed that the Award will be subject to the terms of any agreement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14" w:lineRule="exact"/>
        <w:rPr>
          <w:sz w:val="20"/>
          <w:szCs w:val="20"/>
          <w:color w:val="auto"/>
        </w:rPr>
      </w:pPr>
    </w:p>
    <w:p>
      <w:pPr>
        <w:jc w:val="both"/>
        <w:ind w:firstLine="440"/>
        <w:spacing w:after="0" w:line="264" w:lineRule="auto"/>
        <w:rPr>
          <w:sz w:val="20"/>
          <w:szCs w:val="20"/>
          <w:color w:val="auto"/>
        </w:rPr>
      </w:pPr>
      <w:r>
        <w:rPr>
          <w:rFonts w:ascii="Times New Roman" w:cs="Times New Roman" w:eastAsia="Times New Roman" w:hAnsi="Times New Roman"/>
          <w:sz w:val="12"/>
          <w:szCs w:val="12"/>
          <w:b w:val="1"/>
          <w:bCs w:val="1"/>
          <w:color w:val="auto"/>
        </w:rPr>
        <w:t xml:space="preserve">(e)            No Restriction on Right to Undertake Transactions. </w:t>
      </w:r>
      <w:r>
        <w:rPr>
          <w:rFonts w:ascii="Times New Roman" w:cs="Times New Roman" w:eastAsia="Times New Roman" w:hAnsi="Times New Roman"/>
          <w:sz w:val="12"/>
          <w:szCs w:val="12"/>
          <w:color w:val="auto"/>
        </w:rPr>
        <w:t>The grant of any Award under the Plan and the issuance of shares pursuant to any Award does not affect or restrict in any way the right or power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              A</w:t>
      </w:r>
      <w:r>
        <w:rPr>
          <w:rFonts w:ascii="Times New Roman" w:cs="Times New Roman" w:eastAsia="Times New Roman" w:hAnsi="Times New Roman"/>
          <w:sz w:val="8"/>
          <w:szCs w:val="8"/>
          <w:b w:val="1"/>
          <w:bCs w:val="1"/>
          <w:color w:val="auto"/>
        </w:rPr>
        <w:t>dministration</w:t>
      </w:r>
      <w:r>
        <w:rPr>
          <w:rFonts w:ascii="Times New Roman" w:cs="Times New Roman" w:eastAsia="Times New Roman" w:hAnsi="Times New Roman"/>
          <w:sz w:val="12"/>
          <w:szCs w:val="12"/>
          <w:b w:val="1"/>
          <w:bCs w:val="1"/>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(a)            Administration by Board. </w:t>
      </w:r>
      <w:r>
        <w:rPr>
          <w:rFonts w:ascii="Times New Roman" w:cs="Times New Roman" w:eastAsia="Times New Roman" w:hAnsi="Times New Roman"/>
          <w:sz w:val="12"/>
          <w:szCs w:val="12"/>
          <w:color w:val="auto"/>
        </w:rPr>
        <w:t>The Board will administer the Plan unless and until the Board delegates administration of the Plan to a Committee or Committees, as provided in subsection (c) below.</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(b)            Powers of Board. </w:t>
      </w:r>
      <w:r>
        <w:rPr>
          <w:rFonts w:ascii="Times New Roman" w:cs="Times New Roman" w:eastAsia="Times New Roman" w:hAnsi="Times New Roman"/>
          <w:sz w:val="12"/>
          <w:szCs w:val="12"/>
          <w:color w:val="auto"/>
        </w:rPr>
        <w:t>The Board will have the power, subject to, and within the limitations of, the express provisions of the Plan:</w:t>
      </w:r>
    </w:p>
    <w:p>
      <w:pPr>
        <w:spacing w:after="0" w:line="155" w:lineRule="exact"/>
        <w:rPr>
          <w:sz w:val="20"/>
          <w:szCs w:val="20"/>
          <w:color w:val="auto"/>
        </w:rPr>
      </w:pPr>
    </w:p>
    <w:p>
      <w:pPr>
        <w:jc w:val="both"/>
        <w:ind w:firstLine="879"/>
        <w:spacing w:after="0" w:line="268" w:lineRule="auto"/>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To determine from time to time (1) which of the persons eligible under the Plan will be granted Awards; (2) when and how each Award will be granted; (3) what type or combination of types of Award will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16" w:lineRule="exact"/>
        <w:rPr>
          <w:sz w:val="20"/>
          <w:szCs w:val="20"/>
          <w:color w:val="auto"/>
        </w:rPr>
      </w:pPr>
    </w:p>
    <w:p>
      <w:pPr>
        <w:jc w:val="both"/>
        <w:ind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To construe and interpret the Plan and Awards granted under it, and to establish, amend and revoke rules and regulations for its administration. The Board, in the exercise of this power, may correct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defect, omission or inconsistency in the Plan or in any Award Agreement, in a manner and to the extent it deems necessary or expedient to make the Plan or Award fully effective.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1">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69" w:name="page370"/>
    <w:bookmarkEnd w:id="369"/>
    <w:p>
      <w:pPr>
        <w:ind w:left="880"/>
        <w:spacing w:after="0"/>
        <w:rPr>
          <w:sz w:val="20"/>
          <w:szCs w:val="20"/>
          <w:color w:val="auto"/>
        </w:rPr>
      </w:pPr>
      <w:r>
        <w:rPr>
          <w:rFonts w:ascii="Times New Roman" w:cs="Times New Roman" w:eastAsia="Times New Roman" w:hAnsi="Times New Roman"/>
          <w:sz w:val="12"/>
          <w:szCs w:val="12"/>
          <w:b w:val="1"/>
          <w:bCs w:val="1"/>
          <w:color w:val="auto"/>
        </w:rPr>
        <w:t>(iii)           </w:t>
      </w:r>
      <w:r>
        <w:rPr>
          <w:rFonts w:ascii="Times New Roman" w:cs="Times New Roman" w:eastAsia="Times New Roman" w:hAnsi="Times New Roman"/>
          <w:sz w:val="12"/>
          <w:szCs w:val="12"/>
          <w:color w:val="auto"/>
        </w:rPr>
        <w:t>To settle all controversies regarding the Plan and Awards granted under it.</w:t>
      </w:r>
    </w:p>
    <w:p>
      <w:pPr>
        <w:spacing w:after="0" w:line="155" w:lineRule="exact"/>
        <w:rPr>
          <w:sz w:val="20"/>
          <w:szCs w:val="20"/>
          <w:color w:val="auto"/>
        </w:rPr>
      </w:pPr>
    </w:p>
    <w:p>
      <w:pPr>
        <w:jc w:val="both"/>
        <w:ind w:right="20"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(iv)            </w:t>
      </w:r>
      <w:r>
        <w:rPr>
          <w:rFonts w:ascii="Times New Roman" w:cs="Times New Roman" w:eastAsia="Times New Roman" w:hAnsi="Times New Roman"/>
          <w:sz w:val="12"/>
          <w:szCs w:val="12"/>
          <w:color w:val="auto"/>
        </w:rPr>
        <w:t>To accelerate the time at which an Award may first be exercised or the time during which an Award or any part thereof will vest, notwithstanding the provisions in the Award Agreement stating the time 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which it may first be exercised or the time during which it will vest.</w:t>
      </w:r>
    </w:p>
    <w:p>
      <w:pPr>
        <w:spacing w:after="0" w:line="102" w:lineRule="exact"/>
        <w:rPr>
          <w:sz w:val="20"/>
          <w:szCs w:val="20"/>
          <w:color w:val="auto"/>
        </w:rPr>
      </w:pPr>
    </w:p>
    <w:p>
      <w:pPr>
        <w:jc w:val="both"/>
        <w:ind w:right="20" w:firstLine="879"/>
        <w:spacing w:after="0" w:line="274" w:lineRule="auto"/>
        <w:rPr>
          <w:sz w:val="20"/>
          <w:szCs w:val="20"/>
          <w:color w:val="auto"/>
        </w:rPr>
      </w:pPr>
      <w:r>
        <w:rPr>
          <w:rFonts w:ascii="Times New Roman" w:cs="Times New Roman" w:eastAsia="Times New Roman" w:hAnsi="Times New Roman"/>
          <w:sz w:val="12"/>
          <w:szCs w:val="12"/>
          <w:b w:val="1"/>
          <w:bCs w:val="1"/>
          <w:color w:val="auto"/>
        </w:rPr>
        <w:t>(v)            </w:t>
      </w:r>
      <w:r>
        <w:rPr>
          <w:rFonts w:ascii="Times New Roman" w:cs="Times New Roman" w:eastAsia="Times New Roman" w:hAnsi="Times New Roman"/>
          <w:sz w:val="12"/>
          <w:szCs w:val="12"/>
          <w:color w:val="auto"/>
        </w:rPr>
        <w:t>To prohibit the exercise of any Option, SAR or other exercisable Award during a period of up to 30 days prior to the consummation of any pending stock dividend, stock split, combination or exchange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14" w:lineRule="exact"/>
        <w:rPr>
          <w:sz w:val="20"/>
          <w:szCs w:val="20"/>
          <w:color w:val="auto"/>
        </w:rPr>
      </w:pPr>
    </w:p>
    <w:p>
      <w:pPr>
        <w:jc w:val="both"/>
        <w:ind w:right="20"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(vi)           </w:t>
      </w:r>
      <w:r>
        <w:rPr>
          <w:rFonts w:ascii="Times New Roman" w:cs="Times New Roman" w:eastAsia="Times New Roman" w:hAnsi="Times New Roman"/>
          <w:sz w:val="12"/>
          <w:szCs w:val="12"/>
          <w:color w:val="auto"/>
        </w:rPr>
        <w:t>To suspend or terminate the Plan at any time. Suspension or termination of the Plan will not Materially Impair rights and obligations under any Award granted while the Plan is in effect except with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written consent of the affected Participant.</w:t>
      </w:r>
    </w:p>
    <w:p>
      <w:pPr>
        <w:spacing w:after="0" w:line="102" w:lineRule="exact"/>
        <w:rPr>
          <w:sz w:val="20"/>
          <w:szCs w:val="20"/>
          <w:color w:val="auto"/>
        </w:rPr>
      </w:pPr>
    </w:p>
    <w:p>
      <w:pPr>
        <w:jc w:val="both"/>
        <w:ind w:firstLine="879"/>
        <w:spacing w:after="0" w:line="274" w:lineRule="auto"/>
        <w:rPr>
          <w:sz w:val="20"/>
          <w:szCs w:val="20"/>
          <w:color w:val="auto"/>
        </w:rPr>
      </w:pPr>
      <w:r>
        <w:rPr>
          <w:rFonts w:ascii="Times New Roman" w:cs="Times New Roman" w:eastAsia="Times New Roman" w:hAnsi="Times New Roman"/>
          <w:sz w:val="12"/>
          <w:szCs w:val="12"/>
          <w:b w:val="1"/>
          <w:bCs w:val="1"/>
          <w:color w:val="auto"/>
        </w:rPr>
        <w:t>(vii)          </w:t>
      </w:r>
      <w:r>
        <w:rPr>
          <w:rFonts w:ascii="Times New Roman" w:cs="Times New Roman" w:eastAsia="Times New Roman" w:hAnsi="Times New Roman"/>
          <w:sz w:val="12"/>
          <w:szCs w:val="12"/>
          <w:color w:val="auto"/>
        </w:rPr>
        <w:t>To amend the Plan in any respect the Board deems necessary or advisable; provided, however</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stockholder approval will be required for any amendment to the extent required by Applicable Law.</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(viii)         </w:t>
      </w:r>
      <w:r>
        <w:rPr>
          <w:rFonts w:ascii="Times New Roman" w:cs="Times New Roman" w:eastAsia="Times New Roman" w:hAnsi="Times New Roman"/>
          <w:sz w:val="12"/>
          <w:szCs w:val="12"/>
          <w:color w:val="auto"/>
        </w:rPr>
        <w:t>To submit any amendment to the Plan for stockholder approval.</w:t>
      </w:r>
    </w:p>
    <w:p>
      <w:pPr>
        <w:spacing w:after="0" w:line="155" w:lineRule="exact"/>
        <w:rPr>
          <w:sz w:val="20"/>
          <w:szCs w:val="20"/>
          <w:color w:val="auto"/>
        </w:rPr>
      </w:pPr>
    </w:p>
    <w:p>
      <w:pPr>
        <w:jc w:val="both"/>
        <w:ind w:firstLine="879"/>
        <w:spacing w:after="0" w:line="274" w:lineRule="auto"/>
        <w:rPr>
          <w:sz w:val="20"/>
          <w:szCs w:val="20"/>
          <w:color w:val="auto"/>
        </w:rPr>
      </w:pPr>
      <w:r>
        <w:rPr>
          <w:rFonts w:ascii="Times New Roman" w:cs="Times New Roman" w:eastAsia="Times New Roman" w:hAnsi="Times New Roman"/>
          <w:sz w:val="12"/>
          <w:szCs w:val="12"/>
          <w:b w:val="1"/>
          <w:bCs w:val="1"/>
          <w:color w:val="auto"/>
        </w:rPr>
        <w:t>(ix)           </w:t>
      </w:r>
      <w:r>
        <w:rPr>
          <w:rFonts w:ascii="Times New Roman" w:cs="Times New Roman" w:eastAsia="Times New Roman" w:hAnsi="Times New Roman"/>
          <w:sz w:val="12"/>
          <w:szCs w:val="12"/>
          <w:color w:val="auto"/>
        </w:rPr>
        <w:t>To approve forms of Award Agreements for use under the Plan and to amend the terms of any one or more Awards, including, but not limited to, amendments to provide terms more favorable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Participant than previously provided in the Award Agreement, subject to any specified limits in the Plan that are not subject to Board discretion;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a Participant’s rights under any Award will not be Materially Impaired by any such amendment unless (1) the Company requests the consent of the affected Participant, and (2) such Participant consents in writing.</w:t>
      </w:r>
    </w:p>
    <w:p>
      <w:pPr>
        <w:spacing w:after="0" w:line="1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(x)            </w:t>
      </w:r>
      <w:r>
        <w:rPr>
          <w:rFonts w:ascii="Times New Roman" w:cs="Times New Roman" w:eastAsia="Times New Roman" w:hAnsi="Times New Roman"/>
          <w:sz w:val="12"/>
          <w:szCs w:val="12"/>
          <w:color w:val="auto"/>
        </w:rPr>
        <w:t>Generally, to exercise such powers and to perform such acts as the Board deems necessary or expedient to promote the best interests of the Company and that are not in conflict with the provisions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Plan or Awards.</w:t>
      </w:r>
    </w:p>
    <w:p>
      <w:pPr>
        <w:spacing w:after="0" w:line="141" w:lineRule="exact"/>
        <w:rPr>
          <w:sz w:val="20"/>
          <w:szCs w:val="20"/>
          <w:color w:val="auto"/>
        </w:rPr>
      </w:pPr>
    </w:p>
    <w:p>
      <w:pPr>
        <w:jc w:val="both"/>
        <w:ind w:firstLine="879"/>
        <w:spacing w:after="0" w:line="274" w:lineRule="auto"/>
        <w:rPr>
          <w:sz w:val="20"/>
          <w:szCs w:val="20"/>
          <w:color w:val="auto"/>
        </w:rPr>
      </w:pPr>
      <w:r>
        <w:rPr>
          <w:rFonts w:ascii="Times New Roman" w:cs="Times New Roman" w:eastAsia="Times New Roman" w:hAnsi="Times New Roman"/>
          <w:sz w:val="12"/>
          <w:szCs w:val="12"/>
          <w:b w:val="1"/>
          <w:bCs w:val="1"/>
          <w:color w:val="auto"/>
        </w:rPr>
        <w:t>(xi)            </w:t>
      </w:r>
      <w:r>
        <w:rPr>
          <w:rFonts w:ascii="Times New Roman" w:cs="Times New Roman" w:eastAsia="Times New Roman" w:hAnsi="Times New Roman"/>
          <w:sz w:val="12"/>
          <w:szCs w:val="12"/>
          <w:color w:val="auto"/>
        </w:rPr>
        <w:t>To adopt such procedures and sub-plans as are necessary or appropriate to permit and facilitate participation in the Plan by, or take advantage of specific tax treatment for Awards granted to, Employees,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2">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70" w:name="page371"/>
    <w:bookmarkEnd w:id="370"/>
    <w:p>
      <w:pPr>
        <w:jc w:val="both"/>
        <w:ind w:left="7" w:firstLine="879"/>
        <w:spacing w:after="0" w:line="268" w:lineRule="auto"/>
        <w:rPr>
          <w:sz w:val="20"/>
          <w:szCs w:val="20"/>
          <w:color w:val="auto"/>
        </w:rPr>
      </w:pPr>
      <w:r>
        <w:rPr>
          <w:rFonts w:ascii="Times New Roman" w:cs="Times New Roman" w:eastAsia="Times New Roman" w:hAnsi="Times New Roman"/>
          <w:sz w:val="12"/>
          <w:szCs w:val="12"/>
          <w:b w:val="1"/>
          <w:bCs w:val="1"/>
          <w:color w:val="auto"/>
        </w:rPr>
        <w:t>(xii)            </w:t>
      </w:r>
      <w:r>
        <w:rPr>
          <w:rFonts w:ascii="Times New Roman" w:cs="Times New Roman" w:eastAsia="Times New Roman" w:hAnsi="Times New Roman"/>
          <w:sz w:val="12"/>
          <w:szCs w:val="12"/>
          <w:color w:val="auto"/>
        </w:rPr>
        <w:t>To effect, at any time and from time to time, subject to the consent of any Participant whose Award is Materially Impaired by such action, (1) the reduction of the exercise price (or strike price) of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116"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12"/>
          <w:szCs w:val="12"/>
          <w:b w:val="1"/>
          <w:bCs w:val="1"/>
          <w:color w:val="auto"/>
        </w:rPr>
        <w:t>(c)            Delegation to Committee.</w:t>
      </w:r>
    </w:p>
    <w:p>
      <w:pPr>
        <w:spacing w:after="0" w:line="155" w:lineRule="exact"/>
        <w:rPr>
          <w:sz w:val="20"/>
          <w:szCs w:val="20"/>
          <w:color w:val="auto"/>
        </w:rPr>
      </w:pPr>
    </w:p>
    <w:p>
      <w:pPr>
        <w:jc w:val="both"/>
        <w:ind w:left="7" w:firstLine="879"/>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(i)            General. </w:t>
      </w:r>
      <w:r>
        <w:rPr>
          <w:rFonts w:ascii="Times New Roman" w:cs="Times New Roman" w:eastAsia="Times New Roman" w:hAnsi="Times New Roman"/>
          <w:sz w:val="12"/>
          <w:szCs w:val="12"/>
          <w:color w:val="auto"/>
        </w:rPr>
        <w:t>The Board may delegate some or all of the administration of the Plan to a Committee or Committees. If administration of the Plan is delegated to a Committee, the Committee will have,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22" w:lineRule="exact"/>
        <w:rPr>
          <w:sz w:val="20"/>
          <w:szCs w:val="20"/>
          <w:color w:val="auto"/>
        </w:rPr>
      </w:pPr>
    </w:p>
    <w:p>
      <w:pPr>
        <w:jc w:val="both"/>
        <w:ind w:left="7" w:firstLine="879"/>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(ii)            Rule 16b-3 Compliance. </w:t>
      </w:r>
      <w:r>
        <w:rPr>
          <w:rFonts w:ascii="Times New Roman" w:cs="Times New Roman" w:eastAsia="Times New Roman" w:hAnsi="Times New Roman"/>
          <w:sz w:val="12"/>
          <w:szCs w:val="12"/>
          <w:color w:val="auto"/>
        </w:rPr>
        <w:t>To the extent an Award is intended to qualify for the exemption from Section 16(b) of the Exchange Act that is available under Rule 16b-3 of the Exchange Act, the Award will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14" w:lineRule="exact"/>
        <w:rPr>
          <w:sz w:val="20"/>
          <w:szCs w:val="20"/>
          <w:color w:val="auto"/>
        </w:rPr>
      </w:pPr>
    </w:p>
    <w:p>
      <w:pPr>
        <w:jc w:val="both"/>
        <w:ind w:left="7"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(d)            Effect of Board’s Decision. </w:t>
      </w:r>
      <w:r>
        <w:rPr>
          <w:rFonts w:ascii="Times New Roman" w:cs="Times New Roman" w:eastAsia="Times New Roman" w:hAnsi="Times New Roman"/>
          <w:sz w:val="12"/>
          <w:szCs w:val="12"/>
          <w:color w:val="auto"/>
        </w:rPr>
        <w:t>All determinations, interpretations and constructions made by the Board or any Committee in good faith will not be subject to review by any person and will be final, binding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conclusive on all persons.</w:t>
      </w:r>
    </w:p>
    <w:p>
      <w:pPr>
        <w:spacing w:after="0" w:line="102"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12"/>
          <w:szCs w:val="12"/>
          <w:b w:val="1"/>
          <w:bCs w:val="1"/>
          <w:color w:val="auto"/>
        </w:rPr>
        <w:t xml:space="preserve">(e)            Delegation to Other Person or Body. </w:t>
      </w:r>
      <w:r>
        <w:rPr>
          <w:rFonts w:ascii="Times New Roman" w:cs="Times New Roman" w:eastAsia="Times New Roman" w:hAnsi="Times New Roman"/>
          <w:sz w:val="12"/>
          <w:szCs w:val="12"/>
          <w:color w:val="auto"/>
        </w:rPr>
        <w:t>The Board or any Committee may delegate to one or more persons or bodies the authority to do one or more of the following to the extent permitted by Applicable Law:</w:t>
      </w:r>
    </w:p>
    <w:p>
      <w:pPr>
        <w:spacing w:after="0" w:line="23" w:lineRule="exact"/>
        <w:rPr>
          <w:sz w:val="20"/>
          <w:szCs w:val="20"/>
          <w:color w:val="auto"/>
        </w:rPr>
      </w:pPr>
    </w:p>
    <w:p>
      <w:pPr>
        <w:jc w:val="both"/>
        <w:ind w:left="7" w:hanging="7"/>
        <w:spacing w:after="0" w:line="258" w:lineRule="auto"/>
        <w:tabs>
          <w:tab w:leader="none" w:pos="155" w:val="left"/>
        </w:tabs>
        <w:numPr>
          <w:ilvl w:val="0"/>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designate recipients, other than Officers, of Awards, provided that no person or body may be delegated authority to grant an Award to themself; (ii) determine the number of shares subject to such Awards; and (iii) determine the terms of such Awards; provided, however,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w:t>
      </w:r>
    </w:p>
    <w:p>
      <w:pPr>
        <w:spacing w:after="0" w:line="27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135" cy="571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93">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655" w:right="29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2"/>
          <w:szCs w:val="12"/>
          <w:b w:val="1"/>
          <w:bCs w:val="1"/>
          <w:color w:val="auto"/>
        </w:rPr>
        <w:t>8.              T</w:t>
      </w:r>
      <w:r>
        <w:rPr>
          <w:rFonts w:ascii="Times New Roman" w:cs="Times New Roman" w:eastAsia="Times New Roman" w:hAnsi="Times New Roman"/>
          <w:sz w:val="8"/>
          <w:szCs w:val="8"/>
          <w:b w:val="1"/>
          <w:bCs w:val="1"/>
          <w:color w:val="auto"/>
        </w:rPr>
        <w:t>ax</w:t>
      </w:r>
      <w:r>
        <w:rPr>
          <w:rFonts w:ascii="Times New Roman" w:cs="Times New Roman" w:eastAsia="Times New Roman" w:hAnsi="Times New Roman"/>
          <w:sz w:val="12"/>
          <w:szCs w:val="12"/>
          <w:b w:val="1"/>
          <w:bCs w:val="1"/>
          <w:color w:val="auto"/>
        </w:rPr>
        <w:t xml:space="preserve"> W</w:t>
      </w:r>
      <w:r>
        <w:rPr>
          <w:rFonts w:ascii="Times New Roman" w:cs="Times New Roman" w:eastAsia="Times New Roman" w:hAnsi="Times New Roman"/>
          <w:sz w:val="8"/>
          <w:szCs w:val="8"/>
          <w:b w:val="1"/>
          <w:bCs w:val="1"/>
          <w:color w:val="auto"/>
        </w:rPr>
        <w:t>ithholding</w:t>
      </w:r>
    </w:p>
    <w:p>
      <w:pPr>
        <w:spacing w:after="0" w:line="15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(a)            Withholding Authorization. </w:t>
      </w:r>
      <w:r>
        <w:rPr>
          <w:rFonts w:ascii="Times New Roman" w:cs="Times New Roman" w:eastAsia="Times New Roman" w:hAnsi="Times New Roman"/>
          <w:sz w:val="12"/>
          <w:szCs w:val="12"/>
          <w:color w:val="auto"/>
        </w:rPr>
        <w:t>As a condition to acceptance of any Award under the Plan, a Participant authorizes withholding from payroll and any other amounts payable to such Participant, and otherwise agrees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make adequate arrangements to satisfy the Tax-Related Items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16"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(b)            Satisfaction of Withholding Obligation. </w:t>
      </w:r>
      <w:r>
        <w:rPr>
          <w:rFonts w:ascii="Times New Roman" w:cs="Times New Roman" w:eastAsia="Times New Roman" w:hAnsi="Times New Roman"/>
          <w:sz w:val="12"/>
          <w:szCs w:val="12"/>
          <w:color w:val="auto"/>
        </w:rPr>
        <w:t>To the extent permitted by the terms of an Award Agreement, the Company may, in its sole discretion, satisfy any Tax-Related Items withholding obligation relating to 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w:t>
      </w:r>
    </w:p>
    <w:p>
      <w:pPr>
        <w:spacing w:after="0" w:line="116"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(c)            No Obligation to Notify or Minimize Taxes; No Liability to Claims. </w:t>
      </w:r>
      <w:r>
        <w:rPr>
          <w:rFonts w:ascii="Times New Roman" w:cs="Times New Roman" w:eastAsia="Times New Roman" w:hAnsi="Times New Roman"/>
          <w:sz w:val="12"/>
          <w:szCs w:val="12"/>
          <w:color w:val="auto"/>
        </w:rPr>
        <w:t>Except as required by Applicable Law, the Company has no duty or obligation to any Participant to advise such holder as to the time or manner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U.S. Internal Revenue Service and there is no other impermissible deferral of compensation associated with the Award. Additionally, as a condition to accepting an Option or SAR granted under the Plan, each Participant agrees to not make any claim against the Company, or any of its Officers, Directors, Employees or Affiliates in the event that the U.S. Internal Revenue Service asserts that such exercise price or strike price is less than the “fair market value” of the Common Stock on the date of grant as subsequently determined by the U.S. Internal Revenue Service.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94">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372" w:name="page373"/>
    <w:bookmarkEnd w:id="372"/>
    <w:p>
      <w:pPr>
        <w:jc w:val="both"/>
        <w:ind w:firstLine="440"/>
        <w:spacing w:after="0" w:line="261" w:lineRule="auto"/>
        <w:rPr>
          <w:sz w:val="20"/>
          <w:szCs w:val="20"/>
          <w:color w:val="auto"/>
        </w:rPr>
      </w:pPr>
      <w:r>
        <w:rPr>
          <w:rFonts w:ascii="Times New Roman" w:cs="Times New Roman" w:eastAsia="Times New Roman" w:hAnsi="Times New Roman"/>
          <w:sz w:val="12"/>
          <w:szCs w:val="12"/>
          <w:b w:val="1"/>
          <w:bCs w:val="1"/>
          <w:color w:val="auto"/>
        </w:rPr>
        <w:t xml:space="preserve">(d)            Withholding Indemnification. </w:t>
      </w:r>
      <w:r>
        <w:rPr>
          <w:rFonts w:ascii="Times New Roman" w:cs="Times New Roman" w:eastAsia="Times New Roman" w:hAnsi="Times New Roman"/>
          <w:sz w:val="12"/>
          <w:szCs w:val="12"/>
          <w:color w:val="auto"/>
        </w:rPr>
        <w:t>The Company and/or its Affiliate may withhold or account for Tax-Related Items by considering statutory or other withholding rates, including minimum or maximum rates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applicable in a Participant’s jurisdiction.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of Common Stock, for tax purposes, the Participant will be deemed to have been issued the full number of shares subject to the Award, notwithstanding that a number of the shares is held back solely for the purpose of paying the Tax-Related Items.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M</w:t>
      </w:r>
      <w:r>
        <w:rPr>
          <w:rFonts w:ascii="Times New Roman" w:cs="Times New Roman" w:eastAsia="Times New Roman" w:hAnsi="Times New Roman"/>
          <w:sz w:val="8"/>
          <w:szCs w:val="8"/>
          <w:b w:val="1"/>
          <w:bCs w:val="1"/>
          <w:color w:val="auto"/>
        </w:rPr>
        <w:t>iscellaneous</w:t>
      </w:r>
      <w:r>
        <w:rPr>
          <w:rFonts w:ascii="Times New Roman" w:cs="Times New Roman" w:eastAsia="Times New Roman" w:hAnsi="Times New Roman"/>
          <w:sz w:val="12"/>
          <w:szCs w:val="12"/>
          <w:b w:val="1"/>
          <w:bCs w:val="1"/>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(a)            Source of Shares. </w:t>
      </w:r>
      <w:r>
        <w:rPr>
          <w:rFonts w:ascii="Times New Roman" w:cs="Times New Roman" w:eastAsia="Times New Roman" w:hAnsi="Times New Roman"/>
          <w:sz w:val="12"/>
          <w:szCs w:val="12"/>
          <w:color w:val="auto"/>
        </w:rPr>
        <w:t>The stock issuable under the Plan will be shares of authorized but unissued or reacquired Common Stock, including shares repurchased by the Company on the open market or otherwise.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(b)            Use of Proceeds from Sales of Common Stock. </w:t>
      </w:r>
      <w:r>
        <w:rPr>
          <w:rFonts w:ascii="Times New Roman" w:cs="Times New Roman" w:eastAsia="Times New Roman" w:hAnsi="Times New Roman"/>
          <w:sz w:val="12"/>
          <w:szCs w:val="12"/>
          <w:color w:val="auto"/>
        </w:rPr>
        <w:t>Proceeds from the sale of shares of Common Stock pursuant to Awards will constitute general funds of the Company.</w:t>
      </w:r>
    </w:p>
    <w:p>
      <w:pPr>
        <w:spacing w:after="0" w:line="155" w:lineRule="exact"/>
        <w:rPr>
          <w:sz w:val="20"/>
          <w:szCs w:val="20"/>
          <w:color w:val="auto"/>
        </w:rPr>
      </w:pPr>
    </w:p>
    <w:p>
      <w:pPr>
        <w:jc w:val="both"/>
        <w:ind w:firstLine="440"/>
        <w:spacing w:after="0" w:line="264" w:lineRule="auto"/>
        <w:rPr>
          <w:sz w:val="20"/>
          <w:szCs w:val="20"/>
          <w:color w:val="auto"/>
        </w:rPr>
      </w:pPr>
      <w:r>
        <w:rPr>
          <w:rFonts w:ascii="Times New Roman" w:cs="Times New Roman" w:eastAsia="Times New Roman" w:hAnsi="Times New Roman"/>
          <w:sz w:val="12"/>
          <w:szCs w:val="12"/>
          <w:b w:val="1"/>
          <w:bCs w:val="1"/>
          <w:color w:val="auto"/>
        </w:rPr>
        <w:t xml:space="preserve">(c)            Corporate Action Constituting Grant of Awards. </w:t>
      </w:r>
      <w:r>
        <w:rPr>
          <w:rFonts w:ascii="Times New Roman" w:cs="Times New Roman" w:eastAsia="Times New Roman" w:hAnsi="Times New Roman"/>
          <w:sz w:val="12"/>
          <w:szCs w:val="12"/>
          <w:color w:val="auto"/>
        </w:rPr>
        <w:t>Corporate action constituting a grant by the Company of an Award to any Participant will be deemed completed as of the date of such corporate action, unless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20" w:lineRule="exact"/>
        <w:rPr>
          <w:sz w:val="20"/>
          <w:szCs w:val="20"/>
          <w:color w:val="auto"/>
        </w:rPr>
      </w:pPr>
    </w:p>
    <w:p>
      <w:pPr>
        <w:jc w:val="both"/>
        <w:ind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(d)            Stockholder Rights. </w:t>
      </w:r>
      <w:r>
        <w:rPr>
          <w:rFonts w:ascii="Times New Roman" w:cs="Times New Roman" w:eastAsia="Times New Roman" w:hAnsi="Times New Roman"/>
          <w:sz w:val="12"/>
          <w:szCs w:val="12"/>
          <w:color w:val="auto"/>
        </w:rPr>
        <w:t>No Participant will be deemed to be the holder of, or to have any of the rights of a holder with respect to, any shares of Common Stock subject to such Award unless and until (i) such Participant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has satisfied all requirements for exercise of the Award pursuant to its terms, if applicable, and (ii) the issuance of the Common Stock subject to such Award is reflected in the records of the Company.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95">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373" w:name="page374"/>
    <w:bookmarkEnd w:id="373"/>
    <w:p>
      <w:pPr>
        <w:jc w:val="both"/>
        <w:ind w:firstLine="440"/>
        <w:spacing w:after="0" w:line="261" w:lineRule="auto"/>
        <w:rPr>
          <w:sz w:val="20"/>
          <w:szCs w:val="20"/>
          <w:color w:val="auto"/>
        </w:rPr>
      </w:pPr>
      <w:r>
        <w:rPr>
          <w:rFonts w:ascii="Times New Roman" w:cs="Times New Roman" w:eastAsia="Times New Roman" w:hAnsi="Times New Roman"/>
          <w:sz w:val="12"/>
          <w:szCs w:val="12"/>
          <w:b w:val="1"/>
          <w:bCs w:val="1"/>
          <w:color w:val="auto"/>
        </w:rPr>
        <w:t xml:space="preserve">(e)            No Employment or Other Service Rights. </w:t>
      </w:r>
      <w:r>
        <w:rPr>
          <w:rFonts w:ascii="Times New Roman" w:cs="Times New Roman" w:eastAsia="Times New Roman" w:hAnsi="Times New Roman"/>
          <w:sz w:val="12"/>
          <w:szCs w:val="12"/>
          <w:color w:val="auto"/>
        </w:rPr>
        <w:t>Nothing in the Plan, any Award Agreement or any other instrument executed thereunder or in connection with any Award granted pursuant thereto will confer upon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22" w:lineRule="exact"/>
        <w:rPr>
          <w:sz w:val="20"/>
          <w:szCs w:val="20"/>
          <w:color w:val="auto"/>
        </w:rPr>
      </w:pPr>
    </w:p>
    <w:p>
      <w:pPr>
        <w:jc w:val="both"/>
        <w:ind w:firstLine="440"/>
        <w:spacing w:after="0" w:line="264" w:lineRule="auto"/>
        <w:rPr>
          <w:sz w:val="20"/>
          <w:szCs w:val="20"/>
          <w:color w:val="auto"/>
        </w:rPr>
      </w:pPr>
      <w:r>
        <w:rPr>
          <w:rFonts w:ascii="Times New Roman" w:cs="Times New Roman" w:eastAsia="Times New Roman" w:hAnsi="Times New Roman"/>
          <w:sz w:val="12"/>
          <w:szCs w:val="12"/>
          <w:b w:val="1"/>
          <w:bCs w:val="1"/>
          <w:color w:val="auto"/>
        </w:rPr>
        <w:t xml:space="preserve">(f)            Change in Time Commitment. </w:t>
      </w:r>
      <w:r>
        <w:rPr>
          <w:rFonts w:ascii="Times New Roman" w:cs="Times New Roman" w:eastAsia="Times New Roman" w:hAnsi="Times New Roman"/>
          <w:sz w:val="12"/>
          <w:szCs w:val="12"/>
          <w:color w:val="auto"/>
        </w:rPr>
        <w:t>In the event a Participant’s regular level of time commitment in the performance of his or her services for the Company and any Affiliates is reduced (for example, and without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20" w:lineRule="exact"/>
        <w:rPr>
          <w:sz w:val="20"/>
          <w:szCs w:val="20"/>
          <w:color w:val="auto"/>
        </w:rPr>
      </w:pPr>
    </w:p>
    <w:p>
      <w:pPr>
        <w:jc w:val="both"/>
        <w:ind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(g)            Execution of Additional Documents. </w:t>
      </w:r>
      <w:r>
        <w:rPr>
          <w:rFonts w:ascii="Times New Roman" w:cs="Times New Roman" w:eastAsia="Times New Roman" w:hAnsi="Times New Roman"/>
          <w:sz w:val="12"/>
          <w:szCs w:val="12"/>
          <w:color w:val="auto"/>
        </w:rPr>
        <w:t>As a condition to accepting an Award under the Plan, the Participant agrees to execute any additional documents or instruments necessary or desirable, as determined in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Plan Administrator’s sole discretion, to carry out the purposes or intent of the Award, or facilitate compliance with securities and/or other regulatory requirements, in each case at the Plan Administrator’s request.</w:t>
      </w:r>
    </w:p>
    <w:p>
      <w:pPr>
        <w:spacing w:after="0" w:line="102"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(h)            Electronic Delivery and Participation. </w:t>
      </w:r>
      <w:r>
        <w:rPr>
          <w:rFonts w:ascii="Times New Roman" w:cs="Times New Roman" w:eastAsia="Times New Roman" w:hAnsi="Times New Roman"/>
          <w:sz w:val="12"/>
          <w:szCs w:val="12"/>
          <w:color w:val="auto"/>
        </w:rPr>
        <w:t>Any reference herein or in an Award Agreement to a “written” agreement or document will include any agreement or document delivered electronically, filed publicly 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96">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74" w:name="page375"/>
    <w:bookmarkEnd w:id="374"/>
    <w:p>
      <w:pPr>
        <w:jc w:val="both"/>
        <w:ind w:firstLine="440"/>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(i)             Clawback/Recovery. </w:t>
      </w:r>
      <w:r>
        <w:rPr>
          <w:rFonts w:ascii="Times New Roman" w:cs="Times New Roman" w:eastAsia="Times New Roman" w:hAnsi="Times New Roman"/>
          <w:sz w:val="12"/>
          <w:szCs w:val="12"/>
          <w:color w:val="auto"/>
        </w:rPr>
        <w:t>All Awards granted under the Plan will be subject to recoupment in accordance with any clawback policy that the Company is required to adopt pursuant to the listing standards of any national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22" w:lineRule="exact"/>
        <w:rPr>
          <w:sz w:val="20"/>
          <w:szCs w:val="20"/>
          <w:color w:val="auto"/>
        </w:rPr>
      </w:pPr>
    </w:p>
    <w:p>
      <w:pPr>
        <w:jc w:val="both"/>
        <w:ind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(j)             Securities Law Compliance. </w:t>
      </w:r>
      <w:r>
        <w:rPr>
          <w:rFonts w:ascii="Times New Roman" w:cs="Times New Roman" w:eastAsia="Times New Roman" w:hAnsi="Times New Roman"/>
          <w:sz w:val="12"/>
          <w:szCs w:val="12"/>
          <w:color w:val="auto"/>
        </w:rPr>
        <w:t>A Participant will not be issued any shares in respect of an Award unless either (i) the shares are registered under the Securities Act or (ii) the Company has determined that such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14" w:lineRule="exact"/>
        <w:rPr>
          <w:sz w:val="20"/>
          <w:szCs w:val="20"/>
          <w:color w:val="auto"/>
        </w:rPr>
      </w:pPr>
    </w:p>
    <w:p>
      <w:pPr>
        <w:jc w:val="both"/>
        <w:ind w:right="20"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(k)            Transfer or Assignment of Awards; Issued Shares. </w:t>
      </w:r>
      <w:r>
        <w:rPr>
          <w:rFonts w:ascii="Times New Roman" w:cs="Times New Roman" w:eastAsia="Times New Roman" w:hAnsi="Times New Roman"/>
          <w:sz w:val="12"/>
          <w:szCs w:val="12"/>
          <w:color w:val="auto"/>
        </w:rPr>
        <w:t>Except as expressly provided in the Plan or the form of Award Agreement, Awards granted under the Plan may not be transferred or assigned by the Participant.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14" w:lineRule="exact"/>
        <w:rPr>
          <w:sz w:val="20"/>
          <w:szCs w:val="20"/>
          <w:color w:val="auto"/>
        </w:rPr>
      </w:pPr>
    </w:p>
    <w:p>
      <w:pPr>
        <w:jc w:val="both"/>
        <w:ind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(l)            Effect on Other Employee Benefit Plans. </w:t>
      </w:r>
      <w:r>
        <w:rPr>
          <w:rFonts w:ascii="Times New Roman" w:cs="Times New Roman" w:eastAsia="Times New Roman" w:hAnsi="Times New Roman"/>
          <w:sz w:val="12"/>
          <w:szCs w:val="12"/>
          <w:color w:val="auto"/>
        </w:rPr>
        <w:t>The value of any Award granted under the Plan, as determined upon grant, vesting or settlement, shall not be included as compensation, earnings, salaries, or other similar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14" w:lineRule="exact"/>
        <w:rPr>
          <w:sz w:val="20"/>
          <w:szCs w:val="20"/>
          <w:color w:val="auto"/>
        </w:rPr>
      </w:pPr>
    </w:p>
    <w:p>
      <w:pPr>
        <w:jc w:val="both"/>
        <w:ind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(m)            Deferrals. </w:t>
      </w:r>
      <w:r>
        <w:rPr>
          <w:rFonts w:ascii="Times New Roman" w:cs="Times New Roman" w:eastAsia="Times New Roman" w:hAnsi="Times New Roman"/>
          <w:sz w:val="12"/>
          <w:szCs w:val="12"/>
          <w:color w:val="auto"/>
        </w:rPr>
        <w:t>To the extent permitted by Applicable Law, the Board, in its sole discretion, may determine that the delivery of Common Stock or the payment of cash, upon the exercise, vesting or settlement of all or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portion of any Award may be deferred and may also establish programs and procedures for deferral elections to be made by Participants. Deferrals will be made in accordance with the requirements of Section 409A.</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7">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75" w:name="page376"/>
    <w:bookmarkEnd w:id="375"/>
    <w:p>
      <w:pPr>
        <w:jc w:val="both"/>
        <w:ind w:firstLine="440"/>
        <w:spacing w:after="0" w:line="260" w:lineRule="auto"/>
        <w:rPr>
          <w:sz w:val="20"/>
          <w:szCs w:val="20"/>
          <w:color w:val="auto"/>
        </w:rPr>
      </w:pPr>
      <w:r>
        <w:rPr>
          <w:rFonts w:ascii="Times New Roman" w:cs="Times New Roman" w:eastAsia="Times New Roman" w:hAnsi="Times New Roman"/>
          <w:sz w:val="12"/>
          <w:szCs w:val="12"/>
          <w:b w:val="1"/>
          <w:bCs w:val="1"/>
          <w:color w:val="auto"/>
        </w:rPr>
        <w:t xml:space="preserve">(n)            Section 409A. </w:t>
      </w:r>
      <w:r>
        <w:rPr>
          <w:rFonts w:ascii="Times New Roman" w:cs="Times New Roman" w:eastAsia="Times New Roman" w:hAnsi="Times New Roman"/>
          <w:sz w:val="12"/>
          <w:szCs w:val="12"/>
          <w:color w:val="auto"/>
        </w:rPr>
        <w:t>Unless otherwise expressly provided for in an Award Agreement, the Plan and Award Agreements will be interpreted to the greatest extent possible in a manner that makes the Plan and the Awards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23" w:lineRule="exact"/>
        <w:rPr>
          <w:sz w:val="20"/>
          <w:szCs w:val="20"/>
          <w:color w:val="auto"/>
        </w:rPr>
      </w:pPr>
    </w:p>
    <w:p>
      <w:pPr>
        <w:jc w:val="both"/>
        <w:ind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(o)            Choice of Law. </w:t>
      </w:r>
      <w:r>
        <w:rPr>
          <w:rFonts w:ascii="Times New Roman" w:cs="Times New Roman" w:eastAsia="Times New Roman" w:hAnsi="Times New Roman"/>
          <w:sz w:val="12"/>
          <w:szCs w:val="12"/>
          <w:color w:val="auto"/>
        </w:rPr>
        <w:t>This Plan and any controversy arising out of or relating to this Plan shall be governed by, and construed in accordance with, the internal laws of the State of Delaware, without regard to conflict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law principles that would result in any application of any law other than the law of the State of Delaware.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            C</w:t>
      </w:r>
      <w:r>
        <w:rPr>
          <w:rFonts w:ascii="Times New Roman" w:cs="Times New Roman" w:eastAsia="Times New Roman" w:hAnsi="Times New Roman"/>
          <w:sz w:val="8"/>
          <w:szCs w:val="8"/>
          <w:b w:val="1"/>
          <w:bCs w:val="1"/>
          <w:color w:val="auto"/>
        </w:rPr>
        <w:t>ovenants of the</w:t>
      </w:r>
      <w:r>
        <w:rPr>
          <w:rFonts w:ascii="Times New Roman" w:cs="Times New Roman" w:eastAsia="Times New Roman" w:hAnsi="Times New Roman"/>
          <w:sz w:val="12"/>
          <w:szCs w:val="12"/>
          <w:b w:val="1"/>
          <w:bCs w:val="1"/>
          <w:color w:val="auto"/>
        </w:rPr>
        <w:t xml:space="preserve"> C</w:t>
      </w:r>
      <w:r>
        <w:rPr>
          <w:rFonts w:ascii="Times New Roman" w:cs="Times New Roman" w:eastAsia="Times New Roman" w:hAnsi="Times New Roman"/>
          <w:sz w:val="8"/>
          <w:szCs w:val="8"/>
          <w:b w:val="1"/>
          <w:bCs w:val="1"/>
          <w:color w:val="auto"/>
        </w:rPr>
        <w:t>ompany</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jc w:val="both"/>
        <w:ind w:firstLine="440"/>
        <w:spacing w:after="0" w:line="263" w:lineRule="auto"/>
        <w:rPr>
          <w:sz w:val="20"/>
          <w:szCs w:val="20"/>
          <w:color w:val="auto"/>
        </w:rPr>
      </w:pPr>
      <w:r>
        <w:rPr>
          <w:rFonts w:ascii="Times New Roman" w:cs="Times New Roman" w:eastAsia="Times New Roman" w:hAnsi="Times New Roman"/>
          <w:sz w:val="12"/>
          <w:szCs w:val="12"/>
          <w:color w:val="auto"/>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A</w:t>
      </w:r>
      <w:r>
        <w:rPr>
          <w:rFonts w:ascii="Times New Roman" w:cs="Times New Roman" w:eastAsia="Times New Roman" w:hAnsi="Times New Roman"/>
          <w:sz w:val="8"/>
          <w:szCs w:val="8"/>
          <w:b w:val="1"/>
          <w:bCs w:val="1"/>
          <w:color w:val="auto"/>
        </w:rPr>
        <w:t>dditional</w:t>
      </w:r>
      <w:r>
        <w:rPr>
          <w:rFonts w:ascii="Times New Roman" w:cs="Times New Roman" w:eastAsia="Times New Roman" w:hAnsi="Times New Roman"/>
          <w:sz w:val="12"/>
          <w:szCs w:val="12"/>
          <w:b w:val="1"/>
          <w:bCs w:val="1"/>
          <w:color w:val="auto"/>
        </w:rPr>
        <w:t xml:space="preserve"> R</w:t>
      </w:r>
      <w:r>
        <w:rPr>
          <w:rFonts w:ascii="Times New Roman" w:cs="Times New Roman" w:eastAsia="Times New Roman" w:hAnsi="Times New Roman"/>
          <w:sz w:val="8"/>
          <w:szCs w:val="8"/>
          <w:b w:val="1"/>
          <w:bCs w:val="1"/>
          <w:color w:val="auto"/>
        </w:rPr>
        <w:t>ules for</w:t>
      </w:r>
      <w:r>
        <w:rPr>
          <w:rFonts w:ascii="Times New Roman" w:cs="Times New Roman" w:eastAsia="Times New Roman" w:hAnsi="Times New Roman"/>
          <w:sz w:val="12"/>
          <w:szCs w:val="12"/>
          <w:b w:val="1"/>
          <w:bCs w:val="1"/>
          <w:color w:val="auto"/>
        </w:rPr>
        <w:t xml:space="preserve"> A</w:t>
      </w:r>
      <w:r>
        <w:rPr>
          <w:rFonts w:ascii="Times New Roman" w:cs="Times New Roman" w:eastAsia="Times New Roman" w:hAnsi="Times New Roman"/>
          <w:sz w:val="8"/>
          <w:szCs w:val="8"/>
          <w:b w:val="1"/>
          <w:bCs w:val="1"/>
          <w:color w:val="auto"/>
        </w:rPr>
        <w:t>wards</w:t>
      </w:r>
      <w:r>
        <w:rPr>
          <w:rFonts w:ascii="Times New Roman" w:cs="Times New Roman" w:eastAsia="Times New Roman" w:hAnsi="Times New Roman"/>
          <w:sz w:val="12"/>
          <w:szCs w:val="12"/>
          <w:b w:val="1"/>
          <w:bCs w:val="1"/>
          <w:color w:val="auto"/>
        </w:rPr>
        <w:t xml:space="preserve"> S</w:t>
      </w:r>
      <w:r>
        <w:rPr>
          <w:rFonts w:ascii="Times New Roman" w:cs="Times New Roman" w:eastAsia="Times New Roman" w:hAnsi="Times New Roman"/>
          <w:sz w:val="8"/>
          <w:szCs w:val="8"/>
          <w:b w:val="1"/>
          <w:bCs w:val="1"/>
          <w:color w:val="auto"/>
        </w:rPr>
        <w:t>ubject to</w:t>
      </w:r>
      <w:r>
        <w:rPr>
          <w:rFonts w:ascii="Times New Roman" w:cs="Times New Roman" w:eastAsia="Times New Roman" w:hAnsi="Times New Roman"/>
          <w:sz w:val="12"/>
          <w:szCs w:val="12"/>
          <w:b w:val="1"/>
          <w:bCs w:val="1"/>
          <w:color w:val="auto"/>
        </w:rPr>
        <w:t xml:space="preserve"> S</w:t>
      </w:r>
      <w:r>
        <w:rPr>
          <w:rFonts w:ascii="Times New Roman" w:cs="Times New Roman" w:eastAsia="Times New Roman" w:hAnsi="Times New Roman"/>
          <w:sz w:val="8"/>
          <w:szCs w:val="8"/>
          <w:b w:val="1"/>
          <w:bCs w:val="1"/>
          <w:color w:val="auto"/>
        </w:rPr>
        <w:t>ection</w:t>
      </w:r>
      <w:r>
        <w:rPr>
          <w:rFonts w:ascii="Times New Roman" w:cs="Times New Roman" w:eastAsia="Times New Roman" w:hAnsi="Times New Roman"/>
          <w:sz w:val="12"/>
          <w:szCs w:val="12"/>
          <w:b w:val="1"/>
          <w:bCs w:val="1"/>
          <w:color w:val="auto"/>
        </w:rPr>
        <w:t xml:space="preserve"> 409A.</w:t>
      </w:r>
    </w:p>
    <w:p>
      <w:pPr>
        <w:spacing w:after="0" w:line="155" w:lineRule="exact"/>
        <w:rPr>
          <w:sz w:val="20"/>
          <w:szCs w:val="20"/>
          <w:color w:val="auto"/>
        </w:rPr>
      </w:pPr>
    </w:p>
    <w:p>
      <w:pPr>
        <w:jc w:val="both"/>
        <w:ind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(a)            Application. </w:t>
      </w:r>
      <w:r>
        <w:rPr>
          <w:rFonts w:ascii="Times New Roman" w:cs="Times New Roman" w:eastAsia="Times New Roman" w:hAnsi="Times New Roman"/>
          <w:sz w:val="12"/>
          <w:szCs w:val="12"/>
          <w:color w:val="auto"/>
        </w:rPr>
        <w:t>Unless the provisions of this Section of the Plan are expressly superseded by the provisions in the form of Award Agreement, the provisions of this Section shall apply and shall supersede anything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contrary set forth in the Award Agreement for a Non-Exempt Award.</w:t>
      </w:r>
    </w:p>
    <w:p>
      <w:pPr>
        <w:spacing w:after="0" w:line="102" w:lineRule="exact"/>
        <w:rPr>
          <w:sz w:val="20"/>
          <w:szCs w:val="20"/>
          <w:color w:val="auto"/>
        </w:rPr>
      </w:pPr>
    </w:p>
    <w:p>
      <w:pPr>
        <w:jc w:val="both"/>
        <w:ind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(b)            Non-Exempt Awards Subject to Non-Exempt Severance Arrangements. </w:t>
      </w:r>
      <w:r>
        <w:rPr>
          <w:rFonts w:ascii="Times New Roman" w:cs="Times New Roman" w:eastAsia="Times New Roman" w:hAnsi="Times New Roman"/>
          <w:sz w:val="12"/>
          <w:szCs w:val="12"/>
          <w:color w:val="auto"/>
        </w:rPr>
        <w:t>To the extent a Non-Exempt Award is subject to Section 409A due to application of a Non-Exempt Severance Arrangement, the following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provisions of this subsection (b) apply.</w:t>
      </w:r>
    </w:p>
    <w:p>
      <w:pPr>
        <w:spacing w:after="0" w:line="102" w:lineRule="exact"/>
        <w:rPr>
          <w:sz w:val="20"/>
          <w:szCs w:val="20"/>
          <w:color w:val="auto"/>
        </w:rPr>
      </w:pPr>
    </w:p>
    <w:p>
      <w:pPr>
        <w:jc w:val="both"/>
        <w:ind w:firstLine="879"/>
        <w:spacing w:after="0" w:line="238" w:lineRule="auto"/>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If the Non-Exempt Award vests in the ordinary course during the Participant’s Continuous Service in accordance with the vesting schedule set forth in the Award Agreement, and does not accelerate vesting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2"/>
          <w:szCs w:val="12"/>
          <w:color w:val="auto"/>
        </w:rPr>
        <w:t xml:space="preserve"> of the calendar year that includes the applicable vesting date; or (ii)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2"/>
          <w:szCs w:val="12"/>
          <w:color w:val="auto"/>
        </w:rPr>
        <w:t xml:space="preserve"> day that follows the applicable vesting date.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8">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76" w:name="page377"/>
    <w:bookmarkEnd w:id="376"/>
    <w:p>
      <w:pPr>
        <w:ind w:left="7" w:right="20" w:firstLine="879"/>
        <w:spacing w:after="0" w:line="267" w:lineRule="auto"/>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If vesting of the Non-Exempt Award accelerates under the terms of a Non-Exempt Severance Arrangement in connection with the Participant’s Separation from Service, and such vesting acceleration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provisions were in effect as of the date of grant of the Non-Exempt Award and, therefore, are part of the terms of such Non-Exempt Award as of the date of grant, then the shares will be earlier issued in settlement of such Non-</w:t>
      </w:r>
    </w:p>
    <w:p>
      <w:pPr>
        <w:jc w:val="both"/>
        <w:ind w:left="7"/>
        <w:spacing w:after="0" w:line="209" w:lineRule="auto"/>
        <w:rPr>
          <w:sz w:val="20"/>
          <w:szCs w:val="20"/>
          <w:color w:val="auto"/>
        </w:rPr>
      </w:pPr>
      <w:r>
        <w:rPr>
          <w:rFonts w:ascii="Times New Roman" w:cs="Times New Roman" w:eastAsia="Times New Roman" w:hAnsi="Times New Roman"/>
          <w:sz w:val="12"/>
          <w:szCs w:val="12"/>
          <w:color w:val="auto"/>
        </w:rPr>
        <w:t>Exempt Award upon the Participant’s Separation from Service in accordance with the terms of the Non-Exempt Severance Arrangement, but in no event later than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2"/>
          <w:szCs w:val="12"/>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w:t>
      </w:r>
    </w:p>
    <w:p>
      <w:pPr>
        <w:ind w:left="7" w:hanging="7"/>
        <w:spacing w:after="0" w:line="254" w:lineRule="auto"/>
        <w:tabs>
          <w:tab w:leader="none" w:pos="158"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Code, such shares shall not be issued before the date that is six months following the date of such Participant’s Separation from Service, or, if earlier, the date of the Participant’s death that occurs within such six-month period.</w:t>
      </w:r>
    </w:p>
    <w:p>
      <w:pPr>
        <w:spacing w:after="0" w:line="279" w:lineRule="exact"/>
        <w:rPr>
          <w:sz w:val="20"/>
          <w:szCs w:val="20"/>
          <w:color w:val="auto"/>
        </w:rPr>
      </w:pPr>
    </w:p>
    <w:p>
      <w:pPr>
        <w:jc w:val="both"/>
        <w:ind w:left="7" w:firstLine="879"/>
        <w:spacing w:after="0" w:line="264" w:lineRule="auto"/>
        <w:rPr>
          <w:sz w:val="20"/>
          <w:szCs w:val="20"/>
          <w:color w:val="auto"/>
        </w:rPr>
      </w:pPr>
      <w:r>
        <w:rPr>
          <w:rFonts w:ascii="Times New Roman" w:cs="Times New Roman" w:eastAsia="Times New Roman" w:hAnsi="Times New Roman"/>
          <w:sz w:val="12"/>
          <w:szCs w:val="12"/>
          <w:b w:val="1"/>
          <w:bCs w:val="1"/>
          <w:color w:val="auto"/>
        </w:rPr>
        <w:t>(iii)         </w:t>
      </w:r>
      <w:r>
        <w:rPr>
          <w:rFonts w:ascii="Times New Roman" w:cs="Times New Roman" w:eastAsia="Times New Roman" w:hAnsi="Times New Roman"/>
          <w:sz w:val="12"/>
          <w:szCs w:val="12"/>
          <w:color w:val="auto"/>
        </w:rPr>
        <w:t>If vesting of a Non-Exempt Award accelerates under the terms of a Non-Exempt Severance Arrangement in connection with a Participant’s Separation from Service, and such vesting acceleration provisions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U.S. Treasury Regulations Section 1.409A-3(a)(4).</w:t>
      </w:r>
    </w:p>
    <w:p>
      <w:pPr>
        <w:spacing w:after="0" w:line="120" w:lineRule="exact"/>
        <w:rPr>
          <w:sz w:val="20"/>
          <w:szCs w:val="20"/>
          <w:color w:val="auto"/>
        </w:rPr>
      </w:pPr>
    </w:p>
    <w:p>
      <w:pPr>
        <w:jc w:val="both"/>
        <w:ind w:left="7" w:right="20" w:firstLine="4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            Treatment of Non-Exempt Awards Upon a Corporate Transaction for Employees and Consultants. </w:t>
      </w:r>
      <w:r>
        <w:rPr>
          <w:rFonts w:ascii="Times New Roman" w:cs="Times New Roman" w:eastAsia="Times New Roman" w:hAnsi="Times New Roman"/>
          <w:sz w:val="12"/>
          <w:szCs w:val="12"/>
          <w:color w:val="auto"/>
        </w:rPr>
        <w:t>The provisions of this subsection (c) shall apply and shall supersede anything to the contrary set forth in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Plan with respect to the permitted treatment of any Non-Exempt Award in connection with a Corporate Transaction if the Participant was either an Employee or Consultant upon the applicable date of grant of the Non-Exempt Award.</w:t>
      </w:r>
    </w:p>
    <w:p>
      <w:pPr>
        <w:spacing w:after="0" w:line="257"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2"/>
          <w:szCs w:val="12"/>
          <w:b w:val="1"/>
          <w:bCs w:val="1"/>
          <w:color w:val="auto"/>
        </w:rPr>
        <w:t xml:space="preserve">(i)            Vested Non-Exempt Awards. </w:t>
      </w:r>
      <w:r>
        <w:rPr>
          <w:rFonts w:ascii="Times New Roman" w:cs="Times New Roman" w:eastAsia="Times New Roman" w:hAnsi="Times New Roman"/>
          <w:sz w:val="12"/>
          <w:szCs w:val="12"/>
          <w:color w:val="auto"/>
        </w:rPr>
        <w:t>The following provisions shall apply to any Vested Non-Exempt Award in connection with a Corporate Transaction:</w:t>
      </w:r>
    </w:p>
    <w:p>
      <w:pPr>
        <w:spacing w:after="0" w:line="155" w:lineRule="exact"/>
        <w:rPr>
          <w:sz w:val="20"/>
          <w:szCs w:val="20"/>
          <w:color w:val="auto"/>
        </w:rPr>
      </w:pPr>
    </w:p>
    <w:p>
      <w:pPr>
        <w:jc w:val="both"/>
        <w:ind w:left="7" w:firstLine="1319"/>
        <w:spacing w:after="0" w:line="274" w:lineRule="auto"/>
        <w:rPr>
          <w:sz w:val="20"/>
          <w:szCs w:val="20"/>
          <w:color w:val="auto"/>
        </w:rPr>
      </w:pPr>
      <w:r>
        <w:rPr>
          <w:rFonts w:ascii="Times New Roman" w:cs="Times New Roman" w:eastAsia="Times New Roman" w:hAnsi="Times New Roman"/>
          <w:sz w:val="12"/>
          <w:szCs w:val="12"/>
          <w:b w:val="1"/>
          <w:bCs w:val="1"/>
          <w:color w:val="auto"/>
        </w:rPr>
        <w:t>(1)            </w:t>
      </w:r>
      <w:r>
        <w:rPr>
          <w:rFonts w:ascii="Times New Roman" w:cs="Times New Roman" w:eastAsia="Times New Roman" w:hAnsi="Times New Roman"/>
          <w:sz w:val="12"/>
          <w:szCs w:val="12"/>
          <w:color w:val="auto"/>
        </w:rPr>
        <w:t>If the Corporate Transaction is also a Section 409A Change in Control then the Acquiring Entity may not assume, continue or substitute the Vested Non-Exempt Award. Upon the Section 409A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14" w:lineRule="exact"/>
        <w:rPr>
          <w:sz w:val="20"/>
          <w:szCs w:val="20"/>
          <w:color w:val="auto"/>
        </w:rPr>
      </w:pPr>
    </w:p>
    <w:p>
      <w:pPr>
        <w:jc w:val="both"/>
        <w:ind w:left="7" w:right="20" w:firstLine="1319"/>
        <w:spacing w:after="0" w:line="268" w:lineRule="auto"/>
        <w:rPr>
          <w:sz w:val="20"/>
          <w:szCs w:val="20"/>
          <w:color w:val="auto"/>
        </w:rPr>
      </w:pPr>
      <w:r>
        <w:rPr>
          <w:rFonts w:ascii="Times New Roman" w:cs="Times New Roman" w:eastAsia="Times New Roman" w:hAnsi="Times New Roman"/>
          <w:sz w:val="12"/>
          <w:szCs w:val="12"/>
          <w:b w:val="1"/>
          <w:bCs w:val="1"/>
          <w:color w:val="auto"/>
        </w:rPr>
        <w:t>(2)            </w:t>
      </w:r>
      <w:r>
        <w:rPr>
          <w:rFonts w:ascii="Times New Roman" w:cs="Times New Roman" w:eastAsia="Times New Roman" w:hAnsi="Times New Roman"/>
          <w:sz w:val="12"/>
          <w:szCs w:val="12"/>
          <w:color w:val="auto"/>
        </w:rPr>
        <w:t>If the Corporate Transaction is not also a Section 409A Change in Control, then the Acquiring Entity must either assume, continue or substitute each Vested Non-Exempt Award. The shares to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26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135" cy="571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9">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656" w:right="299" w:bottom="1440" w:gutter="0" w:footer="0" w:header="0"/>
        </w:sectPr>
      </w:pPr>
    </w:p>
    <w:bookmarkStart w:id="377" w:name="page378"/>
    <w:bookmarkEnd w:id="377"/>
    <w:p>
      <w:pPr>
        <w:ind w:left="880"/>
        <w:spacing w:after="0"/>
        <w:rPr>
          <w:sz w:val="20"/>
          <w:szCs w:val="20"/>
          <w:color w:val="auto"/>
        </w:rPr>
      </w:pPr>
      <w:r>
        <w:rPr>
          <w:rFonts w:ascii="Times New Roman" w:cs="Times New Roman" w:eastAsia="Times New Roman" w:hAnsi="Times New Roman"/>
          <w:sz w:val="12"/>
          <w:szCs w:val="12"/>
          <w:b w:val="1"/>
          <w:bCs w:val="1"/>
          <w:color w:val="auto"/>
        </w:rPr>
        <w:t xml:space="preserve">(ii)           Unvested Non-Exempt Awards. </w:t>
      </w:r>
      <w:r>
        <w:rPr>
          <w:rFonts w:ascii="Times New Roman" w:cs="Times New Roman" w:eastAsia="Times New Roman" w:hAnsi="Times New Roman"/>
          <w:sz w:val="12"/>
          <w:szCs w:val="12"/>
          <w:color w:val="auto"/>
        </w:rPr>
        <w:t>The following provisions shall apply to any Unvested Non-Exempt Award unless otherwise determined by the Board pursuant to subsection (e) of this Section.</w:t>
      </w:r>
    </w:p>
    <w:p>
      <w:pPr>
        <w:spacing w:after="0" w:line="155" w:lineRule="exact"/>
        <w:rPr>
          <w:sz w:val="20"/>
          <w:szCs w:val="20"/>
          <w:color w:val="auto"/>
        </w:rPr>
      </w:pPr>
    </w:p>
    <w:p>
      <w:pPr>
        <w:jc w:val="both"/>
        <w:ind w:firstLine="1319"/>
        <w:spacing w:after="0" w:line="264" w:lineRule="auto"/>
        <w:rPr>
          <w:sz w:val="20"/>
          <w:szCs w:val="20"/>
          <w:color w:val="auto"/>
        </w:rPr>
      </w:pPr>
      <w:r>
        <w:rPr>
          <w:rFonts w:ascii="Times New Roman" w:cs="Times New Roman" w:eastAsia="Times New Roman" w:hAnsi="Times New Roman"/>
          <w:sz w:val="12"/>
          <w:szCs w:val="12"/>
          <w:b w:val="1"/>
          <w:bCs w:val="1"/>
          <w:color w:val="auto"/>
        </w:rPr>
        <w:t>(1)            </w:t>
      </w:r>
      <w:r>
        <w:rPr>
          <w:rFonts w:ascii="Times New Roman" w:cs="Times New Roman" w:eastAsia="Times New Roman" w:hAnsi="Times New Roman"/>
          <w:sz w:val="12"/>
          <w:szCs w:val="12"/>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20" w:lineRule="exact"/>
        <w:rPr>
          <w:sz w:val="20"/>
          <w:szCs w:val="20"/>
          <w:color w:val="auto"/>
        </w:rPr>
      </w:pPr>
    </w:p>
    <w:p>
      <w:pPr>
        <w:jc w:val="both"/>
        <w:ind w:firstLine="1319"/>
        <w:spacing w:after="0" w:line="263" w:lineRule="auto"/>
        <w:rPr>
          <w:sz w:val="20"/>
          <w:szCs w:val="20"/>
          <w:color w:val="auto"/>
        </w:rPr>
      </w:pPr>
      <w:r>
        <w:rPr>
          <w:rFonts w:ascii="Times New Roman" w:cs="Times New Roman" w:eastAsia="Times New Roman" w:hAnsi="Times New Roman"/>
          <w:sz w:val="12"/>
          <w:szCs w:val="12"/>
          <w:b w:val="1"/>
          <w:bCs w:val="1"/>
          <w:color w:val="auto"/>
        </w:rPr>
        <w:t>(2)            </w:t>
      </w:r>
      <w:r>
        <w:rPr>
          <w:rFonts w:ascii="Times New Roman" w:cs="Times New Roman" w:eastAsia="Times New Roman" w:hAnsi="Times New Roman"/>
          <w:sz w:val="12"/>
          <w:szCs w:val="12"/>
          <w:color w:val="auto"/>
        </w:rPr>
        <w:t>If the Acquiring Entity will not assume, substitute or continue any Unvested Non-Exempt Award in connection with a Corporate Transaction, then such Award shall automatically terminate and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270" w:lineRule="exact"/>
        <w:rPr>
          <w:sz w:val="20"/>
          <w:szCs w:val="20"/>
          <w:color w:val="auto"/>
        </w:rPr>
      </w:pPr>
    </w:p>
    <w:p>
      <w:pPr>
        <w:jc w:val="both"/>
        <w:ind w:firstLine="1319"/>
        <w:spacing w:after="0" w:line="294" w:lineRule="auto"/>
        <w:rPr>
          <w:sz w:val="20"/>
          <w:szCs w:val="20"/>
          <w:color w:val="auto"/>
        </w:rPr>
      </w:pPr>
      <w:r>
        <w:rPr>
          <w:rFonts w:ascii="Times New Roman" w:cs="Times New Roman" w:eastAsia="Times New Roman" w:hAnsi="Times New Roman"/>
          <w:sz w:val="12"/>
          <w:szCs w:val="12"/>
          <w:b w:val="1"/>
          <w:bCs w:val="1"/>
          <w:color w:val="auto"/>
        </w:rPr>
        <w:t>(3)            </w:t>
      </w:r>
      <w:r>
        <w:rPr>
          <w:rFonts w:ascii="Times New Roman" w:cs="Times New Roman" w:eastAsia="Times New Roman" w:hAnsi="Times New Roman"/>
          <w:sz w:val="12"/>
          <w:szCs w:val="12"/>
          <w:color w:val="auto"/>
        </w:rPr>
        <w:t>The foregoing treatment shall apply with respect to all Unvested Non-Exempt Awards upon any Corporate Transaction, and regardless of whether or not such Corporate Transaction is also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Section 409A Change in Control.</w:t>
      </w:r>
    </w:p>
    <w:p>
      <w:pPr>
        <w:spacing w:after="0" w:line="102" w:lineRule="exact"/>
        <w:rPr>
          <w:sz w:val="20"/>
          <w:szCs w:val="20"/>
          <w:color w:val="auto"/>
        </w:rPr>
      </w:pPr>
    </w:p>
    <w:p>
      <w:pPr>
        <w:jc w:val="both"/>
        <w:ind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(d)            Treatment of Non-Exempt Awards Upon a Corporate Transaction for Non-Employee Directors. </w:t>
      </w:r>
      <w:r>
        <w:rPr>
          <w:rFonts w:ascii="Times New Roman" w:cs="Times New Roman" w:eastAsia="Times New Roman" w:hAnsi="Times New Roman"/>
          <w:sz w:val="12"/>
          <w:szCs w:val="12"/>
          <w:color w:val="auto"/>
        </w:rPr>
        <w:t>The following provisions of this subsection (d) shall apply and shall supersede anything to the contrary that may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 set forth in the Plan with respect to the permitted treatment of a Non-Exempt Director Award in connection with a Corporate Transaction.</w:t>
      </w:r>
    </w:p>
    <w:p>
      <w:pPr>
        <w:spacing w:after="0" w:line="102" w:lineRule="exact"/>
        <w:rPr>
          <w:sz w:val="20"/>
          <w:szCs w:val="20"/>
          <w:color w:val="auto"/>
        </w:rPr>
      </w:pPr>
    </w:p>
    <w:p>
      <w:pPr>
        <w:jc w:val="both"/>
        <w:ind w:firstLine="879"/>
        <w:spacing w:after="0" w:line="268" w:lineRule="auto"/>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If the Corporate Transaction is also a Section 409A Change in Control then the Acquiring Entity may not assume, continue or substitute the Non-Exempt Director Award. Upon the Section 409A Change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0">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378" w:name="page379"/>
    <w:bookmarkEnd w:id="378"/>
    <w:p>
      <w:pPr>
        <w:jc w:val="both"/>
        <w:ind w:firstLine="879"/>
        <w:spacing w:after="0" w:line="264" w:lineRule="auto"/>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If the Corporate Transaction is not also a Section 409A Change in Control, then the Acquiring Entity must either assume, continue or substitute the Non-Exempt Director Award. Unless otherwise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20" w:lineRule="exact"/>
        <w:rPr>
          <w:sz w:val="20"/>
          <w:szCs w:val="20"/>
          <w:color w:val="auto"/>
        </w:rPr>
      </w:pPr>
    </w:p>
    <w:p>
      <w:pPr>
        <w:jc w:val="both"/>
        <w:ind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If the RSU Award is a Non-Exempt Award, then the provisions in this Section 11(e) shall apply and supersede anything to the contrary that may be set forth in the Plan or the Award Agreement with respect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permitted treatment of such Non-Exempt Award:</w:t>
      </w:r>
    </w:p>
    <w:p>
      <w:pPr>
        <w:spacing w:after="0" w:line="102" w:lineRule="exact"/>
        <w:rPr>
          <w:sz w:val="20"/>
          <w:szCs w:val="20"/>
          <w:color w:val="auto"/>
        </w:rPr>
      </w:pPr>
    </w:p>
    <w:p>
      <w:pPr>
        <w:jc w:val="both"/>
        <w:ind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Any exercise by the Board of discretion to accelerate the vesting of a Non-Exempt Award shall not result in any acceleration of the scheduled issuance dates for the shares in respect of the Non-Exempt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Award unless earlier issuance of the shares upon the applicable vesting dates would be in compliance with the requirements of Section 409A.</w:t>
      </w:r>
    </w:p>
    <w:p>
      <w:pPr>
        <w:spacing w:after="0" w:line="102" w:lineRule="exact"/>
        <w:rPr>
          <w:sz w:val="20"/>
          <w:szCs w:val="20"/>
          <w:color w:val="auto"/>
        </w:rPr>
      </w:pPr>
    </w:p>
    <w:p>
      <w:pPr>
        <w:jc w:val="both"/>
        <w:ind w:right="20"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The Company explicitly reserves the right to earlier settle any Non-Exempt Award to the extent permitted and in compliance with the requirements of Section 409A, including pursuant to any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exemptions available in U.S. Treasury Regulations Section 1.409A-3(j)(4)(ix).</w:t>
      </w:r>
    </w:p>
    <w:p>
      <w:pPr>
        <w:spacing w:after="0" w:line="102" w:lineRule="exact"/>
        <w:rPr>
          <w:sz w:val="20"/>
          <w:szCs w:val="20"/>
          <w:color w:val="auto"/>
        </w:rPr>
      </w:pPr>
    </w:p>
    <w:p>
      <w:pPr>
        <w:jc w:val="both"/>
        <w:ind w:firstLine="879"/>
        <w:spacing w:after="0" w:line="262" w:lineRule="auto"/>
        <w:rPr>
          <w:sz w:val="20"/>
          <w:szCs w:val="20"/>
          <w:color w:val="auto"/>
        </w:rPr>
      </w:pPr>
      <w:r>
        <w:rPr>
          <w:rFonts w:ascii="Times New Roman" w:cs="Times New Roman" w:eastAsia="Times New Roman" w:hAnsi="Times New Roman"/>
          <w:sz w:val="12"/>
          <w:szCs w:val="12"/>
          <w:b w:val="1"/>
          <w:bCs w:val="1"/>
          <w:color w:val="auto"/>
        </w:rPr>
        <w:t>(iii)          </w:t>
      </w:r>
      <w:r>
        <w:rPr>
          <w:rFonts w:ascii="Times New Roman" w:cs="Times New Roman" w:eastAsia="Times New Roman" w:hAnsi="Times New Roman"/>
          <w:sz w:val="12"/>
          <w:szCs w:val="12"/>
          <w:color w:val="auto"/>
        </w:rPr>
        <w:t>To the extent the terms of any Non-Exempt Award provide that it will be settled upon a Change in Control or Corporate Transaction, to the extent it is required for compliance with the requirements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Section 409A, the Change in Control or Corporate Transaction event triggering settlement must also constitute a Section 409A Change in Control. To the extent the terms of a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1">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379" w:name="page380"/>
    <w:bookmarkEnd w:id="379"/>
    <w:p>
      <w:pPr>
        <w:jc w:val="both"/>
        <w:ind w:right="20"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(iv)           </w:t>
      </w:r>
      <w:r>
        <w:rPr>
          <w:rFonts w:ascii="Times New Roman" w:cs="Times New Roman" w:eastAsia="Times New Roman" w:hAnsi="Times New Roman"/>
          <w:sz w:val="12"/>
          <w:szCs w:val="12"/>
          <w:color w:val="auto"/>
        </w:rPr>
        <w:t>The provisions in this subsection (e) for delivery of the shares in respect of the settlement of an RSU Award that is a Non-Exempt Award are intended to comply with the requirements of Section 409A so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the delivery of the shares to the Participant in respect of such Non-Exempt Award will not trigger the additional tax imposed under Section 409A, and any ambiguities herein will be so interpreted.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S</w:t>
      </w:r>
      <w:r>
        <w:rPr>
          <w:rFonts w:ascii="Times New Roman" w:cs="Times New Roman" w:eastAsia="Times New Roman" w:hAnsi="Times New Roman"/>
          <w:sz w:val="8"/>
          <w:szCs w:val="8"/>
          <w:b w:val="1"/>
          <w:bCs w:val="1"/>
          <w:color w:val="auto"/>
        </w:rPr>
        <w:t>everability</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jc w:val="both"/>
        <w:ind w:firstLine="440"/>
        <w:spacing w:after="0" w:line="272" w:lineRule="auto"/>
        <w:rPr>
          <w:sz w:val="20"/>
          <w:szCs w:val="20"/>
          <w:color w:val="auto"/>
        </w:rPr>
      </w:pPr>
      <w:r>
        <w:rPr>
          <w:rFonts w:ascii="Times New Roman" w:cs="Times New Roman" w:eastAsia="Times New Roman" w:hAnsi="Times New Roman"/>
          <w:sz w:val="12"/>
          <w:szCs w:val="12"/>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13.            T</w:t>
      </w:r>
      <w:r>
        <w:rPr>
          <w:rFonts w:ascii="Times New Roman" w:cs="Times New Roman" w:eastAsia="Times New Roman" w:hAnsi="Times New Roman"/>
          <w:sz w:val="8"/>
          <w:szCs w:val="8"/>
          <w:b w:val="1"/>
          <w:bCs w:val="1"/>
          <w:color w:val="auto"/>
        </w:rPr>
        <w:t>ermination of the</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lan</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jc w:val="both"/>
        <w:ind w:right="20" w:firstLine="440"/>
        <w:spacing w:after="0" w:line="291" w:lineRule="auto"/>
        <w:rPr>
          <w:sz w:val="20"/>
          <w:szCs w:val="20"/>
          <w:color w:val="auto"/>
        </w:rPr>
      </w:pPr>
      <w:r>
        <w:rPr>
          <w:rFonts w:ascii="Times New Roman" w:cs="Times New Roman" w:eastAsia="Times New Roman" w:hAnsi="Times New Roman"/>
          <w:sz w:val="12"/>
          <w:szCs w:val="12"/>
          <w:color w:val="auto"/>
        </w:rPr>
        <w:t>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02">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2"/>
          <w:szCs w:val="12"/>
          <w:b w:val="1"/>
          <w:bCs w:val="1"/>
          <w:color w:val="auto"/>
        </w:rPr>
        <w:t>14.            D</w:t>
      </w:r>
      <w:r>
        <w:rPr>
          <w:rFonts w:ascii="Times New Roman" w:cs="Times New Roman" w:eastAsia="Times New Roman" w:hAnsi="Times New Roman"/>
          <w:sz w:val="8"/>
          <w:szCs w:val="8"/>
          <w:b w:val="1"/>
          <w:bCs w:val="1"/>
          <w:color w:val="auto"/>
        </w:rPr>
        <w:t>efinitions</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As used in the Plan, the following definitions apply to the capitalized terms indicated below:</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Acquiring Entity</w:t>
      </w:r>
      <w:r>
        <w:rPr>
          <w:rFonts w:ascii="Times New Roman" w:cs="Times New Roman" w:eastAsia="Times New Roman" w:hAnsi="Times New Roman"/>
          <w:sz w:val="12"/>
          <w:szCs w:val="12"/>
          <w:color w:val="auto"/>
        </w:rPr>
        <w:t>” means the surviving or acquiring corporation (or its parent company) in connection with a Corporate Transaction.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Adoption Date</w:t>
      </w:r>
      <w:r>
        <w:rPr>
          <w:rFonts w:ascii="Times New Roman" w:cs="Times New Roman" w:eastAsia="Times New Roman" w:hAnsi="Times New Roman"/>
          <w:sz w:val="12"/>
          <w:szCs w:val="12"/>
          <w:color w:val="auto"/>
        </w:rPr>
        <w:t>” means the date the Plan is first approved by the Board or Compensation Committee, as applicable.</w:t>
      </w:r>
    </w:p>
    <w:p>
      <w:pPr>
        <w:spacing w:after="0" w:line="155" w:lineRule="exact"/>
        <w:rPr>
          <w:sz w:val="20"/>
          <w:szCs w:val="20"/>
          <w:color w:val="auto"/>
        </w:rPr>
      </w:pPr>
    </w:p>
    <w:p>
      <w:pPr>
        <w:jc w:val="both"/>
        <w:ind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Affiliate</w:t>
      </w:r>
      <w:r>
        <w:rPr>
          <w:rFonts w:ascii="Times New Roman" w:cs="Times New Roman" w:eastAsia="Times New Roman" w:hAnsi="Times New Roman"/>
          <w:sz w:val="12"/>
          <w:szCs w:val="12"/>
          <w:color w:val="auto"/>
        </w:rPr>
        <w:t>” means, at the time of determination, any “parent” or “subsidiary” of the Company as such terms are defined in Rule 405 promulgated under the Securities Act. The Board may determine the time or times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at which “parent” or “subsidiary” status is determined within the foregoing definition.</w:t>
      </w:r>
    </w:p>
    <w:p>
      <w:pPr>
        <w:spacing w:after="0" w:line="102" w:lineRule="exact"/>
        <w:rPr>
          <w:sz w:val="20"/>
          <w:szCs w:val="20"/>
          <w:color w:val="auto"/>
        </w:rPr>
      </w:pPr>
    </w:p>
    <w:p>
      <w:pPr>
        <w:jc w:val="both"/>
        <w:ind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Applicable Law</w:t>
      </w:r>
      <w:r>
        <w:rPr>
          <w:rFonts w:ascii="Times New Roman" w:cs="Times New Roman" w:eastAsia="Times New Roman" w:hAnsi="Times New Roman"/>
          <w:sz w:val="12"/>
          <w:szCs w:val="12"/>
          <w:color w:val="auto"/>
        </w:rPr>
        <w:t>” means the Code and any applicable U.S and non-U.S. securities, exchange, control, tax, federal, state, material local or municipal or other law, statute, constitution, principle of common law,</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14" w:lineRule="exact"/>
        <w:rPr>
          <w:sz w:val="20"/>
          <w:szCs w:val="20"/>
          <w:color w:val="auto"/>
        </w:rPr>
      </w:pPr>
    </w:p>
    <w:p>
      <w:pPr>
        <w:jc w:val="both"/>
        <w:ind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Award</w:t>
      </w:r>
      <w:r>
        <w:rPr>
          <w:rFonts w:ascii="Times New Roman" w:cs="Times New Roman" w:eastAsia="Times New Roman" w:hAnsi="Times New Roman"/>
          <w:sz w:val="12"/>
          <w:szCs w:val="12"/>
          <w:color w:val="auto"/>
        </w:rPr>
        <w:t>” means any right to receive Common Stock, cash or other property granted under the Plan (including an Incentive Stock Option, a Nonstatutory Stock Option, a Restricted Stock Award, an RSU Award,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SAR, a Performance Award or any Other Award).</w:t>
      </w:r>
    </w:p>
    <w:p>
      <w:pPr>
        <w:spacing w:after="0" w:line="102" w:lineRule="exact"/>
        <w:rPr>
          <w:sz w:val="20"/>
          <w:szCs w:val="20"/>
          <w:color w:val="auto"/>
        </w:rPr>
      </w:pPr>
    </w:p>
    <w:p>
      <w:pPr>
        <w:jc w:val="both"/>
        <w:ind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Award Agreement</w:t>
      </w:r>
      <w:r>
        <w:rPr>
          <w:rFonts w:ascii="Times New Roman" w:cs="Times New Roman" w:eastAsia="Times New Roman" w:hAnsi="Times New Roman"/>
          <w:sz w:val="12"/>
          <w:szCs w:val="12"/>
          <w:color w:val="auto"/>
        </w:rPr>
        <w:t>” means a written or electronic agreement between the Company and a Participant evidencing the terms and conditions of an Award. The Award Agreement generally consists of the Grant Notice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agreement containing the written summary of the general terms and conditions applicable to the Award and which is provided, including through electronic means, to a Participant along with the Grant Notice.</w:t>
      </w:r>
    </w:p>
    <w:p>
      <w:pPr>
        <w:spacing w:after="0" w:line="102" w:lineRule="exact"/>
        <w:rPr>
          <w:sz w:val="20"/>
          <w:szCs w:val="20"/>
          <w:color w:val="auto"/>
        </w:rPr>
      </w:pPr>
    </w:p>
    <w:p>
      <w:pPr>
        <w:jc w:val="both"/>
        <w:ind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(g)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Board</w:t>
      </w:r>
      <w:r>
        <w:rPr>
          <w:rFonts w:ascii="Times New Roman" w:cs="Times New Roman" w:eastAsia="Times New Roman" w:hAnsi="Times New Roman"/>
          <w:sz w:val="12"/>
          <w:szCs w:val="12"/>
          <w:color w:val="auto"/>
        </w:rPr>
        <w:t>” means the Board of Directors of the Company (or its designee). Any decision or determination made by the Board shall be a decision or determination that is made in the sole discretion of the Board (or its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designee), and such decision or determination shall be final and binding on all Participants.</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(h)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Capital Stock</w:t>
      </w:r>
      <w:r>
        <w:rPr>
          <w:rFonts w:ascii="Times New Roman" w:cs="Times New Roman" w:eastAsia="Times New Roman" w:hAnsi="Times New Roman"/>
          <w:sz w:val="12"/>
          <w:szCs w:val="12"/>
          <w:color w:val="auto"/>
        </w:rPr>
        <w:t>” means each and every class of common stock of the Company, regardless of the number of votes per share.</w:t>
      </w:r>
    </w:p>
    <w:p>
      <w:pPr>
        <w:spacing w:after="0" w:line="15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Capitalization Adjustment</w:t>
      </w:r>
      <w:r>
        <w:rPr>
          <w:rFonts w:ascii="Times New Roman" w:cs="Times New Roman" w:eastAsia="Times New Roman" w:hAnsi="Times New Roman"/>
          <w:sz w:val="12"/>
          <w:szCs w:val="12"/>
          <w:color w:val="auto"/>
        </w:rPr>
        <w:t>” means any change that is made in, or other events that occur with respect to, the Common Stock subject to the Plan or subject to any Award after the Adoption Date without the receipt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03">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81" w:name="page382"/>
    <w:bookmarkEnd w:id="381"/>
    <w:p>
      <w:pPr>
        <w:jc w:val="both"/>
        <w:ind w:firstLine="440"/>
        <w:spacing w:after="0" w:line="259" w:lineRule="auto"/>
        <w:rPr>
          <w:sz w:val="20"/>
          <w:szCs w:val="20"/>
          <w:color w:val="auto"/>
        </w:rPr>
      </w:pPr>
      <w:r>
        <w:rPr>
          <w:rFonts w:ascii="Times New Roman" w:cs="Times New Roman" w:eastAsia="Times New Roman" w:hAnsi="Times New Roman"/>
          <w:sz w:val="12"/>
          <w:szCs w:val="12"/>
          <w:b w:val="1"/>
          <w:bCs w:val="1"/>
          <w:color w:val="auto"/>
        </w:rPr>
        <w:t>(j)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Cause</w:t>
      </w:r>
      <w:r>
        <w:rPr>
          <w:rFonts w:ascii="Times New Roman" w:cs="Times New Roman" w:eastAsia="Times New Roman" w:hAnsi="Times New Roman"/>
          <w:sz w:val="12"/>
          <w:szCs w:val="12"/>
          <w:color w:val="auto"/>
        </w:rPr>
        <w:t>” has the meaning ascribed to such term in any written agreement between a Participant and the Company or any Affiliate of the Company defining such term and, in the absence of such agreement, such term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or in each case the equivalent in any relevant jurisdiction; (iii) the Participant’s failure to perform the Participant’s assigned duties and responsibilities to the reasonable satisfaction of the Company or any Affiliate of the Company which failure continues, in the reasonable judgment of the Company, after written notice given to the Participant by the Company or any Affiliate of the Company; (iv) the Participant’s gross negligence, willful misconduct or insubordination with respect to the Company or any Affiliate of the Company; or (v) the Participant’s material violation of any provision of any agreement(s) between the Participant and the Company or any Affiliate of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any Affiliate of the Company or such Participant for any other purpose.</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(k)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Change in Control</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Change of Control</w:t>
      </w:r>
      <w:r>
        <w:rPr>
          <w:rFonts w:ascii="Times New Roman" w:cs="Times New Roman" w:eastAsia="Times New Roman" w:hAnsi="Times New Roman"/>
          <w:sz w:val="12"/>
          <w:szCs w:val="12"/>
          <w:color w:val="auto"/>
        </w:rPr>
        <w:t>” means the occurrence, in a single transaction or in a series of related transactions, of any one or more of the following events:</w:t>
      </w:r>
    </w:p>
    <w:p>
      <w:pPr>
        <w:spacing w:after="0" w:line="155" w:lineRule="exact"/>
        <w:rPr>
          <w:sz w:val="20"/>
          <w:szCs w:val="20"/>
          <w:color w:val="auto"/>
        </w:rPr>
      </w:pPr>
    </w:p>
    <w:p>
      <w:pPr>
        <w:jc w:val="both"/>
        <w:ind w:firstLine="879"/>
        <w:spacing w:after="0" w:line="260" w:lineRule="auto"/>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any Exchange Act Person becomes the Owner, directly or indirectly, of securities of the Company representing more than 50% of the combined voting power of the Company’s then outstanding securities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2"/>
          <w:szCs w:val="12"/>
          <w:i w:val="1"/>
          <w:iCs w:val="1"/>
          <w:color w:val="auto"/>
        </w:rPr>
        <w:t>Subject Person</w:t>
      </w:r>
      <w:r>
        <w:rPr>
          <w:rFonts w:ascii="Times New Roman" w:cs="Times New Roman" w:eastAsia="Times New Roman" w:hAnsi="Times New Roman"/>
          <w:sz w:val="12"/>
          <w:szCs w:val="12"/>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04">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82" w:name="page383"/>
    <w:bookmarkEnd w:id="382"/>
    <w:p>
      <w:pPr>
        <w:jc w:val="both"/>
        <w:ind w:right="20" w:firstLine="879"/>
        <w:spacing w:after="0" w:line="268" w:lineRule="auto"/>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there is consummated a merger, consolidation or similar transaction involving (directly or indirectly) the Company and, immediately after the consummation of such merger, consolidation or similar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spacing w:after="0" w:line="116" w:lineRule="exact"/>
        <w:rPr>
          <w:sz w:val="20"/>
          <w:szCs w:val="20"/>
          <w:color w:val="auto"/>
        </w:rPr>
      </w:pPr>
    </w:p>
    <w:p>
      <w:pPr>
        <w:jc w:val="both"/>
        <w:ind w:firstLine="879"/>
        <w:spacing w:after="0" w:line="274" w:lineRule="auto"/>
        <w:rPr>
          <w:sz w:val="20"/>
          <w:szCs w:val="20"/>
          <w:color w:val="auto"/>
        </w:rPr>
      </w:pPr>
      <w:r>
        <w:rPr>
          <w:rFonts w:ascii="Times New Roman" w:cs="Times New Roman" w:eastAsia="Times New Roman" w:hAnsi="Times New Roman"/>
          <w:sz w:val="12"/>
          <w:szCs w:val="12"/>
          <w:b w:val="1"/>
          <w:bCs w:val="1"/>
          <w:color w:val="auto"/>
        </w:rPr>
        <w:t>(iii)         </w:t>
      </w:r>
      <w:r>
        <w:rPr>
          <w:rFonts w:ascii="Times New Roman" w:cs="Times New Roman" w:eastAsia="Times New Roman" w:hAnsi="Times New Roman"/>
          <w:sz w:val="12"/>
          <w:szCs w:val="12"/>
          <w:color w:val="auto"/>
        </w:rPr>
        <w:t>there is consummated a sale, lease, exclusive license or other disposition of all or substantially all of the consolidated assets of the Company and its Subsidiaries, other than a sale, lease, license or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14" w:lineRule="exact"/>
        <w:rPr>
          <w:sz w:val="20"/>
          <w:szCs w:val="20"/>
          <w:color w:val="auto"/>
        </w:rPr>
      </w:pPr>
    </w:p>
    <w:p>
      <w:pPr>
        <w:jc w:val="both"/>
        <w:ind w:right="20" w:firstLine="879"/>
        <w:spacing w:after="0" w:line="274" w:lineRule="auto"/>
        <w:rPr>
          <w:sz w:val="20"/>
          <w:szCs w:val="20"/>
          <w:color w:val="auto"/>
        </w:rPr>
      </w:pPr>
      <w:r>
        <w:rPr>
          <w:rFonts w:ascii="Times New Roman" w:cs="Times New Roman" w:eastAsia="Times New Roman" w:hAnsi="Times New Roman"/>
          <w:sz w:val="12"/>
          <w:szCs w:val="12"/>
          <w:b w:val="1"/>
          <w:bCs w:val="1"/>
          <w:color w:val="auto"/>
        </w:rPr>
        <w:t>(iv)           </w:t>
      </w:r>
      <w:r>
        <w:rPr>
          <w:rFonts w:ascii="Times New Roman" w:cs="Times New Roman" w:eastAsia="Times New Roman" w:hAnsi="Times New Roman"/>
          <w:sz w:val="12"/>
          <w:szCs w:val="12"/>
          <w:color w:val="auto"/>
        </w:rPr>
        <w:t>individuals who, on the Adoption Date, are members of the Board (the “</w:t>
      </w:r>
      <w:r>
        <w:rPr>
          <w:rFonts w:ascii="Times New Roman" w:cs="Times New Roman" w:eastAsia="Times New Roman" w:hAnsi="Times New Roman"/>
          <w:sz w:val="12"/>
          <w:szCs w:val="12"/>
          <w:b w:val="1"/>
          <w:bCs w:val="1"/>
          <w:i w:val="1"/>
          <w:iCs w:val="1"/>
          <w:color w:val="auto"/>
        </w:rPr>
        <w:t>Incumbent Board</w:t>
      </w:r>
      <w:r>
        <w:rPr>
          <w:rFonts w:ascii="Times New Roman" w:cs="Times New Roman" w:eastAsia="Times New Roman" w:hAnsi="Times New Roman"/>
          <w:sz w:val="12"/>
          <w:szCs w:val="12"/>
          <w:color w:val="auto"/>
        </w:rPr>
        <w:t>”) cease for any reason to constitute at least a majority of the members of the Board; provided, however, that if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16" w:lineRule="exact"/>
        <w:rPr>
          <w:sz w:val="20"/>
          <w:szCs w:val="20"/>
          <w:color w:val="auto"/>
        </w:rPr>
      </w:pPr>
    </w:p>
    <w:p>
      <w:pPr>
        <w:jc w:val="both"/>
        <w:ind w:firstLine="440"/>
        <w:spacing w:after="0" w:line="263" w:lineRule="auto"/>
        <w:rPr>
          <w:sz w:val="20"/>
          <w:szCs w:val="20"/>
          <w:color w:val="auto"/>
        </w:rPr>
      </w:pPr>
      <w:r>
        <w:rPr>
          <w:rFonts w:ascii="Times New Roman" w:cs="Times New Roman" w:eastAsia="Times New Roman" w:hAnsi="Times New Roman"/>
          <w:sz w:val="12"/>
          <w:szCs w:val="12"/>
          <w:color w:val="auto"/>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(l)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Code</w:t>
      </w:r>
      <w:r>
        <w:rPr>
          <w:rFonts w:ascii="Times New Roman" w:cs="Times New Roman" w:eastAsia="Times New Roman" w:hAnsi="Times New Roman"/>
          <w:sz w:val="12"/>
          <w:szCs w:val="12"/>
          <w:color w:val="auto"/>
        </w:rPr>
        <w:t>” means the U.S. Internal Revenue Code of 1986, as amended, including any applicable regulations and guidance thereunder.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(m)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Committee</w:t>
      </w:r>
      <w:r>
        <w:rPr>
          <w:rFonts w:ascii="Times New Roman" w:cs="Times New Roman" w:eastAsia="Times New Roman" w:hAnsi="Times New Roman"/>
          <w:sz w:val="12"/>
          <w:szCs w:val="12"/>
          <w:color w:val="auto"/>
        </w:rPr>
        <w:t>” means the Compensation Committee and any other committee of one or more Directors to whom authority has been delegated by the Board or Compensation Committee in accordance with the Plan.</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05">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83" w:name="page384"/>
    <w:bookmarkEnd w:id="383"/>
    <w:p>
      <w:pPr>
        <w:ind w:left="447"/>
        <w:spacing w:after="0"/>
        <w:rPr>
          <w:sz w:val="20"/>
          <w:szCs w:val="20"/>
          <w:color w:val="auto"/>
        </w:rPr>
      </w:pPr>
      <w:r>
        <w:rPr>
          <w:rFonts w:ascii="Times New Roman" w:cs="Times New Roman" w:eastAsia="Times New Roman" w:hAnsi="Times New Roman"/>
          <w:sz w:val="12"/>
          <w:szCs w:val="12"/>
          <w:b w:val="1"/>
          <w:bCs w:val="1"/>
          <w:color w:val="auto"/>
        </w:rPr>
        <w:t>(n)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Common Stock</w:t>
      </w:r>
      <w:r>
        <w:rPr>
          <w:rFonts w:ascii="Times New Roman" w:cs="Times New Roman" w:eastAsia="Times New Roman" w:hAnsi="Times New Roman"/>
          <w:sz w:val="12"/>
          <w:szCs w:val="12"/>
          <w:color w:val="auto"/>
        </w:rPr>
        <w:t>” means the common stock of the Company.</w:t>
      </w:r>
    </w:p>
    <w:p>
      <w:pPr>
        <w:spacing w:after="0" w:line="155"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12"/>
          <w:szCs w:val="12"/>
          <w:b w:val="1"/>
          <w:bCs w:val="1"/>
          <w:color w:val="auto"/>
        </w:rPr>
        <w:t>(o)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means Alumis Inc., a Delaware corporation, and any successor corporation thereto.</w:t>
      </w:r>
    </w:p>
    <w:p>
      <w:pPr>
        <w:spacing w:after="0" w:line="155"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12"/>
          <w:szCs w:val="12"/>
          <w:b w:val="1"/>
          <w:bCs w:val="1"/>
          <w:color w:val="auto"/>
        </w:rPr>
        <w:t>(p)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Compensation Committee</w:t>
      </w:r>
      <w:r>
        <w:rPr>
          <w:rFonts w:ascii="Times New Roman" w:cs="Times New Roman" w:eastAsia="Times New Roman" w:hAnsi="Times New Roman"/>
          <w:sz w:val="12"/>
          <w:szCs w:val="12"/>
          <w:color w:val="auto"/>
        </w:rPr>
        <w:t>” means the Compensation Committee of the Board.</w:t>
      </w:r>
    </w:p>
    <w:p>
      <w:pPr>
        <w:spacing w:after="0" w:line="155" w:lineRule="exact"/>
        <w:rPr>
          <w:sz w:val="20"/>
          <w:szCs w:val="20"/>
          <w:color w:val="auto"/>
        </w:rPr>
      </w:pPr>
    </w:p>
    <w:p>
      <w:pPr>
        <w:jc w:val="both"/>
        <w:ind w:left="7"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(q)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Consultant</w:t>
      </w:r>
      <w:r>
        <w:rPr>
          <w:rFonts w:ascii="Times New Roman" w:cs="Times New Roman" w:eastAsia="Times New Roman" w:hAnsi="Times New Roman"/>
          <w:sz w:val="12"/>
          <w:szCs w:val="12"/>
          <w:color w:val="auto"/>
        </w:rPr>
        <w:t>” means any person, including an advisor, who is (i) engaged by the Company or an Affiliate to render consulting or advisory services and is compensated for such services, or (ii) serving as a member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16" w:lineRule="exact"/>
        <w:rPr>
          <w:sz w:val="20"/>
          <w:szCs w:val="20"/>
          <w:color w:val="auto"/>
        </w:rPr>
      </w:pPr>
    </w:p>
    <w:p>
      <w:pPr>
        <w:jc w:val="both"/>
        <w:ind w:left="7" w:firstLine="440"/>
        <w:spacing w:after="0" w:line="258" w:lineRule="auto"/>
        <w:rPr>
          <w:sz w:val="20"/>
          <w:szCs w:val="20"/>
          <w:color w:val="auto"/>
        </w:rPr>
      </w:pPr>
      <w:r>
        <w:rPr>
          <w:rFonts w:ascii="Times New Roman" w:cs="Times New Roman" w:eastAsia="Times New Roman" w:hAnsi="Times New Roman"/>
          <w:sz w:val="12"/>
          <w:szCs w:val="12"/>
          <w:b w:val="1"/>
          <w:bCs w:val="1"/>
          <w:color w:val="auto"/>
        </w:rPr>
        <w:t>(r)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Continuous Service</w:t>
      </w:r>
      <w:r>
        <w:rPr>
          <w:rFonts w:ascii="Times New Roman" w:cs="Times New Roman" w:eastAsia="Times New Roman" w:hAnsi="Times New Roman"/>
          <w:sz w:val="12"/>
          <w:szCs w:val="12"/>
          <w:color w:val="auto"/>
        </w:rPr>
        <w:t>” means that the Participant’s service with the Company or an Affiliate, whether as an Employee, Director or Consultant, is not interrupted or terminated. A change in the capacity in which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of (i) any leave of absence approved by the Company or an Affiliate, including sick leave, military leave or any other personal leave, or</w:t>
      </w:r>
    </w:p>
    <w:p>
      <w:pPr>
        <w:spacing w:after="0" w:line="3" w:lineRule="exact"/>
        <w:rPr>
          <w:sz w:val="20"/>
          <w:szCs w:val="20"/>
          <w:color w:val="auto"/>
        </w:rPr>
      </w:pPr>
    </w:p>
    <w:p>
      <w:pPr>
        <w:jc w:val="both"/>
        <w:ind w:left="7" w:hanging="7"/>
        <w:spacing w:after="0" w:line="259" w:lineRule="auto"/>
        <w:tabs>
          <w:tab w:leader="none" w:pos="197"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w:t>
      </w:r>
    </w:p>
    <w:p>
      <w:pPr>
        <w:spacing w:after="0" w:line="123"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12"/>
          <w:szCs w:val="12"/>
          <w:b w:val="1"/>
          <w:bCs w:val="1"/>
          <w:color w:val="auto"/>
        </w:rPr>
        <w:t>(s)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Corporate Transaction</w:t>
      </w:r>
      <w:r>
        <w:rPr>
          <w:rFonts w:ascii="Times New Roman" w:cs="Times New Roman" w:eastAsia="Times New Roman" w:hAnsi="Times New Roman"/>
          <w:sz w:val="12"/>
          <w:szCs w:val="12"/>
          <w:color w:val="auto"/>
        </w:rPr>
        <w:t>” means the consummation, in a single transaction or in a series of related transactions, of any one or more of the following events:</w:t>
      </w:r>
    </w:p>
    <w:p>
      <w:pPr>
        <w:spacing w:after="0" w:line="155"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a sale or other disposition of all or substantially all, as determined by the Board, of the consolidated assets of the Company and its Subsidiaries;</w:t>
      </w:r>
    </w:p>
    <w:p>
      <w:pPr>
        <w:spacing w:after="0" w:line="30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135" cy="571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06">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656" w:right="299" w:bottom="1440" w:gutter="0" w:footer="0" w:header="0"/>
        </w:sectPr>
      </w:pPr>
    </w:p>
    <w:bookmarkStart w:id="384" w:name="page385"/>
    <w:bookmarkEnd w:id="384"/>
    <w:p>
      <w:pPr>
        <w:ind w:left="887"/>
        <w:spacing w:after="0"/>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a sale or other disposition of at least 50% of the outstanding securities of the Company;</w:t>
      </w:r>
    </w:p>
    <w:p>
      <w:pPr>
        <w:spacing w:after="0" w:line="155"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2"/>
          <w:szCs w:val="12"/>
          <w:b w:val="1"/>
          <w:bCs w:val="1"/>
          <w:color w:val="auto"/>
        </w:rPr>
        <w:t>(iii)           </w:t>
      </w:r>
      <w:r>
        <w:rPr>
          <w:rFonts w:ascii="Times New Roman" w:cs="Times New Roman" w:eastAsia="Times New Roman" w:hAnsi="Times New Roman"/>
          <w:sz w:val="12"/>
          <w:szCs w:val="12"/>
          <w:color w:val="auto"/>
        </w:rPr>
        <w:t>a merger, consolidation or similar transaction following which the Company is not the surviving corporation; or</w:t>
      </w:r>
    </w:p>
    <w:p>
      <w:pPr>
        <w:spacing w:after="0" w:line="155" w:lineRule="exact"/>
        <w:rPr>
          <w:sz w:val="20"/>
          <w:szCs w:val="20"/>
          <w:color w:val="auto"/>
        </w:rPr>
      </w:pPr>
    </w:p>
    <w:p>
      <w:pPr>
        <w:jc w:val="both"/>
        <w:ind w:left="7"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(iv)            </w:t>
      </w:r>
      <w:r>
        <w:rPr>
          <w:rFonts w:ascii="Times New Roman" w:cs="Times New Roman" w:eastAsia="Times New Roman" w:hAnsi="Times New Roman"/>
          <w:sz w:val="12"/>
          <w:szCs w:val="12"/>
          <w:color w:val="auto"/>
        </w:rPr>
        <w:t>a merger, consolidation or similar transaction following which the Company is the surviving corporation but the shares of Common Stock outstanding immediately preceding the merger, consolidation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similar transaction are converted or exchanged by virtue of the merger, consolidation or similar transaction into other property, whether in the form of securities, cash or otherwise.</w:t>
      </w:r>
    </w:p>
    <w:p>
      <w:pPr>
        <w:spacing w:after="0" w:line="104" w:lineRule="exact"/>
        <w:rPr>
          <w:sz w:val="20"/>
          <w:szCs w:val="20"/>
          <w:color w:val="auto"/>
        </w:rPr>
      </w:pPr>
    </w:p>
    <w:p>
      <w:pPr>
        <w:jc w:val="both"/>
        <w:ind w:left="7" w:firstLine="440"/>
        <w:spacing w:after="0" w:line="261" w:lineRule="auto"/>
        <w:rPr>
          <w:sz w:val="20"/>
          <w:szCs w:val="20"/>
          <w:color w:val="auto"/>
        </w:rPr>
      </w:pPr>
      <w:r>
        <w:rPr>
          <w:rFonts w:ascii="Times New Roman" w:cs="Times New Roman" w:eastAsia="Times New Roman" w:hAnsi="Times New Roman"/>
          <w:sz w:val="12"/>
          <w:szCs w:val="12"/>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w:t>
      </w:r>
    </w:p>
    <w:p>
      <w:pPr>
        <w:spacing w:after="0" w:line="2" w:lineRule="exact"/>
        <w:rPr>
          <w:sz w:val="20"/>
          <w:szCs w:val="20"/>
          <w:color w:val="auto"/>
        </w:rPr>
      </w:pPr>
    </w:p>
    <w:p>
      <w:pPr>
        <w:ind w:left="7" w:right="20" w:hanging="7"/>
        <w:spacing w:after="0" w:line="269" w:lineRule="auto"/>
        <w:tabs>
          <w:tab w:leader="none" w:pos="202"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116"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12"/>
          <w:szCs w:val="12"/>
          <w:b w:val="1"/>
          <w:bCs w:val="1"/>
          <w:color w:val="auto"/>
        </w:rPr>
        <w:t>(t)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determine</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determined</w:t>
      </w:r>
      <w:r>
        <w:rPr>
          <w:rFonts w:ascii="Times New Roman" w:cs="Times New Roman" w:eastAsia="Times New Roman" w:hAnsi="Times New Roman"/>
          <w:sz w:val="12"/>
          <w:szCs w:val="12"/>
          <w:color w:val="auto"/>
        </w:rPr>
        <w:t>” means as determined by the Board or the Committee (or its designee) in its sole discretion.</w:t>
      </w:r>
    </w:p>
    <w:p>
      <w:pPr>
        <w:spacing w:after="0" w:line="155"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12"/>
          <w:szCs w:val="12"/>
          <w:b w:val="1"/>
          <w:bCs w:val="1"/>
          <w:color w:val="auto"/>
        </w:rPr>
        <w:t>(u)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Director</w:t>
      </w:r>
      <w:r>
        <w:rPr>
          <w:rFonts w:ascii="Times New Roman" w:cs="Times New Roman" w:eastAsia="Times New Roman" w:hAnsi="Times New Roman"/>
          <w:sz w:val="12"/>
          <w:szCs w:val="12"/>
          <w:color w:val="auto"/>
        </w:rPr>
        <w:t>” means a member of the Board.</w:t>
      </w:r>
    </w:p>
    <w:p>
      <w:pPr>
        <w:spacing w:after="0" w:line="155" w:lineRule="exact"/>
        <w:rPr>
          <w:sz w:val="20"/>
          <w:szCs w:val="20"/>
          <w:color w:val="auto"/>
        </w:rPr>
      </w:pPr>
    </w:p>
    <w:p>
      <w:pPr>
        <w:jc w:val="both"/>
        <w:ind w:left="7"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(v)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Disability</w:t>
      </w:r>
      <w:r>
        <w:rPr>
          <w:rFonts w:ascii="Times New Roman" w:cs="Times New Roman" w:eastAsia="Times New Roman" w:hAnsi="Times New Roman"/>
          <w:sz w:val="12"/>
          <w:szCs w:val="12"/>
          <w:color w:val="auto"/>
        </w:rPr>
        <w:t>” means, with respect to a Participant, such Participant is unable to engage in any substantial gainful activity by reason of any medically determinable physical or mental impairment which can be expected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14"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12"/>
          <w:szCs w:val="12"/>
          <w:b w:val="1"/>
          <w:bCs w:val="1"/>
          <w:color w:val="auto"/>
        </w:rPr>
        <w:t>(w)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Effective Date</w:t>
      </w:r>
      <w:r>
        <w:rPr>
          <w:rFonts w:ascii="Times New Roman" w:cs="Times New Roman" w:eastAsia="Times New Roman" w:hAnsi="Times New Roman"/>
          <w:sz w:val="12"/>
          <w:szCs w:val="12"/>
          <w:color w:val="auto"/>
        </w:rPr>
        <w:t>” means the date that is immediately prior to the IPO Date, provided that this Plan is approved by the Company’s stockholders prior to the IPO Date.</w:t>
      </w:r>
    </w:p>
    <w:p>
      <w:pPr>
        <w:spacing w:after="0" w:line="155" w:lineRule="exact"/>
        <w:rPr>
          <w:sz w:val="20"/>
          <w:szCs w:val="20"/>
          <w:color w:val="auto"/>
        </w:rPr>
      </w:pPr>
    </w:p>
    <w:p>
      <w:pPr>
        <w:jc w:val="both"/>
        <w:ind w:left="7"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(x)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Employee</w:t>
      </w:r>
      <w:r>
        <w:rPr>
          <w:rFonts w:ascii="Times New Roman" w:cs="Times New Roman" w:eastAsia="Times New Roman" w:hAnsi="Times New Roman"/>
          <w:sz w:val="12"/>
          <w:szCs w:val="12"/>
          <w:color w:val="auto"/>
        </w:rPr>
        <w:t>” means any person employed by the Company or an Affiliate. However, service solely as a Director, or payment of a fee for such services, will not cause a Director to be considered an “Employee”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purposes of the Plan.</w:t>
      </w:r>
    </w:p>
    <w:p>
      <w:pPr>
        <w:spacing w:after="0" w:line="102"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12"/>
          <w:szCs w:val="12"/>
          <w:b w:val="1"/>
          <w:bCs w:val="1"/>
          <w:color w:val="auto"/>
        </w:rPr>
        <w:t>(y)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Employer</w:t>
      </w:r>
      <w:r>
        <w:rPr>
          <w:rFonts w:ascii="Times New Roman" w:cs="Times New Roman" w:eastAsia="Times New Roman" w:hAnsi="Times New Roman"/>
          <w:sz w:val="12"/>
          <w:szCs w:val="12"/>
          <w:color w:val="auto"/>
        </w:rPr>
        <w:t>” means the Company or the Affiliate that employs the Participant.</w:t>
      </w:r>
    </w:p>
    <w:p>
      <w:pPr>
        <w:spacing w:after="0" w:line="155"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12"/>
          <w:szCs w:val="12"/>
          <w:b w:val="1"/>
          <w:bCs w:val="1"/>
          <w:color w:val="auto"/>
        </w:rPr>
        <w:t>(z)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Entity</w:t>
      </w:r>
      <w:r>
        <w:rPr>
          <w:rFonts w:ascii="Times New Roman" w:cs="Times New Roman" w:eastAsia="Times New Roman" w:hAnsi="Times New Roman"/>
          <w:sz w:val="12"/>
          <w:szCs w:val="12"/>
          <w:color w:val="auto"/>
        </w:rPr>
        <w:t>” means a corporation, partnership, limited liability company or other entity.</w:t>
      </w:r>
    </w:p>
    <w:p>
      <w:pPr>
        <w:spacing w:after="0" w:line="30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135" cy="571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07">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655" w:right="299" w:bottom="1440" w:gutter="0" w:footer="0" w:header="0"/>
        </w:sectPr>
      </w:pPr>
    </w:p>
    <w:bookmarkStart w:id="385" w:name="page386"/>
    <w:bookmarkEnd w:id="385"/>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(aa)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Exchange Act</w:t>
      </w:r>
      <w:r>
        <w:rPr>
          <w:rFonts w:ascii="Times New Roman" w:cs="Times New Roman" w:eastAsia="Times New Roman" w:hAnsi="Times New Roman"/>
          <w:sz w:val="12"/>
          <w:szCs w:val="12"/>
          <w:color w:val="auto"/>
        </w:rPr>
        <w:t>” means the U.S. Securities Exchange Act of 1934, as amended, and the rules and regulations promulgated thereunder.</w:t>
      </w:r>
    </w:p>
    <w:p>
      <w:pPr>
        <w:spacing w:after="0" w:line="155" w:lineRule="exact"/>
        <w:rPr>
          <w:sz w:val="20"/>
          <w:szCs w:val="20"/>
          <w:color w:val="auto"/>
        </w:rPr>
      </w:pPr>
    </w:p>
    <w:p>
      <w:pPr>
        <w:jc w:val="both"/>
        <w:ind w:firstLine="440"/>
        <w:spacing w:after="0" w:line="264" w:lineRule="auto"/>
        <w:rPr>
          <w:sz w:val="20"/>
          <w:szCs w:val="20"/>
          <w:color w:val="auto"/>
        </w:rPr>
      </w:pPr>
      <w:r>
        <w:rPr>
          <w:rFonts w:ascii="Times New Roman" w:cs="Times New Roman" w:eastAsia="Times New Roman" w:hAnsi="Times New Roman"/>
          <w:sz w:val="12"/>
          <w:szCs w:val="12"/>
          <w:b w:val="1"/>
          <w:bCs w:val="1"/>
          <w:color w:val="auto"/>
        </w:rPr>
        <w:t xml:space="preserve">(bb)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Exchange Act Person</w:t>
      </w:r>
      <w:r>
        <w:rPr>
          <w:rFonts w:ascii="Times New Roman" w:cs="Times New Roman" w:eastAsia="Times New Roman" w:hAnsi="Times New Roman"/>
          <w:sz w:val="12"/>
          <w:szCs w:val="12"/>
          <w:color w:val="auto"/>
        </w:rPr>
        <w:t>” means any natural person, Entity or “group” (within the meaning of Section 13(d) or 14(d) of the Exchange Act), except that “Exchange Act Person” will not include (i) the Company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(cc)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Fair Market Value</w:t>
      </w:r>
      <w:r>
        <w:rPr>
          <w:rFonts w:ascii="Times New Roman" w:cs="Times New Roman" w:eastAsia="Times New Roman" w:hAnsi="Times New Roman"/>
          <w:sz w:val="12"/>
          <w:szCs w:val="12"/>
          <w:color w:val="auto"/>
        </w:rPr>
        <w:t>” means, as of any date, unless otherwise determined by the Board, the value of the Common Stock (as determined on a per share or aggregate basis, as applicable) determined as follows:</w:t>
      </w:r>
    </w:p>
    <w:p>
      <w:pPr>
        <w:spacing w:after="0" w:line="155" w:lineRule="exact"/>
        <w:rPr>
          <w:sz w:val="20"/>
          <w:szCs w:val="20"/>
          <w:color w:val="auto"/>
        </w:rPr>
      </w:pPr>
    </w:p>
    <w:p>
      <w:pPr>
        <w:jc w:val="both"/>
        <w:ind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If the Common Stock is listed on any established stock exchange or traded on any established market, the Fair Market Value will be the closing sales price for such stock as quoted on such exchange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market (or the exchange or market with the greatest volume of trading in the Common Stock) on the date of determination, as reported in a source the Board deems reliable.</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If there is no closing sales price for the Common Stock on the date of determination, then the Fair Market Value will be the closing selling price on the last preceding date for which such quotation exists.</w:t>
      </w:r>
    </w:p>
    <w:p>
      <w:pPr>
        <w:spacing w:after="0" w:line="155" w:lineRule="exact"/>
        <w:rPr>
          <w:sz w:val="20"/>
          <w:szCs w:val="20"/>
          <w:color w:val="auto"/>
        </w:rPr>
      </w:pPr>
    </w:p>
    <w:p>
      <w:pPr>
        <w:jc w:val="both"/>
        <w:ind w:right="20" w:firstLine="879"/>
        <w:spacing w:after="0" w:line="294" w:lineRule="auto"/>
        <w:rPr>
          <w:sz w:val="20"/>
          <w:szCs w:val="20"/>
          <w:color w:val="auto"/>
        </w:rPr>
      </w:pPr>
      <w:r>
        <w:rPr>
          <w:rFonts w:ascii="Times New Roman" w:cs="Times New Roman" w:eastAsia="Times New Roman" w:hAnsi="Times New Roman"/>
          <w:sz w:val="12"/>
          <w:szCs w:val="12"/>
          <w:b w:val="1"/>
          <w:bCs w:val="1"/>
          <w:color w:val="auto"/>
        </w:rPr>
        <w:t>(iii)          </w:t>
      </w:r>
      <w:r>
        <w:rPr>
          <w:rFonts w:ascii="Times New Roman" w:cs="Times New Roman" w:eastAsia="Times New Roman" w:hAnsi="Times New Roman"/>
          <w:sz w:val="12"/>
          <w:szCs w:val="12"/>
          <w:color w:val="auto"/>
        </w:rPr>
        <w:t>In the absence of such markets for the Common Stock, or if otherwise determined by the Board, the Fair Market Value will be determined by the Board in good faith and in a manner that complies with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Sections 409A and 422 of the Code.</w:t>
      </w:r>
    </w:p>
    <w:p>
      <w:pPr>
        <w:spacing w:after="0" w:line="102"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(dd)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Governmental Body</w:t>
      </w:r>
      <w:r>
        <w:rPr>
          <w:rFonts w:ascii="Times New Roman" w:cs="Times New Roman" w:eastAsia="Times New Roman" w:hAnsi="Times New Roman"/>
          <w:sz w:val="12"/>
          <w:szCs w:val="12"/>
          <w:color w:val="auto"/>
        </w:rPr>
        <w:t>” means any: (i) nation, state, commonwealth, canton, province, territory, county, municipality, district or other jurisdiction of any nature; (ii) U.S. or non-U.S. federal, state, local, municipal,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116" w:lineRule="exact"/>
        <w:rPr>
          <w:sz w:val="20"/>
          <w:szCs w:val="20"/>
          <w:color w:val="auto"/>
        </w:rPr>
      </w:pPr>
    </w:p>
    <w:p>
      <w:pPr>
        <w:jc w:val="both"/>
        <w:ind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(ee)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Grant Notice</w:t>
      </w:r>
      <w:r>
        <w:rPr>
          <w:rFonts w:ascii="Times New Roman" w:cs="Times New Roman" w:eastAsia="Times New Roman" w:hAnsi="Times New Roman"/>
          <w:sz w:val="12"/>
          <w:szCs w:val="12"/>
          <w:color w:val="auto"/>
        </w:rPr>
        <w:t>” means the notice provided to a Participant that he or she has been granted an Award under the Plan and which includes the name of the Participant, the type of Award, the date of grant of the Award,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number of shares of Common Stock subject to the Award or potential cash payment right, (if any), the vesting schedule for the Award (if any) and other key terms applicable to the Award.</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8">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386" w:name="page387"/>
    <w:bookmarkEnd w:id="386"/>
    <w:p>
      <w:pPr>
        <w:ind w:left="447"/>
        <w:spacing w:after="0"/>
        <w:rPr>
          <w:sz w:val="20"/>
          <w:szCs w:val="20"/>
          <w:color w:val="auto"/>
        </w:rPr>
      </w:pPr>
      <w:r>
        <w:rPr>
          <w:rFonts w:ascii="Times New Roman" w:cs="Times New Roman" w:eastAsia="Times New Roman" w:hAnsi="Times New Roman"/>
          <w:sz w:val="12"/>
          <w:szCs w:val="12"/>
          <w:b w:val="1"/>
          <w:bCs w:val="1"/>
          <w:color w:val="auto"/>
        </w:rPr>
        <w:t xml:space="preserve">(ff)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Incentive Stock Option</w:t>
      </w:r>
      <w:r>
        <w:rPr>
          <w:rFonts w:ascii="Times New Roman" w:cs="Times New Roman" w:eastAsia="Times New Roman" w:hAnsi="Times New Roman"/>
          <w:sz w:val="12"/>
          <w:szCs w:val="12"/>
          <w:color w:val="auto"/>
        </w:rPr>
        <w:t>” means an option granted pursuant to Section 4 of the Plan that is intended to be, and qualifies as, an “incentive stock option” within the meaning of Section 422 of the Code.</w:t>
      </w:r>
    </w:p>
    <w:p>
      <w:pPr>
        <w:spacing w:after="0" w:line="155" w:lineRule="exact"/>
        <w:rPr>
          <w:sz w:val="20"/>
          <w:szCs w:val="20"/>
          <w:color w:val="auto"/>
        </w:rPr>
      </w:pPr>
    </w:p>
    <w:p>
      <w:pPr>
        <w:jc w:val="both"/>
        <w:ind w:left="7"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(gg)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IPO Date</w:t>
      </w:r>
      <w:r>
        <w:rPr>
          <w:rFonts w:ascii="Times New Roman" w:cs="Times New Roman" w:eastAsia="Times New Roman" w:hAnsi="Times New Roman"/>
          <w:sz w:val="12"/>
          <w:szCs w:val="12"/>
          <w:color w:val="auto"/>
        </w:rPr>
        <w:t>” means the date of the underwriting agreement between the Company and the underwriter(s) managing the initial public offering of the Common Stock, pursuant to which the Common Stock is priced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 the initial public offering.</w:t>
      </w:r>
    </w:p>
    <w:p>
      <w:pPr>
        <w:spacing w:after="0" w:line="102" w:lineRule="exact"/>
        <w:rPr>
          <w:sz w:val="20"/>
          <w:szCs w:val="20"/>
          <w:color w:val="auto"/>
        </w:rPr>
      </w:pPr>
    </w:p>
    <w:p>
      <w:pPr>
        <w:jc w:val="both"/>
        <w:ind w:left="7" w:firstLine="440"/>
        <w:spacing w:after="0" w:line="263" w:lineRule="auto"/>
        <w:rPr>
          <w:sz w:val="20"/>
          <w:szCs w:val="20"/>
          <w:color w:val="auto"/>
        </w:rPr>
      </w:pPr>
      <w:r>
        <w:rPr>
          <w:rFonts w:ascii="Times New Roman" w:cs="Times New Roman" w:eastAsia="Times New Roman" w:hAnsi="Times New Roman"/>
          <w:sz w:val="12"/>
          <w:szCs w:val="12"/>
          <w:b w:val="1"/>
          <w:bCs w:val="1"/>
          <w:color w:val="auto"/>
        </w:rPr>
        <w:t xml:space="preserve">(hh)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Materially Impair</w:t>
      </w:r>
      <w:r>
        <w:rPr>
          <w:rFonts w:ascii="Times New Roman" w:cs="Times New Roman" w:eastAsia="Times New Roman" w:hAnsi="Times New Roman"/>
          <w:sz w:val="12"/>
          <w:szCs w:val="12"/>
          <w:color w:val="auto"/>
        </w:rPr>
        <w:t>” means any amendment to the terms of the Award that materially adversely affects the Participant’s rights under the Award. A Participant’s rights under an Award will not be deemed to have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w:t>
      </w:r>
    </w:p>
    <w:p>
      <w:pPr>
        <w:jc w:val="both"/>
        <w:ind w:left="7" w:hanging="7"/>
        <w:spacing w:after="0" w:line="262" w:lineRule="auto"/>
        <w:tabs>
          <w:tab w:leader="none" w:pos="194"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20" w:lineRule="exact"/>
        <w:rPr>
          <w:sz w:val="20"/>
          <w:szCs w:val="20"/>
          <w:color w:val="auto"/>
        </w:rPr>
      </w:pPr>
    </w:p>
    <w:p>
      <w:pPr>
        <w:jc w:val="both"/>
        <w:ind w:left="7"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Non-Employee Director</w:t>
      </w:r>
      <w:r>
        <w:rPr>
          <w:rFonts w:ascii="Times New Roman" w:cs="Times New Roman" w:eastAsia="Times New Roman" w:hAnsi="Times New Roman"/>
          <w:sz w:val="12"/>
          <w:szCs w:val="12"/>
          <w:color w:val="auto"/>
        </w:rPr>
        <w:t>” means a Director who either (i) is not a current employee or officer of the Company or an Affiliate, does not receive compensation, either directly or indirectly, from the Company or 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2"/>
          <w:szCs w:val="12"/>
          <w:b w:val="1"/>
          <w:bCs w:val="1"/>
          <w:i w:val="1"/>
          <w:iCs w:val="1"/>
          <w:color w:val="auto"/>
        </w:rPr>
        <w:t>Regulation S-K</w:t>
      </w:r>
      <w:r>
        <w:rPr>
          <w:rFonts w:ascii="Times New Roman" w:cs="Times New Roman" w:eastAsia="Times New Roman" w:hAnsi="Times New Roman"/>
          <w:sz w:val="12"/>
          <w:szCs w:val="12"/>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16" w:lineRule="exact"/>
        <w:rPr>
          <w:sz w:val="20"/>
          <w:szCs w:val="20"/>
          <w:color w:val="auto"/>
        </w:rPr>
      </w:pPr>
    </w:p>
    <w:p>
      <w:pPr>
        <w:jc w:val="both"/>
        <w:ind w:left="7"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(jj)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Non-Exempt Award</w:t>
      </w:r>
      <w:r>
        <w:rPr>
          <w:rFonts w:ascii="Times New Roman" w:cs="Times New Roman" w:eastAsia="Times New Roman" w:hAnsi="Times New Roman"/>
          <w:sz w:val="12"/>
          <w:szCs w:val="12"/>
          <w:color w:val="auto"/>
        </w:rPr>
        <w:t>” means any Award that is subject to, and not exempt from, Section 409A, including as the result of (i) a deferral of the issuance of the shares subject to the Award which is elected by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Participant or imposed by the Company, or (ii) the terms of any Non-Exempt Severance Arrangement.</w:t>
      </w:r>
    </w:p>
    <w:p>
      <w:pPr>
        <w:spacing w:after="0" w:line="102"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12"/>
          <w:szCs w:val="12"/>
          <w:b w:val="1"/>
          <w:bCs w:val="1"/>
          <w:color w:val="auto"/>
        </w:rPr>
        <w:t xml:space="preserve">(kk)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Non-Exempt Director Award</w:t>
      </w:r>
      <w:r>
        <w:rPr>
          <w:rFonts w:ascii="Times New Roman" w:cs="Times New Roman" w:eastAsia="Times New Roman" w:hAnsi="Times New Roman"/>
          <w:sz w:val="12"/>
          <w:szCs w:val="12"/>
          <w:color w:val="auto"/>
        </w:rPr>
        <w:t>” means a Non-Exempt Award granted to a Participant who was a Director but not an Employee on the applicable grant date.</w:t>
      </w:r>
    </w:p>
    <w:p>
      <w:pPr>
        <w:spacing w:after="0" w:line="155" w:lineRule="exact"/>
        <w:rPr>
          <w:sz w:val="20"/>
          <w:szCs w:val="20"/>
          <w:color w:val="auto"/>
        </w:rPr>
      </w:pPr>
    </w:p>
    <w:p>
      <w:pPr>
        <w:jc w:val="both"/>
        <w:ind w:left="7" w:right="20"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(ll)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Non-Exempt Severance Arrangement</w:t>
      </w:r>
      <w:r>
        <w:rPr>
          <w:rFonts w:ascii="Times New Roman" w:cs="Times New Roman" w:eastAsia="Times New Roman" w:hAnsi="Times New Roman"/>
          <w:sz w:val="12"/>
          <w:szCs w:val="12"/>
          <w:color w:val="auto"/>
        </w:rPr>
        <w:t>” means a severance arrangement or other agreement between the Participant and the Company that provides for acceleration of vesting of an Award and issuance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2"/>
          <w:szCs w:val="12"/>
          <w:b w:val="1"/>
          <w:bCs w:val="1"/>
          <w:i w:val="1"/>
          <w:iCs w:val="1"/>
          <w:color w:val="auto"/>
        </w:rPr>
        <w:t>Separation from Service</w:t>
      </w:r>
      <w:r>
        <w:rPr>
          <w:rFonts w:ascii="Times New Roman" w:cs="Times New Roman" w:eastAsia="Times New Roman" w:hAnsi="Times New Roman"/>
          <w:sz w:val="12"/>
          <w:szCs w:val="12"/>
          <w:color w:val="auto"/>
        </w:rPr>
        <w:t>”) and such severance benefit does not satisfy the requirements for an exemption from application of Section 409A provided under U.S. Treasury Regulations Section 1.409A-1(b)(4), 1.409A-1(b)(9) or otherwise.</w:t>
      </w:r>
    </w:p>
    <w:p>
      <w:pPr>
        <w:spacing w:after="0" w:line="26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135" cy="571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9">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656" w:right="299" w:bottom="1440" w:gutter="0" w:footer="0" w:header="0"/>
        </w:sectPr>
      </w:pPr>
    </w:p>
    <w:bookmarkStart w:id="387" w:name="page388"/>
    <w:bookmarkEnd w:id="387"/>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(mm)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Nonstatutory Stock Option</w:t>
      </w:r>
      <w:r>
        <w:rPr>
          <w:rFonts w:ascii="Times New Roman" w:cs="Times New Roman" w:eastAsia="Times New Roman" w:hAnsi="Times New Roman"/>
          <w:sz w:val="12"/>
          <w:szCs w:val="12"/>
          <w:color w:val="auto"/>
        </w:rPr>
        <w:t>” means any option granted pursuant to Section 4 of the Plan that does not qualify as an Incentive Stock Option.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(nn)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Officer</w:t>
      </w:r>
      <w:r>
        <w:rPr>
          <w:rFonts w:ascii="Times New Roman" w:cs="Times New Roman" w:eastAsia="Times New Roman" w:hAnsi="Times New Roman"/>
          <w:sz w:val="12"/>
          <w:szCs w:val="12"/>
          <w:color w:val="auto"/>
        </w:rPr>
        <w:t>” means a person who is an officer of the Company within the meaning of Section 16 of the Exchange Act.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(oo)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Option</w:t>
      </w:r>
      <w:r>
        <w:rPr>
          <w:rFonts w:ascii="Times New Roman" w:cs="Times New Roman" w:eastAsia="Times New Roman" w:hAnsi="Times New Roman"/>
          <w:sz w:val="12"/>
          <w:szCs w:val="12"/>
          <w:color w:val="auto"/>
        </w:rPr>
        <w:t>” means an Incentive Stock Option or a Nonstatutory Stock Option to purchase shares of Common Stock granted pursuant to the Plan.</w:t>
      </w:r>
    </w:p>
    <w:p>
      <w:pPr>
        <w:spacing w:after="0" w:line="155" w:lineRule="exact"/>
        <w:rPr>
          <w:sz w:val="20"/>
          <w:szCs w:val="20"/>
          <w:color w:val="auto"/>
        </w:rPr>
      </w:pPr>
    </w:p>
    <w:p>
      <w:pPr>
        <w:jc w:val="both"/>
        <w:ind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(pp)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Option Agreement</w:t>
      </w:r>
      <w:r>
        <w:rPr>
          <w:rFonts w:ascii="Times New Roman" w:cs="Times New Roman" w:eastAsia="Times New Roman" w:hAnsi="Times New Roman"/>
          <w:sz w:val="12"/>
          <w:szCs w:val="12"/>
          <w:color w:val="auto"/>
        </w:rPr>
        <w:t>” means a written or electronic agreement between the Company and the Optionholder evidencing the terms and conditions of the Option grant. The Option Agreement includes the Grant Notice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(qq)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Optionholder</w:t>
      </w:r>
      <w:r>
        <w:rPr>
          <w:rFonts w:ascii="Times New Roman" w:cs="Times New Roman" w:eastAsia="Times New Roman" w:hAnsi="Times New Roman"/>
          <w:sz w:val="12"/>
          <w:szCs w:val="12"/>
          <w:color w:val="auto"/>
        </w:rPr>
        <w:t>” means a person to whom an Option is granted pursuant to the Plan or, if applicable, such other person who holds an outstanding Option.</w:t>
      </w:r>
    </w:p>
    <w:p>
      <w:pPr>
        <w:spacing w:after="0" w:line="155" w:lineRule="exact"/>
        <w:rPr>
          <w:sz w:val="20"/>
          <w:szCs w:val="20"/>
          <w:color w:val="auto"/>
        </w:rPr>
      </w:pPr>
    </w:p>
    <w:p>
      <w:pPr>
        <w:jc w:val="both"/>
        <w:ind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(rr)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Other Award</w:t>
      </w:r>
      <w:r>
        <w:rPr>
          <w:rFonts w:ascii="Times New Roman" w:cs="Times New Roman" w:eastAsia="Times New Roman" w:hAnsi="Times New Roman"/>
          <w:sz w:val="12"/>
          <w:szCs w:val="12"/>
          <w:color w:val="auto"/>
        </w:rPr>
        <w:t>” means an award valued in whole or in part by reference to, or otherwise based on, Common Stock, including the appreciation in value thereof (e.g., options or stock rights with an exercise price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strike price less than 100% of the Fair Market Value at the time of grant) that is not an Incentive Stock Option, Nonstatutory Stock Option, SAR, Restricted Stock Award, RSU Award or Performance Award.</w:t>
      </w:r>
    </w:p>
    <w:p>
      <w:pPr>
        <w:spacing w:after="0" w:line="102" w:lineRule="exact"/>
        <w:rPr>
          <w:sz w:val="20"/>
          <w:szCs w:val="20"/>
          <w:color w:val="auto"/>
        </w:rPr>
      </w:pPr>
    </w:p>
    <w:p>
      <w:pPr>
        <w:jc w:val="both"/>
        <w:ind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(ss)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Other Award Agreement</w:t>
      </w:r>
      <w:r>
        <w:rPr>
          <w:rFonts w:ascii="Times New Roman" w:cs="Times New Roman" w:eastAsia="Times New Roman" w:hAnsi="Times New Roman"/>
          <w:sz w:val="12"/>
          <w:szCs w:val="12"/>
          <w:color w:val="auto"/>
        </w:rPr>
        <w:t>” means a written or electronic agreement between the Company and a holder of an Other Award evidencing the terms and conditions of an Other Award grant. Each Other Award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will be subject to the terms and conditions of the Plan.</w:t>
      </w:r>
    </w:p>
    <w:p>
      <w:pPr>
        <w:spacing w:after="0" w:line="102" w:lineRule="exact"/>
        <w:rPr>
          <w:sz w:val="20"/>
          <w:szCs w:val="20"/>
          <w:color w:val="auto"/>
        </w:rPr>
      </w:pPr>
    </w:p>
    <w:p>
      <w:pPr>
        <w:jc w:val="both"/>
        <w:ind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(tt)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Own,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i w:val="1"/>
          <w:iCs w:val="1"/>
          <w:color w:val="auto"/>
        </w:rPr>
        <w:t>Owned,</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i w:val="1"/>
          <w:iCs w:val="1"/>
          <w:color w:val="auto"/>
        </w:rPr>
        <w:t>Owner,</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Ownership</w:t>
      </w:r>
      <w:r>
        <w:rPr>
          <w:rFonts w:ascii="Times New Roman" w:cs="Times New Roman" w:eastAsia="Times New Roman" w:hAnsi="Times New Roman"/>
          <w:sz w:val="12"/>
          <w:szCs w:val="12"/>
          <w:color w:val="auto"/>
        </w:rPr>
        <w:t>” means that a person or Entity will be deemed to “Own,” to have “Owned,” to be the “Owner” of, or to have acquired “Ownership” of securities if such person or Entity,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directly or indirectly, through any contract, arrangement, understanding, relationship or otherwise, has or shares voting power, which includes the power to vote or to direct the voting, with respect to such securities.</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(uu)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Participant</w:t>
      </w:r>
      <w:r>
        <w:rPr>
          <w:rFonts w:ascii="Times New Roman" w:cs="Times New Roman" w:eastAsia="Times New Roman" w:hAnsi="Times New Roman"/>
          <w:sz w:val="12"/>
          <w:szCs w:val="12"/>
          <w:color w:val="auto"/>
        </w:rPr>
        <w:t>” means an Employee, Director or Consultant to whom an Award is granted pursuant to the Plan or, if applicable, such other person who holds an outstanding Award.</w:t>
      </w:r>
    </w:p>
    <w:p>
      <w:pPr>
        <w:spacing w:after="0" w:line="15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(vv)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Performance Award</w:t>
      </w:r>
      <w:r>
        <w:rPr>
          <w:rFonts w:ascii="Times New Roman" w:cs="Times New Roman" w:eastAsia="Times New Roman" w:hAnsi="Times New Roman"/>
          <w:sz w:val="12"/>
          <w:szCs w:val="12"/>
          <w:color w:val="auto"/>
        </w:rPr>
        <w:t>” means an Award that may vest or may be exercised or a cash award that may vest or become earned and paid contingent upon the attainment during a Performance Period of certain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0">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88" w:name="page389"/>
    <w:bookmarkEnd w:id="388"/>
    <w:p>
      <w:pPr>
        <w:jc w:val="both"/>
        <w:ind w:firstLine="440"/>
        <w:spacing w:after="0" w:line="258" w:lineRule="auto"/>
        <w:rPr>
          <w:sz w:val="20"/>
          <w:szCs w:val="20"/>
          <w:color w:val="auto"/>
        </w:rPr>
      </w:pPr>
      <w:r>
        <w:rPr>
          <w:rFonts w:ascii="Times New Roman" w:cs="Times New Roman" w:eastAsia="Times New Roman" w:hAnsi="Times New Roman"/>
          <w:sz w:val="12"/>
          <w:szCs w:val="12"/>
          <w:b w:val="1"/>
          <w:bCs w:val="1"/>
          <w:color w:val="auto"/>
        </w:rPr>
        <w:t xml:space="preserve">(ww)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Performance Criteria</w:t>
      </w:r>
      <w:r>
        <w:rPr>
          <w:rFonts w:ascii="Times New Roman" w:cs="Times New Roman" w:eastAsia="Times New Roman" w:hAnsi="Times New Roman"/>
          <w:sz w:val="12"/>
          <w:szCs w:val="12"/>
          <w:color w:val="auto"/>
        </w:rPr>
        <w:t>” means one or more criteria that the Board will select for purposes of establishing the Performance Goals for a Performance Period. The Performance Criteria that will be used to establish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U.S.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127"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2"/>
          <w:szCs w:val="12"/>
          <w:b w:val="1"/>
          <w:bCs w:val="1"/>
          <w:color w:val="auto"/>
        </w:rPr>
        <w:t>(xx)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Performance Goals</w:t>
      </w:r>
      <w:r>
        <w:rPr>
          <w:rFonts w:ascii="Times New Roman" w:cs="Times New Roman" w:eastAsia="Times New Roman" w:hAnsi="Times New Roman"/>
          <w:sz w:val="12"/>
          <w:szCs w:val="12"/>
          <w:color w:val="auto"/>
        </w:rPr>
        <w:t>” means, for a Performance Period, one or more goals established by the Board for the Performance Period based upon the Performance Criteria. Performance Goals may be based on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11">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89" w:name="page390"/>
    <w:bookmarkEnd w:id="389"/>
    <w:p>
      <w:pPr>
        <w:jc w:val="both"/>
        <w:ind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(yy)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Performance Period</w:t>
      </w:r>
      <w:r>
        <w:rPr>
          <w:rFonts w:ascii="Times New Roman" w:cs="Times New Roman" w:eastAsia="Times New Roman" w:hAnsi="Times New Roman"/>
          <w:sz w:val="12"/>
          <w:szCs w:val="12"/>
          <w:color w:val="auto"/>
        </w:rPr>
        <w:t>” means the period of time selected by the Board over which the attainment of one or more Performance Goals will be measured for the purpose of determining a Participant’s right to vesting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exercise of an Award. Performance Periods may be of varying and overlapping duration, at the sole discretion of the Board.</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(zz)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Plan</w:t>
      </w:r>
      <w:r>
        <w:rPr>
          <w:rFonts w:ascii="Times New Roman" w:cs="Times New Roman" w:eastAsia="Times New Roman" w:hAnsi="Times New Roman"/>
          <w:sz w:val="12"/>
          <w:szCs w:val="12"/>
          <w:color w:val="auto"/>
        </w:rPr>
        <w:t>” means this Alumis Inc. 2024 Equity Incentive Plan, as amended from time to time.</w:t>
      </w:r>
    </w:p>
    <w:p>
      <w:pPr>
        <w:spacing w:after="0" w:line="155" w:lineRule="exact"/>
        <w:rPr>
          <w:sz w:val="20"/>
          <w:szCs w:val="20"/>
          <w:color w:val="auto"/>
        </w:rPr>
      </w:pPr>
    </w:p>
    <w:p>
      <w:pPr>
        <w:jc w:val="both"/>
        <w:ind w:right="20" w:firstLine="440"/>
        <w:spacing w:after="0" w:line="267" w:lineRule="auto"/>
        <w:rPr>
          <w:sz w:val="20"/>
          <w:szCs w:val="20"/>
          <w:color w:val="auto"/>
        </w:rPr>
      </w:pPr>
      <w:r>
        <w:rPr>
          <w:rFonts w:ascii="Times New Roman" w:cs="Times New Roman" w:eastAsia="Times New Roman" w:hAnsi="Times New Roman"/>
          <w:sz w:val="12"/>
          <w:szCs w:val="12"/>
          <w:b w:val="1"/>
          <w:bCs w:val="1"/>
          <w:color w:val="auto"/>
        </w:rPr>
        <w:t xml:space="preserve">(aaa)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Plan Administrator</w:t>
      </w:r>
      <w:r>
        <w:rPr>
          <w:rFonts w:ascii="Times New Roman" w:cs="Times New Roman" w:eastAsia="Times New Roman" w:hAnsi="Times New Roman"/>
          <w:sz w:val="12"/>
          <w:szCs w:val="12"/>
          <w:color w:val="auto"/>
        </w:rPr>
        <w:t>” means the person, persons, and/or third-party administrator designated by the Company to administer the day-to-day operations of the Plan and the Company’s other equity incentive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programs.</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(bbb)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Post-Termination Exercise Period</w:t>
      </w:r>
      <w:r>
        <w:rPr>
          <w:rFonts w:ascii="Times New Roman" w:cs="Times New Roman" w:eastAsia="Times New Roman" w:hAnsi="Times New Roman"/>
          <w:sz w:val="12"/>
          <w:szCs w:val="12"/>
          <w:color w:val="auto"/>
        </w:rPr>
        <w:t>” means the period following termination of a Participant’s Continuous Service within which an Option or SAR is exercisable, as specified in Section 4(h).</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(ccc)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Prior Plan</w:t>
      </w:r>
      <w:r>
        <w:rPr>
          <w:rFonts w:ascii="Times New Roman" w:cs="Times New Roman" w:eastAsia="Times New Roman" w:hAnsi="Times New Roman"/>
          <w:sz w:val="12"/>
          <w:szCs w:val="12"/>
          <w:color w:val="auto"/>
        </w:rPr>
        <w:t>” means the Alumis Inc. 2021 Stock Plan, as amended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(ddd)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Prospectus</w:t>
      </w:r>
      <w:r>
        <w:rPr>
          <w:rFonts w:ascii="Times New Roman" w:cs="Times New Roman" w:eastAsia="Times New Roman" w:hAnsi="Times New Roman"/>
          <w:sz w:val="12"/>
          <w:szCs w:val="12"/>
          <w:color w:val="auto"/>
        </w:rPr>
        <w:t>” means the document containing the Plan information specified in Section 10(a) of the Securities Act.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(eee)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Restricted Stock Award</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RSA</w:t>
      </w:r>
      <w:r>
        <w:rPr>
          <w:rFonts w:ascii="Times New Roman" w:cs="Times New Roman" w:eastAsia="Times New Roman" w:hAnsi="Times New Roman"/>
          <w:sz w:val="12"/>
          <w:szCs w:val="12"/>
          <w:color w:val="auto"/>
        </w:rPr>
        <w:t>” means an Award of shares of Common Stock which is granted pursuant to the terms and conditions of Section 5(a).</w:t>
      </w:r>
    </w:p>
    <w:p>
      <w:pPr>
        <w:spacing w:after="0" w:line="155" w:lineRule="exact"/>
        <w:rPr>
          <w:sz w:val="20"/>
          <w:szCs w:val="20"/>
          <w:color w:val="auto"/>
        </w:rPr>
      </w:pPr>
    </w:p>
    <w:p>
      <w:pPr>
        <w:jc w:val="both"/>
        <w:ind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(fff)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Restricted Stock Award Agreement</w:t>
      </w:r>
      <w:r>
        <w:rPr>
          <w:rFonts w:ascii="Times New Roman" w:cs="Times New Roman" w:eastAsia="Times New Roman" w:hAnsi="Times New Roman"/>
          <w:sz w:val="12"/>
          <w:szCs w:val="12"/>
          <w:color w:val="auto"/>
        </w:rPr>
        <w:t>” means a written or electronic agreement between the Company and a holder of a Restricted Stock Award evidencing the terms and conditions of a Restricted Stock Award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12">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90" w:name="page391"/>
    <w:bookmarkEnd w:id="390"/>
    <w:p>
      <w:pPr>
        <w:jc w:val="both"/>
        <w:ind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(ggg)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Returning Shares</w:t>
      </w:r>
      <w:r>
        <w:rPr>
          <w:rFonts w:ascii="Times New Roman" w:cs="Times New Roman" w:eastAsia="Times New Roman" w:hAnsi="Times New Roman"/>
          <w:sz w:val="12"/>
          <w:szCs w:val="12"/>
          <w:color w:val="auto"/>
        </w:rPr>
        <w:t>” means shares subject to outstanding stock awards granted under the Prior Plan and that following the Effective Date: (A) are not issued because such stock award or any portion thereof expires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(hhh)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RSU Award</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RSU</w:t>
      </w:r>
      <w:r>
        <w:rPr>
          <w:rFonts w:ascii="Times New Roman" w:cs="Times New Roman" w:eastAsia="Times New Roman" w:hAnsi="Times New Roman"/>
          <w:sz w:val="12"/>
          <w:szCs w:val="12"/>
          <w:color w:val="auto"/>
        </w:rPr>
        <w:t>” means an Award of restricted stock units representing the right to receive an issuance of shares of Common Stock which is granted pursuant to the terms and conditions of Section 5(a).</w:t>
      </w:r>
    </w:p>
    <w:p>
      <w:pPr>
        <w:spacing w:after="0" w:line="155" w:lineRule="exact"/>
        <w:rPr>
          <w:sz w:val="20"/>
          <w:szCs w:val="20"/>
          <w:color w:val="auto"/>
        </w:rPr>
      </w:pPr>
    </w:p>
    <w:p>
      <w:pPr>
        <w:jc w:val="both"/>
        <w:ind w:right="20"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(iii)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RSU Award Agreement</w:t>
      </w:r>
      <w:r>
        <w:rPr>
          <w:rFonts w:ascii="Times New Roman" w:cs="Times New Roman" w:eastAsia="Times New Roman" w:hAnsi="Times New Roman"/>
          <w:sz w:val="12"/>
          <w:szCs w:val="12"/>
          <w:color w:val="auto"/>
        </w:rPr>
        <w:t>” means a written or electronic agreement between the Company and a holder of an RSU Award evidencing the terms and conditions of an RSU Award grant. The RSU Award Agreement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(jjj)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Rule 16b-3</w:t>
      </w:r>
      <w:r>
        <w:rPr>
          <w:rFonts w:ascii="Times New Roman" w:cs="Times New Roman" w:eastAsia="Times New Roman" w:hAnsi="Times New Roman"/>
          <w:sz w:val="12"/>
          <w:szCs w:val="12"/>
          <w:color w:val="auto"/>
        </w:rPr>
        <w:t>” means Rule 16b-3 promulgated under the Exchange Act or any successor to Rule 16b-3, as in effect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(kkk)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Rule 405</w:t>
      </w:r>
      <w:r>
        <w:rPr>
          <w:rFonts w:ascii="Times New Roman" w:cs="Times New Roman" w:eastAsia="Times New Roman" w:hAnsi="Times New Roman"/>
          <w:sz w:val="12"/>
          <w:szCs w:val="12"/>
          <w:color w:val="auto"/>
        </w:rPr>
        <w:t>” means Rule 405 promulgated under the Securities Act.</w:t>
      </w:r>
    </w:p>
    <w:p>
      <w:pPr>
        <w:spacing w:after="0" w:line="155" w:lineRule="exact"/>
        <w:rPr>
          <w:sz w:val="20"/>
          <w:szCs w:val="20"/>
          <w:color w:val="auto"/>
        </w:rPr>
      </w:pPr>
    </w:p>
    <w:p>
      <w:pPr>
        <w:jc w:val="both"/>
        <w:ind w:firstLine="440"/>
        <w:spacing w:after="0" w:line="274" w:lineRule="auto"/>
        <w:rPr>
          <w:sz w:val="20"/>
          <w:szCs w:val="20"/>
          <w:color w:val="auto"/>
        </w:rPr>
      </w:pPr>
      <w:r>
        <w:rPr>
          <w:rFonts w:ascii="Times New Roman" w:cs="Times New Roman" w:eastAsia="Times New Roman" w:hAnsi="Times New Roman"/>
          <w:sz w:val="12"/>
          <w:szCs w:val="12"/>
          <w:b w:val="1"/>
          <w:bCs w:val="1"/>
          <w:color w:val="auto"/>
        </w:rPr>
        <w:t xml:space="preserve">(lll)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SAR Agreement</w:t>
      </w:r>
      <w:r>
        <w:rPr>
          <w:rFonts w:ascii="Times New Roman" w:cs="Times New Roman" w:eastAsia="Times New Roman" w:hAnsi="Times New Roman"/>
          <w:sz w:val="12"/>
          <w:szCs w:val="12"/>
          <w:color w:val="auto"/>
        </w:rPr>
        <w:t>” means a written or electronic agreement between the Company and a holder of a SAR evidencing the terms and conditions of a SAR grant. The SAR Agreement includes the Grant Notice for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(mmm)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Section 409A</w:t>
      </w:r>
      <w:r>
        <w:rPr>
          <w:rFonts w:ascii="Times New Roman" w:cs="Times New Roman" w:eastAsia="Times New Roman" w:hAnsi="Times New Roman"/>
          <w:sz w:val="12"/>
          <w:szCs w:val="12"/>
          <w:color w:val="auto"/>
        </w:rPr>
        <w:t>” means Section 409A of the Code and the regulations and other guidance thereunder.</w:t>
      </w:r>
    </w:p>
    <w:p>
      <w:pPr>
        <w:spacing w:after="0" w:line="155" w:lineRule="exact"/>
        <w:rPr>
          <w:sz w:val="20"/>
          <w:szCs w:val="20"/>
          <w:color w:val="auto"/>
        </w:rPr>
      </w:pPr>
    </w:p>
    <w:p>
      <w:pPr>
        <w:jc w:val="both"/>
        <w:ind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(nnn)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Section 409A Change in Control</w:t>
      </w:r>
      <w:r>
        <w:rPr>
          <w:rFonts w:ascii="Times New Roman" w:cs="Times New Roman" w:eastAsia="Times New Roman" w:hAnsi="Times New Roman"/>
          <w:sz w:val="12"/>
          <w:szCs w:val="12"/>
          <w:color w:val="auto"/>
        </w:rPr>
        <w:t>” means a change in the ownership or effective control of the Company, or in the ownership of a substantial portion of the Company’s assets, as provided in Section 409A(a)(2)</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(A)(v) of the Code and U.S. Treasury Regulations Section 1.409A-3(i)(5) (without regard to any alternative definition thereunder).</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(ooo)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Securities Act</w:t>
      </w:r>
      <w:r>
        <w:rPr>
          <w:rFonts w:ascii="Times New Roman" w:cs="Times New Roman" w:eastAsia="Times New Roman" w:hAnsi="Times New Roman"/>
          <w:sz w:val="12"/>
          <w:szCs w:val="12"/>
          <w:color w:val="auto"/>
        </w:rPr>
        <w:t>” means the U.S. Securities Act of 1933, as amended.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(ppp)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Share Reserve</w:t>
      </w:r>
      <w:r>
        <w:rPr>
          <w:rFonts w:ascii="Times New Roman" w:cs="Times New Roman" w:eastAsia="Times New Roman" w:hAnsi="Times New Roman"/>
          <w:sz w:val="12"/>
          <w:szCs w:val="12"/>
          <w:color w:val="auto"/>
        </w:rPr>
        <w:t>” means the number of shares available for issuance under the Plan as set forth in Section 2(a).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(qqq)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Stock Appreciation Right</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i w:val="1"/>
          <w:iCs w:val="1"/>
          <w:color w:val="auto"/>
        </w:rPr>
        <w:t>SAR</w:t>
      </w:r>
      <w:r>
        <w:rPr>
          <w:rFonts w:ascii="Times New Roman" w:cs="Times New Roman" w:eastAsia="Times New Roman" w:hAnsi="Times New Roman"/>
          <w:sz w:val="12"/>
          <w:szCs w:val="12"/>
          <w:color w:val="auto"/>
        </w:rPr>
        <w:t>” means a right to receive the appreciation on Common Stock that is granted pursuant to the terms and conditions of Section 4.</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13">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91" w:name="page392"/>
    <w:bookmarkEnd w:id="391"/>
    <w:p>
      <w:pPr>
        <w:jc w:val="both"/>
        <w:ind w:firstLine="4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(rrr)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Subsidiary</w:t>
      </w:r>
      <w:r>
        <w:rPr>
          <w:rFonts w:ascii="Times New Roman" w:cs="Times New Roman" w:eastAsia="Times New Roman" w:hAnsi="Times New Roman"/>
          <w:sz w:val="12"/>
          <w:szCs w:val="12"/>
          <w:color w:val="auto"/>
        </w:rPr>
        <w:t>” means, with respect to the Company, (i) any corporation of which more than 50% of the outstanding capital stock having ordinary voting power to elect a majority of the board of directors of such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16" w:lineRule="exact"/>
        <w:rPr>
          <w:sz w:val="20"/>
          <w:szCs w:val="20"/>
          <w:color w:val="auto"/>
        </w:rPr>
      </w:pPr>
    </w:p>
    <w:p>
      <w:pPr>
        <w:jc w:val="both"/>
        <w:ind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(sss)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Tax-Related Items</w:t>
      </w:r>
      <w:r>
        <w:rPr>
          <w:rFonts w:ascii="Times New Roman" w:cs="Times New Roman" w:eastAsia="Times New Roman" w:hAnsi="Times New Roman"/>
          <w:sz w:val="12"/>
          <w:szCs w:val="12"/>
          <w:color w:val="auto"/>
        </w:rPr>
        <w:t>” means any income tax, social insurance, payroll tax, fringe benefit tax, payment on account or other tax-related items arising out of or in relation to a Participant’s participation in the Plan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legally applicable or deemed applicable to the Participant.</w:t>
      </w:r>
    </w:p>
    <w:p>
      <w:pPr>
        <w:spacing w:after="0" w:line="102" w:lineRule="exact"/>
        <w:rPr>
          <w:sz w:val="20"/>
          <w:szCs w:val="20"/>
          <w:color w:val="auto"/>
        </w:rPr>
      </w:pPr>
    </w:p>
    <w:p>
      <w:pPr>
        <w:jc w:val="both"/>
        <w:ind w:right="20"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(ttt)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Ten Percent Stockholder</w:t>
      </w:r>
      <w:r>
        <w:rPr>
          <w:rFonts w:ascii="Times New Roman" w:cs="Times New Roman" w:eastAsia="Times New Roman" w:hAnsi="Times New Roman"/>
          <w:sz w:val="12"/>
          <w:szCs w:val="12"/>
          <w:color w:val="auto"/>
        </w:rPr>
        <w:t>” means a person who Owns (or is deemed to Own pursuant to Section 424(d) of the Code) stock possessing more than 10% of the total combined voting power of all classes of stock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Company or any Affiliate.</w:t>
      </w:r>
    </w:p>
    <w:p>
      <w:pPr>
        <w:spacing w:after="0" w:line="102" w:lineRule="exact"/>
        <w:rPr>
          <w:sz w:val="20"/>
          <w:szCs w:val="20"/>
          <w:color w:val="auto"/>
        </w:rPr>
      </w:pPr>
    </w:p>
    <w:p>
      <w:pPr>
        <w:jc w:val="both"/>
        <w:ind w:firstLine="440"/>
        <w:spacing w:after="0" w:line="294" w:lineRule="auto"/>
        <w:rPr>
          <w:sz w:val="20"/>
          <w:szCs w:val="20"/>
          <w:color w:val="auto"/>
        </w:rPr>
      </w:pPr>
      <w:r>
        <w:rPr>
          <w:rFonts w:ascii="Times New Roman" w:cs="Times New Roman" w:eastAsia="Times New Roman" w:hAnsi="Times New Roman"/>
          <w:sz w:val="12"/>
          <w:szCs w:val="12"/>
          <w:b w:val="1"/>
          <w:bCs w:val="1"/>
          <w:color w:val="auto"/>
        </w:rPr>
        <w:t xml:space="preserve">(uuu)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Trading Policy</w:t>
      </w:r>
      <w:r>
        <w:rPr>
          <w:rFonts w:ascii="Times New Roman" w:cs="Times New Roman" w:eastAsia="Times New Roman" w:hAnsi="Times New Roman"/>
          <w:sz w:val="12"/>
          <w:szCs w:val="12"/>
          <w:color w:val="auto"/>
        </w:rPr>
        <w:t>” means the Company’s policy permitting certain individuals to sell Company shares only during certain “window” periods and/or otherwise restricts the ability of certain individuals to transfer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encumber Company shares, as in effect from time to time.</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(vvv)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Unvested Non-Exempt Award</w:t>
      </w:r>
      <w:r>
        <w:rPr>
          <w:rFonts w:ascii="Times New Roman" w:cs="Times New Roman" w:eastAsia="Times New Roman" w:hAnsi="Times New Roman"/>
          <w:sz w:val="12"/>
          <w:szCs w:val="12"/>
          <w:color w:val="auto"/>
        </w:rPr>
        <w:t>” means the portion of any Non-Exempt Award that had not vested in accordance with its terms upon or prior to the date of any Corporate Transaction.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(www)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Vested Non-Exempt Award</w:t>
      </w:r>
      <w:r>
        <w:rPr>
          <w:rFonts w:ascii="Times New Roman" w:cs="Times New Roman" w:eastAsia="Times New Roman" w:hAnsi="Times New Roman"/>
          <w:sz w:val="12"/>
          <w:szCs w:val="12"/>
          <w:color w:val="auto"/>
        </w:rPr>
        <w:t>” means the portion of any Non-Exempt Award that had vested in accordance with its terms upon or prior to the date of a Corporate Transaction.</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14">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5"/>
          <w:szCs w:val="15"/>
          <w:color w:val="auto"/>
        </w:rPr>
        <w:t> </w:t>
      </w:r>
    </w:p>
    <w:p>
      <w:pPr>
        <w:jc w:val="right"/>
        <w:spacing w:after="0"/>
        <w:rPr>
          <w:sz w:val="20"/>
          <w:szCs w:val="20"/>
          <w:color w:val="auto"/>
        </w:rPr>
      </w:pPr>
      <w:r>
        <w:rPr>
          <w:rFonts w:ascii="Times New Roman" w:cs="Times New Roman" w:eastAsia="Times New Roman" w:hAnsi="Times New Roman"/>
          <w:sz w:val="15"/>
          <w:szCs w:val="15"/>
          <w:b w:val="1"/>
          <w:bCs w:val="1"/>
          <w:color w:val="auto"/>
        </w:rPr>
        <w:t>Exhibit 10.4</w:t>
      </w:r>
    </w:p>
    <w:p>
      <w:pPr>
        <w:spacing w:after="0" w:line="229" w:lineRule="auto"/>
        <w:rPr>
          <w:sz w:val="20"/>
          <w:szCs w:val="20"/>
          <w:color w:val="auto"/>
        </w:rPr>
      </w:pPr>
      <w:r>
        <w:rPr>
          <w:rFonts w:ascii="Times New Roman" w:cs="Times New Roman" w:eastAsia="Times New Roman" w:hAnsi="Times New Roman"/>
          <w:sz w:val="15"/>
          <w:szCs w:val="15"/>
          <w:color w:val="auto"/>
        </w:rPr>
        <w:t> </w:t>
      </w:r>
    </w:p>
    <w:p>
      <w:pPr>
        <w:jc w:val="right"/>
        <w:spacing w:after="0" w:line="229" w:lineRule="auto"/>
        <w:rPr>
          <w:sz w:val="20"/>
          <w:szCs w:val="20"/>
          <w:color w:val="auto"/>
        </w:rPr>
      </w:pPr>
      <w:r>
        <w:rPr>
          <w:rFonts w:ascii="Times New Roman" w:cs="Times New Roman" w:eastAsia="Times New Roman" w:hAnsi="Times New Roman"/>
          <w:sz w:val="15"/>
          <w:szCs w:val="15"/>
          <w:i w:val="1"/>
          <w:iCs w:val="1"/>
          <w:color w:val="auto"/>
        </w:rPr>
        <w:t>Standard Form</w:t>
      </w:r>
    </w:p>
    <w:p>
      <w:pPr>
        <w:spacing w:after="0" w:line="234" w:lineRule="auto"/>
        <w:rPr>
          <w:sz w:val="20"/>
          <w:szCs w:val="20"/>
          <w:color w:val="auto"/>
        </w:rPr>
      </w:pPr>
      <w:r>
        <w:rPr>
          <w:rFonts w:ascii="Times New Roman" w:cs="Times New Roman" w:eastAsia="Times New Roman" w:hAnsi="Times New Roman"/>
          <w:sz w:val="15"/>
          <w:szCs w:val="15"/>
          <w:color w:val="auto"/>
        </w:rPr>
        <w:t> </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lumis</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nc</w:t>
      </w:r>
      <w:r>
        <w:rPr>
          <w:rFonts w:ascii="Times New Roman" w:cs="Times New Roman" w:eastAsia="Times New Roman" w:hAnsi="Times New Roman"/>
          <w:sz w:val="12"/>
          <w:szCs w:val="12"/>
          <w:b w:val="1"/>
          <w:bCs w:val="1"/>
          <w:color w:val="auto"/>
        </w:rPr>
        <w: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8"/>
          <w:szCs w:val="8"/>
          <w:b w:val="1"/>
          <w:bCs w:val="1"/>
          <w:color w:val="auto"/>
        </w:rPr>
        <w:t>tock</w:t>
      </w:r>
      <w:r>
        <w:rPr>
          <w:rFonts w:ascii="Times New Roman" w:cs="Times New Roman" w:eastAsia="Times New Roman" w:hAnsi="Times New Roman"/>
          <w:sz w:val="12"/>
          <w:szCs w:val="12"/>
          <w:b w:val="1"/>
          <w:bCs w:val="1"/>
          <w:color w:val="auto"/>
        </w:rPr>
        <w:t xml:space="preserve"> O</w:t>
      </w:r>
      <w:r>
        <w:rPr>
          <w:rFonts w:ascii="Times New Roman" w:cs="Times New Roman" w:eastAsia="Times New Roman" w:hAnsi="Times New Roman"/>
          <w:sz w:val="8"/>
          <w:szCs w:val="8"/>
          <w:b w:val="1"/>
          <w:bCs w:val="1"/>
          <w:color w:val="auto"/>
        </w:rPr>
        <w:t>ption</w:t>
      </w:r>
      <w:r>
        <w:rPr>
          <w:rFonts w:ascii="Times New Roman" w:cs="Times New Roman" w:eastAsia="Times New Roman" w:hAnsi="Times New Roman"/>
          <w:sz w:val="12"/>
          <w:szCs w:val="12"/>
          <w:b w:val="1"/>
          <w:bCs w:val="1"/>
          <w:color w:val="auto"/>
        </w:rPr>
        <w:t xml:space="preserve"> G</w:t>
      </w:r>
      <w:r>
        <w:rPr>
          <w:rFonts w:ascii="Times New Roman" w:cs="Times New Roman" w:eastAsia="Times New Roman" w:hAnsi="Times New Roman"/>
          <w:sz w:val="8"/>
          <w:szCs w:val="8"/>
          <w:b w:val="1"/>
          <w:bCs w:val="1"/>
          <w:color w:val="auto"/>
        </w:rPr>
        <w:t>rant</w:t>
      </w:r>
      <w:r>
        <w:rPr>
          <w:rFonts w:ascii="Times New Roman" w:cs="Times New Roman" w:eastAsia="Times New Roman" w:hAnsi="Times New Roman"/>
          <w:sz w:val="12"/>
          <w:szCs w:val="12"/>
          <w:b w:val="1"/>
          <w:bCs w:val="1"/>
          <w:color w:val="auto"/>
        </w:rPr>
        <w:t xml:space="preserve"> N</w:t>
      </w:r>
      <w:r>
        <w:rPr>
          <w:rFonts w:ascii="Times New Roman" w:cs="Times New Roman" w:eastAsia="Times New Roman" w:hAnsi="Times New Roman"/>
          <w:sz w:val="8"/>
          <w:szCs w:val="8"/>
          <w:b w:val="1"/>
          <w:bCs w:val="1"/>
          <w:color w:val="auto"/>
        </w:rPr>
        <w:t>otice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(2024 E</w:t>
      </w:r>
      <w:r>
        <w:rPr>
          <w:rFonts w:ascii="Times New Roman" w:cs="Times New Roman" w:eastAsia="Times New Roman" w:hAnsi="Times New Roman"/>
          <w:sz w:val="8"/>
          <w:szCs w:val="8"/>
          <w:b w:val="1"/>
          <w:bCs w:val="1"/>
          <w:color w:val="auto"/>
        </w:rPr>
        <w:t>quity</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ncentive</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lan</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2"/>
          <w:szCs w:val="12"/>
          <w:color w:val="auto"/>
        </w:rPr>
        <w:t>Alumis Inc.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pursuant to the Company’s 2024 Equity Incentive Plan (the “</w:t>
      </w:r>
      <w:r>
        <w:rPr>
          <w:rFonts w:ascii="Times New Roman" w:cs="Times New Roman" w:eastAsia="Times New Roman" w:hAnsi="Times New Roman"/>
          <w:sz w:val="12"/>
          <w:szCs w:val="12"/>
          <w:b w:val="1"/>
          <w:bCs w:val="1"/>
          <w:i w:val="1"/>
          <w:iCs w:val="1"/>
          <w:color w:val="auto"/>
        </w:rPr>
        <w:t>Plan</w:t>
      </w:r>
      <w:r>
        <w:rPr>
          <w:rFonts w:ascii="Times New Roman" w:cs="Times New Roman" w:eastAsia="Times New Roman" w:hAnsi="Times New Roman"/>
          <w:sz w:val="12"/>
          <w:szCs w:val="12"/>
          <w:color w:val="auto"/>
        </w:rPr>
        <w:t>”), has granted to you (“</w:t>
      </w:r>
      <w:r>
        <w:rPr>
          <w:rFonts w:ascii="Times New Roman" w:cs="Times New Roman" w:eastAsia="Times New Roman" w:hAnsi="Times New Roman"/>
          <w:sz w:val="12"/>
          <w:szCs w:val="12"/>
          <w:b w:val="1"/>
          <w:bCs w:val="1"/>
          <w:i w:val="1"/>
          <w:iCs w:val="1"/>
          <w:color w:val="auto"/>
        </w:rPr>
        <w:t>Optionholder</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an option to purchase the number of shares of the Common Stock set forth below (the “</w:t>
      </w:r>
      <w:r>
        <w:rPr>
          <w:rFonts w:ascii="Times New Roman" w:cs="Times New Roman" w:eastAsia="Times New Roman" w:hAnsi="Times New Roman"/>
          <w:sz w:val="12"/>
          <w:szCs w:val="12"/>
          <w:b w:val="1"/>
          <w:bCs w:val="1"/>
          <w:i w:val="1"/>
          <w:iCs w:val="1"/>
          <w:color w:val="auto"/>
        </w:rPr>
        <w:t>Option</w:t>
      </w:r>
      <w:r>
        <w:rPr>
          <w:rFonts w:ascii="Times New Roman" w:cs="Times New Roman" w:eastAsia="Times New Roman" w:hAnsi="Times New Roman"/>
          <w:sz w:val="12"/>
          <w:szCs w:val="12"/>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  </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020" w:type="dxa"/>
            <w:vAlign w:val="bottom"/>
          </w:tcPr>
          <w:p>
            <w:pPr>
              <w:spacing w:after="0"/>
              <w:rPr>
                <w:sz w:val="12"/>
                <w:szCs w:val="12"/>
                <w:color w:val="auto"/>
              </w:rPr>
            </w:pP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Optionholder:</w:t>
            </w:r>
          </w:p>
        </w:tc>
        <w:tc>
          <w:tcPr>
            <w:tcW w:w="116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 </w:t>
            </w:r>
          </w:p>
        </w:tc>
        <w:tc>
          <w:tcPr>
            <w:tcW w:w="3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454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Date of Grant:</w:t>
            </w:r>
          </w:p>
        </w:tc>
        <w:tc>
          <w:tcPr>
            <w:tcW w:w="1160" w:type="dxa"/>
            <w:vAlign w:val="bottom"/>
          </w:tcPr>
          <w:p>
            <w:pPr>
              <w:ind w:left="100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3440" w:type="dxa"/>
            <w:vAlign w:val="bottom"/>
            <w:tcBorders>
              <w:bottom w:val="single" w:sz="8" w:color="auto"/>
            </w:tcBorders>
            <w:gridSpan w:val="2"/>
          </w:tcPr>
          <w:p>
            <w:pPr>
              <w:spacing w:after="0" w:line="136"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454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Vesting Commencement Date:</w:t>
            </w:r>
          </w:p>
        </w:tc>
        <w:tc>
          <w:tcPr>
            <w:tcW w:w="1160" w:type="dxa"/>
            <w:vAlign w:val="bottom"/>
          </w:tcPr>
          <w:p>
            <w:pPr>
              <w:ind w:left="100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3440" w:type="dxa"/>
            <w:vAlign w:val="bottom"/>
            <w:tcBorders>
              <w:bottom w:val="single" w:sz="8" w:color="auto"/>
            </w:tcBorders>
            <w:gridSpan w:val="2"/>
          </w:tcPr>
          <w:p>
            <w:pPr>
              <w:spacing w:after="0" w:line="136"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454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Number of Shares of Common Stock Subject to Option:</w:t>
            </w:r>
          </w:p>
        </w:tc>
        <w:tc>
          <w:tcPr>
            <w:tcW w:w="1160" w:type="dxa"/>
            <w:vAlign w:val="bottom"/>
          </w:tcPr>
          <w:p>
            <w:pPr>
              <w:ind w:left="100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3440" w:type="dxa"/>
            <w:vAlign w:val="bottom"/>
            <w:tcBorders>
              <w:bottom w:val="single" w:sz="8" w:color="auto"/>
            </w:tcBorders>
            <w:gridSpan w:val="2"/>
          </w:tcPr>
          <w:p>
            <w:pPr>
              <w:spacing w:after="0" w:line="136"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454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Exercise Price (Per Share):</w:t>
            </w:r>
          </w:p>
        </w:tc>
        <w:tc>
          <w:tcPr>
            <w:tcW w:w="1160" w:type="dxa"/>
            <w:vAlign w:val="bottom"/>
          </w:tcPr>
          <w:p>
            <w:pPr>
              <w:ind w:left="100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3440" w:type="dxa"/>
            <w:vAlign w:val="bottom"/>
            <w:tcBorders>
              <w:bottom w:val="single" w:sz="8" w:color="auto"/>
            </w:tcBorders>
            <w:gridSpan w:val="2"/>
          </w:tcPr>
          <w:p>
            <w:pPr>
              <w:spacing w:after="0" w:line="136"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454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Total Exercise Price:</w:t>
            </w:r>
          </w:p>
        </w:tc>
        <w:tc>
          <w:tcPr>
            <w:tcW w:w="1160" w:type="dxa"/>
            <w:vAlign w:val="bottom"/>
          </w:tcPr>
          <w:p>
            <w:pPr>
              <w:ind w:left="100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3440" w:type="dxa"/>
            <w:vAlign w:val="bottom"/>
            <w:tcBorders>
              <w:bottom w:val="single" w:sz="8" w:color="auto"/>
            </w:tcBorders>
            <w:gridSpan w:val="2"/>
          </w:tcPr>
          <w:p>
            <w:pPr>
              <w:spacing w:after="0" w:line="136"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36"/>
        </w:trPr>
        <w:tc>
          <w:tcPr>
            <w:tcW w:w="10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w:t>
            </w:r>
          </w:p>
        </w:tc>
        <w:tc>
          <w:tcPr>
            <w:tcW w:w="454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Expiration Date:</w:t>
            </w:r>
          </w:p>
        </w:tc>
        <w:tc>
          <w:tcPr>
            <w:tcW w:w="1160" w:type="dxa"/>
            <w:vAlign w:val="bottom"/>
          </w:tcPr>
          <w:p>
            <w:pPr>
              <w:ind w:left="100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3440" w:type="dxa"/>
            <w:vAlign w:val="bottom"/>
            <w:gridSpan w:val="2"/>
          </w:tcPr>
          <w:p>
            <w:pPr>
              <w:spacing w:after="0" w:line="136"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1"/>
        </w:trPr>
        <w:tc>
          <w:tcPr>
            <w:tcW w:w="1020" w:type="dxa"/>
            <w:vAlign w:val="bottom"/>
            <w:vMerge w:val="continue"/>
          </w:tcPr>
          <w:p>
            <w:pPr>
              <w:spacing w:after="0"/>
              <w:rPr>
                <w:sz w:val="10"/>
                <w:szCs w:val="10"/>
                <w:color w:val="auto"/>
              </w:rPr>
            </w:pPr>
          </w:p>
        </w:tc>
        <w:tc>
          <w:tcPr>
            <w:tcW w:w="1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20" w:type="dxa"/>
            <w:vAlign w:val="bottom"/>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Type of Grant:</w:t>
            </w:r>
          </w:p>
        </w:tc>
        <w:tc>
          <w:tcPr>
            <w:tcW w:w="4540" w:type="dxa"/>
            <w:vAlign w:val="bottom"/>
            <w:gridSpan w:val="3"/>
          </w:tcPr>
          <w:p>
            <w:pPr>
              <w:ind w:left="680"/>
              <w:spacing w:after="0" w:line="134" w:lineRule="exact"/>
              <w:rPr>
                <w:sz w:val="20"/>
                <w:szCs w:val="20"/>
                <w:color w:val="auto"/>
              </w:rPr>
            </w:pPr>
            <w:r>
              <w:rPr>
                <w:rFonts w:ascii="Times New Roman" w:cs="Times New Roman" w:eastAsia="Times New Roman" w:hAnsi="Times New Roman"/>
                <w:sz w:val="12"/>
                <w:szCs w:val="12"/>
                <w:b w:val="1"/>
                <w:bCs w:val="1"/>
                <w:color w:val="auto"/>
              </w:rPr>
              <w:t> [</w:t>
            </w:r>
            <w:r>
              <w:rPr>
                <w:rFonts w:ascii="Times New Roman" w:cs="Times New Roman" w:eastAsia="Times New Roman" w:hAnsi="Times New Roman"/>
                <w:sz w:val="12"/>
                <w:szCs w:val="12"/>
                <w:color w:val="auto"/>
              </w:rPr>
              <w:t>Incentive Stock Option] OR [Nonstatutory Stock Option]</w:t>
            </w: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9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Exercise and</w:t>
            </w:r>
          </w:p>
        </w:tc>
        <w:tc>
          <w:tcPr>
            <w:tcW w:w="4540" w:type="dxa"/>
            <w:vAlign w:val="bottom"/>
            <w:gridSpan w:val="3"/>
          </w:tcPr>
          <w:p>
            <w:pPr>
              <w:ind w:left="680"/>
              <w:spacing w:after="0"/>
              <w:rPr>
                <w:sz w:val="20"/>
                <w:szCs w:val="20"/>
                <w:color w:val="auto"/>
              </w:rPr>
            </w:pPr>
            <w:r>
              <w:rPr>
                <w:rFonts w:ascii="Times New Roman" w:cs="Times New Roman" w:eastAsia="Times New Roman" w:hAnsi="Times New Roman"/>
                <w:sz w:val="12"/>
                <w:szCs w:val="12"/>
                <w:color w:val="auto"/>
              </w:rPr>
              <w:t> </w:t>
            </w: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Vesting Schedule:</w:t>
            </w:r>
          </w:p>
        </w:tc>
        <w:tc>
          <w:tcPr>
            <w:tcW w:w="9140" w:type="dxa"/>
            <w:vAlign w:val="bottom"/>
            <w:gridSpan w:val="6"/>
          </w:tcPr>
          <w:p>
            <w:pPr>
              <w:ind w:left="680"/>
              <w:spacing w:after="0"/>
              <w:rPr>
                <w:sz w:val="20"/>
                <w:szCs w:val="20"/>
                <w:color w:val="auto"/>
              </w:rPr>
            </w:pPr>
            <w:r>
              <w:rPr>
                <w:rFonts w:ascii="Times New Roman" w:cs="Times New Roman" w:eastAsia="Times New Roman" w:hAnsi="Times New Roman"/>
                <w:sz w:val="12"/>
                <w:szCs w:val="12"/>
                <w:color w:val="auto"/>
              </w:rPr>
              <w:t>Subject to the Optionholder’s Continuous Service through each applicable vesting date, the Option will vest as follows:</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2"/>
          <w:szCs w:val="12"/>
          <w:color w:val="auto"/>
        </w:rPr>
        <w:t> </w:t>
      </w:r>
    </w:p>
    <w:p>
      <w:pPr>
        <w:sectPr>
          <w:pgSz w:w="11900" w:h="16838" w:orient="portrait"/>
          <w:cols w:equalWidth="0" w:num="1">
            <w:col w:w="11300"/>
          </w:cols>
          <w:pgMar w:left="300" w:top="121" w:right="29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w:t>
      </w:r>
    </w:p>
    <w:p>
      <w:pPr>
        <w:spacing w:after="0" w:line="9" w:lineRule="exact"/>
        <w:rPr>
          <w:sz w:val="20"/>
          <w:szCs w:val="20"/>
          <w:color w:val="auto"/>
        </w:rPr>
      </w:pPr>
    </w:p>
    <w:p>
      <w:pPr>
        <w:sectPr>
          <w:pgSz w:w="11900" w:h="16838" w:orient="portrait"/>
          <w:cols w:equalWidth="0" w:num="2">
            <w:col w:w="1540" w:space="720"/>
            <w:col w:w="9040"/>
          </w:cols>
          <w:pgMar w:left="300" w:top="121"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0"/>
          <w:szCs w:val="10"/>
          <w:color w:val="auto"/>
        </w:rPr>
        <w:t> </w:t>
      </w:r>
    </w:p>
    <w:p>
      <w:pPr>
        <w:sectPr>
          <w:pgSz w:w="11900" w:h="16838" w:orient="portrait"/>
          <w:cols w:equalWidth="0" w:num="1">
            <w:col w:w="11300"/>
          </w:cols>
          <w:pgMar w:left="300" w:top="121" w:right="29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Optionholder Acknowledgements: </w:t>
      </w:r>
      <w:r>
        <w:rPr>
          <w:rFonts w:ascii="Times New Roman" w:cs="Times New Roman" w:eastAsia="Times New Roman" w:hAnsi="Times New Roman"/>
          <w:sz w:val="12"/>
          <w:szCs w:val="12"/>
          <w:color w:val="auto"/>
        </w:rPr>
        <w:t>By your signature below or by electronic acceptance or authentication in a form authorized by the Company, you understand and agree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left="440" w:hanging="227"/>
        <w:spacing w:after="0" w:line="254" w:lineRule="auto"/>
        <w:tabs>
          <w:tab w:leader="none" w:pos="440"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Option is governed by this Stock Option Grant Notice (this “</w:t>
      </w:r>
      <w:r>
        <w:rPr>
          <w:rFonts w:ascii="Times New Roman" w:cs="Times New Roman" w:eastAsia="Times New Roman" w:hAnsi="Times New Roman"/>
          <w:sz w:val="12"/>
          <w:szCs w:val="12"/>
          <w:b w:val="1"/>
          <w:bCs w:val="1"/>
          <w:i w:val="1"/>
          <w:iCs w:val="1"/>
          <w:color w:val="auto"/>
        </w:rPr>
        <w:t>Grant Notice</w:t>
      </w:r>
      <w:r>
        <w:rPr>
          <w:rFonts w:ascii="Times New Roman" w:cs="Times New Roman" w:eastAsia="Times New Roman" w:hAnsi="Times New Roman"/>
          <w:sz w:val="12"/>
          <w:szCs w:val="12"/>
          <w:color w:val="auto"/>
        </w:rPr>
        <w:t>”), and the provisions of the Plan and the Stock Option Agreement and the Notice of Exercise, all of which are made a part of this document. Unless otherwise provided in the Plan, this Grant Notice and the Stock Option Agreement (together, the “</w:t>
      </w:r>
      <w:r>
        <w:rPr>
          <w:rFonts w:ascii="Times New Roman" w:cs="Times New Roman" w:eastAsia="Times New Roman" w:hAnsi="Times New Roman"/>
          <w:sz w:val="12"/>
          <w:szCs w:val="12"/>
          <w:b w:val="1"/>
          <w:bCs w:val="1"/>
          <w:i w:val="1"/>
          <w:iCs w:val="1"/>
          <w:color w:val="auto"/>
        </w:rPr>
        <w:t>Option Agreement</w:t>
      </w:r>
      <w:r>
        <w:rPr>
          <w:rFonts w:ascii="Times New Roman" w:cs="Times New Roman" w:eastAsia="Times New Roman" w:hAnsi="Times New Roman"/>
          <w:sz w:val="12"/>
          <w:szCs w:val="12"/>
          <w:color w:val="auto"/>
        </w:rPr>
        <w:t>”) may not be modified, amended or revised except in a writing signed by you and a duly authorized officer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right="20" w:hanging="227"/>
        <w:spacing w:after="0" w:line="254" w:lineRule="auto"/>
        <w:tabs>
          <w:tab w:leader="none" w:pos="440"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Option is an Incentive Stock Option, it (plus other outstanding Incentive Stock Options granted to you) cannot be first </w:t>
      </w:r>
      <w:r>
        <w:rPr>
          <w:rFonts w:ascii="Times New Roman" w:cs="Times New Roman" w:eastAsia="Times New Roman" w:hAnsi="Times New Roman"/>
          <w:sz w:val="12"/>
          <w:szCs w:val="12"/>
          <w:i w:val="1"/>
          <w:iCs w:val="1"/>
          <w:color w:val="auto"/>
        </w:rPr>
        <w:t>exercisable</w:t>
      </w:r>
      <w:r>
        <w:rPr>
          <w:rFonts w:ascii="Times New Roman" w:cs="Times New Roman" w:eastAsia="Times New Roman" w:hAnsi="Times New Roman"/>
          <w:sz w:val="12"/>
          <w:szCs w:val="12"/>
          <w:color w:val="auto"/>
        </w:rPr>
        <w:t xml:space="preserve"> for more than $100,000 in value (measured by exercise price) in any calendar year. Any excess over $100,000 is a Nonstatutory Stock Option.]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15">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type w:val="continuous"/>
        </w:sectPr>
      </w:pPr>
    </w:p>
    <w:bookmarkStart w:id="393" w:name="page394"/>
    <w:bookmarkEnd w:id="393"/>
    <w:p>
      <w:pPr>
        <w:spacing w:after="0"/>
        <w:rPr>
          <w:sz w:val="20"/>
          <w:szCs w:val="20"/>
          <w:color w:val="auto"/>
        </w:rPr>
      </w:pPr>
      <w:r>
        <w:rPr>
          <w:rFonts w:ascii="Times New Roman" w:cs="Times New Roman" w:eastAsia="Times New Roman" w:hAnsi="Times New Roman"/>
          <w:sz w:val="15"/>
          <w:szCs w:val="15"/>
          <w:color w:val="auto"/>
        </w:rPr>
        <w:t>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1" w:lineRule="exact"/>
        <w:rPr>
          <w:sz w:val="20"/>
          <w:szCs w:val="20"/>
          <w:color w:val="auto"/>
        </w:rPr>
      </w:pPr>
    </w:p>
    <w:p>
      <w:pPr>
        <w:ind w:left="440" w:right="20" w:hanging="227"/>
        <w:spacing w:after="0" w:line="254" w:lineRule="auto"/>
        <w:tabs>
          <w:tab w:leader="none" w:pos="440"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hanging="227"/>
        <w:spacing w:after="0" w:line="254" w:lineRule="auto"/>
        <w:tabs>
          <w:tab w:leader="none" w:pos="440"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left="440" w:right="20" w:hanging="227"/>
        <w:spacing w:after="0" w:line="254" w:lineRule="auto"/>
        <w:tabs>
          <w:tab w:leader="none" w:pos="440"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right="20" w:hanging="227"/>
        <w:spacing w:after="0" w:line="254" w:lineRule="auto"/>
        <w:tabs>
          <w:tab w:leader="none" w:pos="440"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lumis</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nc</w:t>
            </w:r>
            <w:r>
              <w:rPr>
                <w:rFonts w:ascii="Times New Roman" w:cs="Times New Roman" w:eastAsia="Times New Roman" w:hAnsi="Times New Roman"/>
                <w:sz w:val="12"/>
                <w:szCs w:val="12"/>
                <w:b w:val="1"/>
                <w:bCs w:val="1"/>
                <w:color w:val="auto"/>
              </w:rPr>
              <w:t>.</w:t>
            </w:r>
          </w:p>
        </w:tc>
        <w:tc>
          <w:tcPr>
            <w:tcW w:w="360" w:type="dxa"/>
            <w:vAlign w:val="bottom"/>
          </w:tcPr>
          <w:p>
            <w:pPr>
              <w:spacing w:after="0"/>
              <w:rPr>
                <w:sz w:val="12"/>
                <w:szCs w:val="12"/>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8"/>
                <w:szCs w:val="8"/>
                <w:b w:val="1"/>
                <w:bCs w:val="1"/>
                <w:color w:val="auto"/>
              </w:rPr>
              <w:t>ptionholder</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 </w:t>
            </w:r>
          </w:p>
        </w:tc>
        <w:tc>
          <w:tcPr>
            <w:tcW w:w="3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2"/>
                <w:szCs w:val="12"/>
                <w:color w:val="auto"/>
              </w:rPr>
            </w:pPr>
          </w:p>
        </w:tc>
        <w:tc>
          <w:tcPr>
            <w:tcW w:w="4520" w:type="dxa"/>
            <w:vAlign w:val="bottom"/>
            <w:tcBorders>
              <w:top w:val="single" w:sz="8" w:color="auto"/>
            </w:tcBorders>
          </w:tcPr>
          <w:p>
            <w:pPr>
              <w:ind w:left="1740"/>
              <w:spacing w:after="0"/>
              <w:rPr>
                <w:sz w:val="20"/>
                <w:szCs w:val="20"/>
                <w:color w:val="auto"/>
              </w:rPr>
            </w:pPr>
            <w:r>
              <w:rPr>
                <w:rFonts w:ascii="Times New Roman" w:cs="Times New Roman" w:eastAsia="Times New Roman" w:hAnsi="Times New Roman"/>
                <w:sz w:val="12"/>
                <w:szCs w:val="12"/>
                <w:color w:val="auto"/>
              </w:rPr>
              <w:t>Signature</w:t>
            </w:r>
          </w:p>
        </w:tc>
        <w:tc>
          <w:tcPr>
            <w:tcW w:w="360" w:type="dxa"/>
            <w:vAlign w:val="bottom"/>
          </w:tcPr>
          <w:p>
            <w:pPr>
              <w:spacing w:after="0"/>
              <w:rPr>
                <w:sz w:val="12"/>
                <w:szCs w:val="12"/>
                <w:color w:val="auto"/>
              </w:rPr>
            </w:pPr>
          </w:p>
        </w:tc>
        <w:tc>
          <w:tcPr>
            <w:tcW w:w="4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Borders>
              <w:top w:val="single" w:sz="8" w:color="auto"/>
            </w:tcBorders>
          </w:tcPr>
          <w:p>
            <w:pPr>
              <w:spacing w:after="0"/>
              <w:rPr>
                <w:sz w:val="12"/>
                <w:szCs w:val="12"/>
                <w:color w:val="auto"/>
              </w:rPr>
            </w:pPr>
          </w:p>
        </w:tc>
        <w:tc>
          <w:tcPr>
            <w:tcW w:w="5300" w:type="dxa"/>
            <w:vAlign w:val="bottom"/>
            <w:tcBorders>
              <w:top w:val="single" w:sz="8" w:color="auto"/>
            </w:tcBorders>
          </w:tcPr>
          <w:p>
            <w:pPr>
              <w:ind w:left="2140"/>
              <w:spacing w:after="0"/>
              <w:rPr>
                <w:sz w:val="20"/>
                <w:szCs w:val="20"/>
                <w:color w:val="auto"/>
              </w:rPr>
            </w:pPr>
            <w:r>
              <w:rPr>
                <w:rFonts w:ascii="Times New Roman" w:cs="Times New Roman" w:eastAsia="Times New Roman" w:hAnsi="Times New Roman"/>
                <w:sz w:val="12"/>
                <w:szCs w:val="12"/>
                <w:color w:val="auto"/>
              </w:rPr>
              <w:t>Signature</w:t>
            </w:r>
          </w:p>
        </w:tc>
        <w:tc>
          <w:tcPr>
            <w:tcW w:w="0" w:type="dxa"/>
            <w:vAlign w:val="bottom"/>
          </w:tcPr>
          <w:p>
            <w:pPr>
              <w:spacing w:after="0"/>
              <w:rPr>
                <w:sz w:val="1"/>
                <w:szCs w:val="1"/>
                <w:color w:val="auto"/>
              </w:rPr>
            </w:pPr>
          </w:p>
        </w:tc>
      </w:tr>
      <w:tr>
        <w:trPr>
          <w:trHeight w:val="121"/>
        </w:trPr>
        <w:tc>
          <w:tcPr>
            <w:tcW w:w="4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 </w:t>
            </w:r>
          </w:p>
        </w:tc>
        <w:tc>
          <w:tcPr>
            <w:tcW w:w="3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54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36"/>
        </w:trPr>
        <w:tc>
          <w:tcPr>
            <w:tcW w:w="40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Date:</w:t>
            </w:r>
          </w:p>
        </w:tc>
        <w:tc>
          <w:tcPr>
            <w:tcW w:w="160" w:type="dxa"/>
            <w:vAlign w:val="bottom"/>
          </w:tcPr>
          <w:p>
            <w:pPr>
              <w:spacing w:after="0"/>
              <w:rPr>
                <w:sz w:val="11"/>
                <w:szCs w:val="11"/>
                <w:color w:val="auto"/>
              </w:rPr>
            </w:pPr>
          </w:p>
        </w:tc>
        <w:tc>
          <w:tcPr>
            <w:tcW w:w="4520" w:type="dxa"/>
            <w:vAlign w:val="bottom"/>
            <w:tcBorders>
              <w:top w:val="single" w:sz="8" w:color="auto"/>
              <w:bottom w:val="single" w:sz="8" w:color="auto"/>
            </w:tcBorders>
          </w:tcPr>
          <w:p>
            <w:pPr>
              <w:spacing w:after="0" w:line="137" w:lineRule="exact"/>
              <w:rPr>
                <w:sz w:val="20"/>
                <w:szCs w:val="20"/>
                <w:color w:val="auto"/>
              </w:rPr>
            </w:pPr>
            <w:r>
              <w:rPr>
                <w:rFonts w:ascii="Times New Roman" w:cs="Times New Roman" w:eastAsia="Times New Roman" w:hAnsi="Times New Roman"/>
                <w:sz w:val="12"/>
                <w:szCs w:val="12"/>
                <w:color w:val="auto"/>
              </w:rPr>
              <w:t> </w:t>
            </w:r>
          </w:p>
        </w:tc>
        <w:tc>
          <w:tcPr>
            <w:tcW w:w="360" w:type="dxa"/>
            <w:vAlign w:val="bottom"/>
          </w:tcPr>
          <w:p>
            <w:pPr>
              <w:spacing w:after="0"/>
              <w:rPr>
                <w:sz w:val="11"/>
                <w:szCs w:val="11"/>
                <w:color w:val="auto"/>
              </w:rPr>
            </w:pPr>
          </w:p>
        </w:tc>
        <w:tc>
          <w:tcPr>
            <w:tcW w:w="40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1"/>
                <w:szCs w:val="11"/>
                <w:color w:val="auto"/>
              </w:rPr>
            </w:pPr>
          </w:p>
        </w:tc>
        <w:tc>
          <w:tcPr>
            <w:tcW w:w="53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ttachments</w:t>
            </w:r>
            <w:r>
              <w:rPr>
                <w:rFonts w:ascii="Times New Roman" w:cs="Times New Roman" w:eastAsia="Times New Roman" w:hAnsi="Times New Roman"/>
                <w:sz w:val="12"/>
                <w:szCs w:val="12"/>
                <w:color w:val="auto"/>
              </w:rPr>
              <w:t>: Stock Option Agreement, 2024 Equity Incentive Plan, Notice of Exercise, Prospectus</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2"/>
                <w:szCs w:val="12"/>
                <w:color w:val="auto"/>
              </w:rPr>
              <w:t>2</w:t>
            </w:r>
          </w:p>
        </w:tc>
        <w:tc>
          <w:tcPr>
            <w:tcW w:w="16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94" w:right="29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5"/>
          <w:szCs w:val="15"/>
          <w:color w:val="auto"/>
        </w:rPr>
        <w:t>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i w:val="1"/>
          <w:iCs w:val="1"/>
          <w:color w:val="auto"/>
        </w:rPr>
        <w:t>Standard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ttachment</w:t>
      </w:r>
      <w:r>
        <w:rPr>
          <w:rFonts w:ascii="Times New Roman" w:cs="Times New Roman" w:eastAsia="Times New Roman" w:hAnsi="Times New Roman"/>
          <w:sz w:val="12"/>
          <w:szCs w:val="12"/>
          <w:b w:val="1"/>
          <w:bCs w:val="1"/>
          <w:color w:val="auto"/>
        </w:rPr>
        <w:t xml:space="preserve">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lumis</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nc</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8"/>
          <w:szCs w:val="8"/>
          <w:b w:val="1"/>
          <w:bCs w:val="1"/>
          <w:color w:val="auto"/>
        </w:rPr>
        <w:t>tock</w:t>
      </w:r>
      <w:r>
        <w:rPr>
          <w:rFonts w:ascii="Times New Roman" w:cs="Times New Roman" w:eastAsia="Times New Roman" w:hAnsi="Times New Roman"/>
          <w:sz w:val="12"/>
          <w:szCs w:val="12"/>
          <w:b w:val="1"/>
          <w:bCs w:val="1"/>
          <w:color w:val="auto"/>
        </w:rPr>
        <w:t xml:space="preserve"> O</w:t>
      </w:r>
      <w:r>
        <w:rPr>
          <w:rFonts w:ascii="Times New Roman" w:cs="Times New Roman" w:eastAsia="Times New Roman" w:hAnsi="Times New Roman"/>
          <w:sz w:val="8"/>
          <w:szCs w:val="8"/>
          <w:b w:val="1"/>
          <w:bCs w:val="1"/>
          <w:color w:val="auto"/>
        </w:rPr>
        <w:t>ption</w:t>
      </w:r>
      <w:r>
        <w:rPr>
          <w:rFonts w:ascii="Times New Roman" w:cs="Times New Roman" w:eastAsia="Times New Roman" w:hAnsi="Times New Roman"/>
          <w:sz w:val="12"/>
          <w:szCs w:val="12"/>
          <w:b w:val="1"/>
          <w:bCs w:val="1"/>
          <w:color w:val="auto"/>
        </w:rPr>
        <w:t xml:space="preserve"> A</w:t>
      </w:r>
      <w:r>
        <w:rPr>
          <w:rFonts w:ascii="Times New Roman" w:cs="Times New Roman" w:eastAsia="Times New Roman" w:hAnsi="Times New Roman"/>
          <w:sz w:val="8"/>
          <w:szCs w:val="8"/>
          <w:b w:val="1"/>
          <w:bCs w:val="1"/>
          <w:color w:val="auto"/>
        </w:rPr>
        <w:t>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(2024 E</w:t>
      </w:r>
      <w:r>
        <w:rPr>
          <w:rFonts w:ascii="Times New Roman" w:cs="Times New Roman" w:eastAsia="Times New Roman" w:hAnsi="Times New Roman"/>
          <w:sz w:val="8"/>
          <w:szCs w:val="8"/>
          <w:b w:val="1"/>
          <w:bCs w:val="1"/>
          <w:color w:val="auto"/>
        </w:rPr>
        <w:t>quity</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ncentive</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lan</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2"/>
          <w:szCs w:val="12"/>
          <w:color w:val="auto"/>
        </w:rPr>
        <w:t>As reflected by your Stock Option Grant Notice (“</w:t>
      </w:r>
      <w:r>
        <w:rPr>
          <w:rFonts w:ascii="Times New Roman" w:cs="Times New Roman" w:eastAsia="Times New Roman" w:hAnsi="Times New Roman"/>
          <w:sz w:val="12"/>
          <w:szCs w:val="12"/>
          <w:b w:val="1"/>
          <w:bCs w:val="1"/>
          <w:i w:val="1"/>
          <w:iCs w:val="1"/>
          <w:color w:val="auto"/>
        </w:rPr>
        <w:t>Grant Notice</w:t>
      </w:r>
      <w:r>
        <w:rPr>
          <w:rFonts w:ascii="Times New Roman" w:cs="Times New Roman" w:eastAsia="Times New Roman" w:hAnsi="Times New Roman"/>
          <w:sz w:val="12"/>
          <w:szCs w:val="12"/>
          <w:color w:val="auto"/>
        </w:rPr>
        <w:t>”), Alumis Inc.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has granted you an option under the Company’s 2024 Equity Incentive Plan (the “</w:t>
      </w:r>
      <w:r>
        <w:rPr>
          <w:rFonts w:ascii="Times New Roman" w:cs="Times New Roman" w:eastAsia="Times New Roman" w:hAnsi="Times New Roman"/>
          <w:sz w:val="12"/>
          <w:szCs w:val="12"/>
          <w:b w:val="1"/>
          <w:bCs w:val="1"/>
          <w:i w:val="1"/>
          <w:iCs w:val="1"/>
          <w:color w:val="auto"/>
        </w:rPr>
        <w:t>Plan</w:t>
      </w:r>
      <w:r>
        <w:rPr>
          <w:rFonts w:ascii="Times New Roman" w:cs="Times New Roman" w:eastAsia="Times New Roman" w:hAnsi="Times New Roman"/>
          <w:sz w:val="12"/>
          <w:szCs w:val="12"/>
          <w:color w:val="auto"/>
        </w:rPr>
        <w:t>”) to purchase a number of shares of Common Stock at the exercise price indicated in your Grant Notice (the “</w:t>
      </w:r>
      <w:r>
        <w:rPr>
          <w:rFonts w:ascii="Times New Roman" w:cs="Times New Roman" w:eastAsia="Times New Roman" w:hAnsi="Times New Roman"/>
          <w:sz w:val="12"/>
          <w:szCs w:val="12"/>
          <w:b w:val="1"/>
          <w:bCs w:val="1"/>
          <w:i w:val="1"/>
          <w:iCs w:val="1"/>
          <w:color w:val="auto"/>
        </w:rPr>
        <w:t>Option</w:t>
      </w:r>
      <w:r>
        <w:rPr>
          <w:rFonts w:ascii="Times New Roman" w:cs="Times New Roman" w:eastAsia="Times New Roman" w:hAnsi="Times New Roman"/>
          <w:sz w:val="12"/>
          <w:szCs w:val="12"/>
          <w:color w:val="auto"/>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  </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general terms and conditions applicable to your Option are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1.            G</w:t>
      </w:r>
      <w:r>
        <w:rPr>
          <w:rFonts w:ascii="Times New Roman" w:cs="Times New Roman" w:eastAsia="Times New Roman" w:hAnsi="Times New Roman"/>
          <w:sz w:val="8"/>
          <w:szCs w:val="8"/>
          <w:b w:val="1"/>
          <w:bCs w:val="1"/>
          <w:color w:val="auto"/>
        </w:rPr>
        <w:t>overning</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lan</w:t>
      </w:r>
      <w:r>
        <w:rPr>
          <w:rFonts w:ascii="Times New Roman" w:cs="Times New Roman" w:eastAsia="Times New Roman" w:hAnsi="Times New Roman"/>
          <w:sz w:val="12"/>
          <w:szCs w:val="12"/>
          <w:b w:val="1"/>
          <w:bCs w:val="1"/>
          <w:color w:val="auto"/>
        </w:rPr>
        <w:t xml:space="preserve"> D</w:t>
      </w:r>
      <w:r>
        <w:rPr>
          <w:rFonts w:ascii="Times New Roman" w:cs="Times New Roman" w:eastAsia="Times New Roman" w:hAnsi="Times New Roman"/>
          <w:sz w:val="8"/>
          <w:szCs w:val="8"/>
          <w:b w:val="1"/>
          <w:bCs w:val="1"/>
          <w:color w:val="auto"/>
        </w:rPr>
        <w:t>ocument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Your Option is subject to all the provisions of the Plan, including but not limited to the provisions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Section 6 regarding the impact of a Capitalization Adjustment, dissolution, liquidation, or Corporate Transaction on your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Section 9(e) regarding the Company’s retained rights to terminate your Continuous Service notwithstanding the grant of the Option;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Section 8 regarding certain tax consequences of your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Your Option is further subject to all interpretations, amendments, rules and regulations, which may from time to time be promulgated and adopted pursuant to the Plan. In the event of any conflict between the Option Agreement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provisions of the Plan, the provisions of the Plan shall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2.            E</w:t>
      </w:r>
      <w:r>
        <w:rPr>
          <w:rFonts w:ascii="Times New Roman" w:cs="Times New Roman" w:eastAsia="Times New Roman" w:hAnsi="Times New Roman"/>
          <w:sz w:val="8"/>
          <w:szCs w:val="8"/>
          <w:b w:val="1"/>
          <w:bCs w:val="1"/>
          <w:color w:val="auto"/>
        </w:rPr>
        <w:t>xercise</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You may generally exercise the vested portion of your Option for whole shares of Common Stock at any time during its term by delivery of payment of the exercise price and applicable withholding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other required documentation to the Plan Administrator in accordance with the exercise procedures established by the Plan Administrator, which may include an electronic submission. Please review Sections 4(i), 4(j) and 7(b)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 of the Plan, which may restrict or prohibit your ability to exercise your Option during certain periods.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To the extent permitted by Applicable Law, you may pay your Option exercise price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cash, check, bank draft or money order;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16">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194" w:right="299" w:bottom="1440" w:gutter="0" w:footer="0" w:header="0"/>
        </w:sectPr>
      </w:pPr>
    </w:p>
    <w:bookmarkStart w:id="395" w:name="page396"/>
    <w:bookmarkEnd w:id="395"/>
    <w:p>
      <w:pPr>
        <w:ind w:left="1320"/>
        <w:spacing w:after="0"/>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subject to Company and/or Committee consent at the time of exercise, pursuant to a “cashless exercise” program as further described in Section 4(c)(ii) of the Plan if at the time of exercise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Common Stock is publicly traded;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b w:val="1"/>
          <w:bCs w:val="1"/>
          <w:color w:val="auto"/>
        </w:rPr>
        <w:t>(iii)            </w:t>
      </w:r>
      <w:r>
        <w:rPr>
          <w:rFonts w:ascii="Times New Roman" w:cs="Times New Roman" w:eastAsia="Times New Roman" w:hAnsi="Times New Roman"/>
          <w:sz w:val="12"/>
          <w:szCs w:val="12"/>
          <w:color w:val="auto"/>
        </w:rPr>
        <w:t>subject to Company and/or Committee consent at the time of exercise, by delivery of previously owned shares of Common Stock as further described in Section 4(c)(iii) of the Plan;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b w:val="1"/>
          <w:bCs w:val="1"/>
          <w:color w:val="auto"/>
        </w:rPr>
        <w:t>(iv)            </w:t>
      </w:r>
      <w:r>
        <w:rPr>
          <w:rFonts w:ascii="Times New Roman" w:cs="Times New Roman" w:eastAsia="Times New Roman" w:hAnsi="Times New Roman"/>
          <w:sz w:val="12"/>
          <w:szCs w:val="12"/>
          <w:color w:val="auto"/>
        </w:rPr>
        <w:t>subject to Company and/or Committee consent at the time of exercise, if the Option is a Nonstatutory Stock Option, by a “net exercise” arrangement as further described in Section 4(c)(iv)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firstLine="879"/>
        <w:spacing w:after="0" w:line="257"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By accepting your Option, you agree that you will not sell, dispose of, transfer, make any short sale of, grant any option for the purchase of, or enter into any hedging or similar transaction with the same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12"/>
          <w:szCs w:val="12"/>
          <w:b w:val="1"/>
          <w:bCs w:val="1"/>
          <w:i w:val="1"/>
          <w:iCs w:val="1"/>
          <w:color w:val="auto"/>
        </w:rPr>
        <w:t>Lock-Up Period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nothing contained in this section will prevent the exercise of a repurchase option, if any, in favor of the Company during the Lock-Up Period. You further agree to execute and deliver such other agreements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2(c). The underwriters of the Company’s stock are intended third party beneficiaries of this Section 2(c) and will have the right, power and authority to enforce the provisions hereof as though they were a party hereto.  </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3.            T</w:t>
      </w:r>
      <w:r>
        <w:rPr>
          <w:rFonts w:ascii="Times New Roman" w:cs="Times New Roman" w:eastAsia="Times New Roman" w:hAnsi="Times New Roman"/>
          <w:sz w:val="8"/>
          <w:szCs w:val="8"/>
          <w:b w:val="1"/>
          <w:bCs w:val="1"/>
          <w:color w:val="auto"/>
        </w:rPr>
        <w:t>erm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You may not exercise your Option before the commencement of its term or after its term expires. The term of your Option commences on the Date of Grant and expires upon the earliest of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immediately upon the termination of your Continuous Service for Cause;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three months after the termination of your Continuous Service for any reason other than Cause, Disability or death;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12 months after the termination of your Continuous Service due to your Disability;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18 months after your death if you die during your Continuous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immediately upon a Corporate Transaction if the Board has determined that the Option will terminate in connection with a Corporate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the Expiration Date indicated in your Grant Notice;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17">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396" w:name="page397"/>
    <w:bookmarkEnd w:id="396"/>
    <w:p>
      <w:pPr>
        <w:ind w:left="880"/>
        <w:spacing w:after="0"/>
        <w:rPr>
          <w:sz w:val="20"/>
          <w:szCs w:val="20"/>
          <w:color w:val="auto"/>
        </w:rPr>
      </w:pPr>
      <w:r>
        <w:rPr>
          <w:rFonts w:ascii="Times New Roman" w:cs="Times New Roman" w:eastAsia="Times New Roman" w:hAnsi="Times New Roman"/>
          <w:sz w:val="12"/>
          <w:szCs w:val="12"/>
          <w:b w:val="1"/>
          <w:bCs w:val="1"/>
          <w:color w:val="auto"/>
        </w:rPr>
        <w:t>(g)            </w:t>
      </w:r>
      <w:r>
        <w:rPr>
          <w:rFonts w:ascii="Times New Roman" w:cs="Times New Roman" w:eastAsia="Times New Roman" w:hAnsi="Times New Roman"/>
          <w:sz w:val="12"/>
          <w:szCs w:val="12"/>
          <w:color w:val="auto"/>
        </w:rPr>
        <w:t>the day before the 10th anniversary of the Date of Grant.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Notwithstanding the foregoing, if you die during the period provided in Section 4(b) or 4(c) above, the term of your Option shall not expire until the earlier of (i) 18 months after your death, (ii) upon any termination of the Option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connection with a Corporate Transaction, (iii) the Expiration Date indicated in your Grant Notice, or (iv) the day before the tenth anniversary of the Date of Grant. Additionally, the Post-Termination Exercise Period of your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may be extended as provided in Section 4(i) of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2"/>
          <w:szCs w:val="12"/>
          <w:color w:val="auto"/>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  </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4.            W</w:t>
      </w:r>
      <w:r>
        <w:rPr>
          <w:rFonts w:ascii="Times New Roman" w:cs="Times New Roman" w:eastAsia="Times New Roman" w:hAnsi="Times New Roman"/>
          <w:sz w:val="8"/>
          <w:szCs w:val="8"/>
          <w:b w:val="1"/>
          <w:bCs w:val="1"/>
          <w:color w:val="auto"/>
        </w:rPr>
        <w:t>ithholding</w:t>
      </w:r>
      <w:r>
        <w:rPr>
          <w:rFonts w:ascii="Times New Roman" w:cs="Times New Roman" w:eastAsia="Times New Roman" w:hAnsi="Times New Roman"/>
          <w:sz w:val="12"/>
          <w:szCs w:val="12"/>
          <w:b w:val="1"/>
          <w:bCs w:val="1"/>
          <w:color w:val="auto"/>
        </w:rPr>
        <w:t xml:space="preserve"> O</w:t>
      </w:r>
      <w:r>
        <w:rPr>
          <w:rFonts w:ascii="Times New Roman" w:cs="Times New Roman" w:eastAsia="Times New Roman" w:hAnsi="Times New Roman"/>
          <w:sz w:val="8"/>
          <w:szCs w:val="8"/>
          <w:b w:val="1"/>
          <w:bCs w:val="1"/>
          <w:color w:val="auto"/>
        </w:rPr>
        <w:t>bligations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further provided in Section 8 of the Plan: (a) you may not exercise your Option unless the applicable tax withholding obligations are satisfied; and (b) at the time you exercise your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Option, in whole or in part, or at any time thereafter as requested by the Company, you hereby authorize withholding from payroll and any other amounts payable to you, and otherwise agree to make adequate provision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(including by means of a “cashless exercise” pursuant to a program developed under Regulation T as promulgated by the Federal Reserve Board to the extent permitted by the Company), any sums required to satisfy the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state, local and foreign tax withholding obligations, if any, which arise in connection with the exercise of your Option in accordance with the withholding procedures established by the Company. Accordingly, you may not be 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exercise your Option even though the Option is vested, and the Company shall have no obligation to issue shares of Common Stock subject to your Option, unless and until such obligations are satisfied. In the event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amount of the Company’s withholding obligation in connection with your Option was greater than the amount actually withheld by the Company, you agree to indemnify and hold the Company harmless from any failure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to withhold the proper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2"/>
          <w:szCs w:val="12"/>
          <w:b w:val="1"/>
          <w:bCs w:val="1"/>
          <w:color w:val="auto"/>
        </w:rPr>
        <w:t>5.            I</w:t>
      </w:r>
      <w:r>
        <w:rPr>
          <w:rFonts w:ascii="Times New Roman" w:cs="Times New Roman" w:eastAsia="Times New Roman" w:hAnsi="Times New Roman"/>
          <w:sz w:val="8"/>
          <w:szCs w:val="8"/>
          <w:b w:val="1"/>
          <w:bCs w:val="1"/>
          <w:color w:val="auto"/>
        </w:rPr>
        <w:t>ncentive</w:t>
      </w:r>
      <w:r>
        <w:rPr>
          <w:rFonts w:ascii="Times New Roman" w:cs="Times New Roman" w:eastAsia="Times New Roman" w:hAnsi="Times New Roman"/>
          <w:sz w:val="12"/>
          <w:szCs w:val="12"/>
          <w:b w:val="1"/>
          <w:bCs w:val="1"/>
          <w:color w:val="auto"/>
        </w:rPr>
        <w:t xml:space="preserve"> S</w:t>
      </w:r>
      <w:r>
        <w:rPr>
          <w:rFonts w:ascii="Times New Roman" w:cs="Times New Roman" w:eastAsia="Times New Roman" w:hAnsi="Times New Roman"/>
          <w:sz w:val="8"/>
          <w:szCs w:val="8"/>
          <w:b w:val="1"/>
          <w:bCs w:val="1"/>
          <w:color w:val="auto"/>
        </w:rPr>
        <w:t>tock</w:t>
      </w:r>
      <w:r>
        <w:rPr>
          <w:rFonts w:ascii="Times New Roman" w:cs="Times New Roman" w:eastAsia="Times New Roman" w:hAnsi="Times New Roman"/>
          <w:sz w:val="12"/>
          <w:szCs w:val="12"/>
          <w:b w:val="1"/>
          <w:bCs w:val="1"/>
          <w:color w:val="auto"/>
        </w:rPr>
        <w:t xml:space="preserve"> O</w:t>
      </w:r>
      <w:r>
        <w:rPr>
          <w:rFonts w:ascii="Times New Roman" w:cs="Times New Roman" w:eastAsia="Times New Roman" w:hAnsi="Times New Roman"/>
          <w:sz w:val="8"/>
          <w:szCs w:val="8"/>
          <w:b w:val="1"/>
          <w:bCs w:val="1"/>
          <w:color w:val="auto"/>
        </w:rPr>
        <w:t>ption</w:t>
      </w:r>
      <w:r>
        <w:rPr>
          <w:rFonts w:ascii="Times New Roman" w:cs="Times New Roman" w:eastAsia="Times New Roman" w:hAnsi="Times New Roman"/>
          <w:sz w:val="12"/>
          <w:szCs w:val="12"/>
          <w:b w:val="1"/>
          <w:bCs w:val="1"/>
          <w:color w:val="auto"/>
        </w:rPr>
        <w:t xml:space="preserve"> D</w:t>
      </w:r>
      <w:r>
        <w:rPr>
          <w:rFonts w:ascii="Times New Roman" w:cs="Times New Roman" w:eastAsia="Times New Roman" w:hAnsi="Times New Roman"/>
          <w:sz w:val="8"/>
          <w:szCs w:val="8"/>
          <w:b w:val="1"/>
          <w:bCs w:val="1"/>
          <w:color w:val="auto"/>
        </w:rPr>
        <w:t>isposition</w:t>
      </w:r>
      <w:r>
        <w:rPr>
          <w:rFonts w:ascii="Times New Roman" w:cs="Times New Roman" w:eastAsia="Times New Roman" w:hAnsi="Times New Roman"/>
          <w:sz w:val="12"/>
          <w:szCs w:val="12"/>
          <w:b w:val="1"/>
          <w:bCs w:val="1"/>
          <w:color w:val="auto"/>
        </w:rPr>
        <w:t xml:space="preserve"> R</w:t>
      </w:r>
      <w:r>
        <w:rPr>
          <w:rFonts w:ascii="Times New Roman" w:cs="Times New Roman" w:eastAsia="Times New Roman" w:hAnsi="Times New Roman"/>
          <w:sz w:val="8"/>
          <w:szCs w:val="8"/>
          <w:b w:val="1"/>
          <w:bCs w:val="1"/>
          <w:color w:val="auto"/>
        </w:rPr>
        <w:t>equirement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If your Option is an Incentive Stock Option, you must notify the Company in writing within 15 days after the date of any disposition of any of the shares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Common Stock issued upon exercise of your Option that occurs within two years after the date of your Option grant or within one year after such shares of Common Stock are transferred upon exercise of your Option.  </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6.            T</w:t>
      </w:r>
      <w:r>
        <w:rPr>
          <w:rFonts w:ascii="Times New Roman" w:cs="Times New Roman" w:eastAsia="Times New Roman" w:hAnsi="Times New Roman"/>
          <w:sz w:val="8"/>
          <w:szCs w:val="8"/>
          <w:b w:val="1"/>
          <w:bCs w:val="1"/>
          <w:color w:val="auto"/>
        </w:rPr>
        <w:t>ransferability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Except as otherwise provided in Section 4(e) of the Plan, your Option is not transferable, except by will or by the applicable laws of descent and distribution, and is exercisable during your life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you.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2"/>
          <w:szCs w:val="12"/>
          <w:b w:val="1"/>
          <w:bCs w:val="1"/>
          <w:color w:val="auto"/>
        </w:rPr>
        <w:t>7.            C</w:t>
      </w:r>
      <w:r>
        <w:rPr>
          <w:rFonts w:ascii="Times New Roman" w:cs="Times New Roman" w:eastAsia="Times New Roman" w:hAnsi="Times New Roman"/>
          <w:sz w:val="8"/>
          <w:szCs w:val="8"/>
          <w:b w:val="1"/>
          <w:bCs w:val="1"/>
          <w:color w:val="auto"/>
        </w:rPr>
        <w:t>orporate</w:t>
      </w:r>
      <w:r>
        <w:rPr>
          <w:rFonts w:ascii="Times New Roman" w:cs="Times New Roman" w:eastAsia="Times New Roman" w:hAnsi="Times New Roman"/>
          <w:sz w:val="12"/>
          <w:szCs w:val="12"/>
          <w:b w:val="1"/>
          <w:bCs w:val="1"/>
          <w:color w:val="auto"/>
        </w:rPr>
        <w:t xml:space="preserve"> T</w:t>
      </w:r>
      <w:r>
        <w:rPr>
          <w:rFonts w:ascii="Times New Roman" w:cs="Times New Roman" w:eastAsia="Times New Roman" w:hAnsi="Times New Roman"/>
          <w:sz w:val="8"/>
          <w:szCs w:val="8"/>
          <w:b w:val="1"/>
          <w:bCs w:val="1"/>
          <w:color w:val="auto"/>
        </w:rPr>
        <w:t>ransaction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Your Option is subject to the terms of any agreement governing a Corporate Transaction involving the Company, including, without limitation, a provision for the appointment of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stockholder representative that is authorized to act on your behalf with respect to any escrow, indemnities and any contingent consideration.  </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18">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97" w:name="page398"/>
    <w:bookmarkEnd w:id="397"/>
    <w:p>
      <w:pPr>
        <w:ind w:left="440"/>
        <w:spacing w:after="0"/>
        <w:rPr>
          <w:sz w:val="20"/>
          <w:szCs w:val="20"/>
          <w:color w:val="auto"/>
        </w:rPr>
      </w:pPr>
      <w:r>
        <w:rPr>
          <w:rFonts w:ascii="Times New Roman" w:cs="Times New Roman" w:eastAsia="Times New Roman" w:hAnsi="Times New Roman"/>
          <w:sz w:val="12"/>
          <w:szCs w:val="12"/>
          <w:b w:val="1"/>
          <w:bCs w:val="1"/>
          <w:color w:val="auto"/>
        </w:rPr>
        <w:t>8.            N</w:t>
      </w:r>
      <w:r>
        <w:rPr>
          <w:rFonts w:ascii="Times New Roman" w:cs="Times New Roman" w:eastAsia="Times New Roman" w:hAnsi="Times New Roman"/>
          <w:sz w:val="8"/>
          <w:szCs w:val="8"/>
          <w:b w:val="1"/>
          <w:bCs w:val="1"/>
          <w:color w:val="auto"/>
        </w:rPr>
        <w:t>o</w:t>
      </w:r>
      <w:r>
        <w:rPr>
          <w:rFonts w:ascii="Times New Roman" w:cs="Times New Roman" w:eastAsia="Times New Roman" w:hAnsi="Times New Roman"/>
          <w:sz w:val="12"/>
          <w:szCs w:val="12"/>
          <w:b w:val="1"/>
          <w:bCs w:val="1"/>
          <w:color w:val="auto"/>
        </w:rPr>
        <w:t xml:space="preserve"> L</w:t>
      </w:r>
      <w:r>
        <w:rPr>
          <w:rFonts w:ascii="Times New Roman" w:cs="Times New Roman" w:eastAsia="Times New Roman" w:hAnsi="Times New Roman"/>
          <w:sz w:val="8"/>
          <w:szCs w:val="8"/>
          <w:b w:val="1"/>
          <w:bCs w:val="1"/>
          <w:color w:val="auto"/>
        </w:rPr>
        <w:t>iability for</w:t>
      </w:r>
      <w:r>
        <w:rPr>
          <w:rFonts w:ascii="Times New Roman" w:cs="Times New Roman" w:eastAsia="Times New Roman" w:hAnsi="Times New Roman"/>
          <w:sz w:val="12"/>
          <w:szCs w:val="12"/>
          <w:b w:val="1"/>
          <w:bCs w:val="1"/>
          <w:color w:val="auto"/>
        </w:rPr>
        <w:t xml:space="preserve"> T</w:t>
      </w:r>
      <w:r>
        <w:rPr>
          <w:rFonts w:ascii="Times New Roman" w:cs="Times New Roman" w:eastAsia="Times New Roman" w:hAnsi="Times New Roman"/>
          <w:sz w:val="8"/>
          <w:szCs w:val="8"/>
          <w:b w:val="1"/>
          <w:bCs w:val="1"/>
          <w:color w:val="auto"/>
        </w:rPr>
        <w:t>axes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a condition to accepting the Option, you hereby (a) agree to not make any claim against the Company, or any of its Officers, Directors, Employees or Affiliates related to tax liabilities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arising from the Option or other Company compensation and (b) acknowledge that you were advised to consult with your own personal tax, financial and other legal advisors regarding the tax consequences of the Option and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either done so or knowingly and voluntarily declined to do so. Additionally, you acknowledge that the Option is exempt from Section 409A only if the exercise price is at least equal to the “fair market value” of the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the date of grant as determined by the Internal Revenue Service and there is no other impermissible deferral of compensation associated with the Option. Additionally, as a condition to accepting the Option, you agree not make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claim against the Company, or any of its Officers, Directors, Employees or Affiliates in the event that the Internal Revenue Service asserts that such exercise is less than the “fair market value” of the Common Stock on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grant as subsequently determined by the Internal Revenue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2"/>
          <w:szCs w:val="12"/>
          <w:b w:val="1"/>
          <w:bCs w:val="1"/>
          <w:color w:val="auto"/>
        </w:rPr>
        <w:t>9.            S</w:t>
      </w:r>
      <w:r>
        <w:rPr>
          <w:rFonts w:ascii="Times New Roman" w:cs="Times New Roman" w:eastAsia="Times New Roman" w:hAnsi="Times New Roman"/>
          <w:sz w:val="8"/>
          <w:szCs w:val="8"/>
          <w:b w:val="1"/>
          <w:bCs w:val="1"/>
          <w:color w:val="auto"/>
        </w:rPr>
        <w:t>everability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If any part of this Option Agreement or the Plan is declared by any court or governmental authority to be unlawful or invalid, such unlawfulness or invalidity will not invalidate any portion of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  </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10.            O</w:t>
      </w:r>
      <w:r>
        <w:rPr>
          <w:rFonts w:ascii="Times New Roman" w:cs="Times New Roman" w:eastAsia="Times New Roman" w:hAnsi="Times New Roman"/>
          <w:sz w:val="8"/>
          <w:szCs w:val="8"/>
          <w:b w:val="1"/>
          <w:bCs w:val="1"/>
          <w:color w:val="auto"/>
        </w:rPr>
        <w:t>ther</w:t>
      </w:r>
      <w:r>
        <w:rPr>
          <w:rFonts w:ascii="Times New Roman" w:cs="Times New Roman" w:eastAsia="Times New Roman" w:hAnsi="Times New Roman"/>
          <w:sz w:val="12"/>
          <w:szCs w:val="12"/>
          <w:b w:val="1"/>
          <w:bCs w:val="1"/>
          <w:color w:val="auto"/>
        </w:rPr>
        <w:t xml:space="preserve">  D</w:t>
      </w:r>
      <w:r>
        <w:rPr>
          <w:rFonts w:ascii="Times New Roman" w:cs="Times New Roman" w:eastAsia="Times New Roman" w:hAnsi="Times New Roman"/>
          <w:sz w:val="8"/>
          <w:szCs w:val="8"/>
          <w:b w:val="1"/>
          <w:bCs w:val="1"/>
          <w:color w:val="auto"/>
        </w:rPr>
        <w:t>ocuments</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You hereby acknowledge receipt of or the right to receive a document providing the information required by Rule 428(b)(1) promulgated under the Securities Act, which includes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Prospectus.  In addition, you acknowledge receipt of the Company’s Trading Policy.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11.            Q</w:t>
      </w:r>
      <w:r>
        <w:rPr>
          <w:rFonts w:ascii="Times New Roman" w:cs="Times New Roman" w:eastAsia="Times New Roman" w:hAnsi="Times New Roman"/>
          <w:sz w:val="8"/>
          <w:szCs w:val="8"/>
          <w:b w:val="1"/>
          <w:bCs w:val="1"/>
          <w:color w:val="auto"/>
        </w:rPr>
        <w:t>uestions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If you have questions regarding these or any other terms and conditions applicable to your Option, including a summary of the applicable federal income tax consequences please see the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 *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9">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98" w:name="page399"/>
    <w:bookmarkEnd w:id="398"/>
    <w:p>
      <w:pPr>
        <w:jc w:val="right"/>
        <w:spacing w:after="0"/>
        <w:rPr>
          <w:sz w:val="20"/>
          <w:szCs w:val="20"/>
          <w:color w:val="auto"/>
        </w:rPr>
      </w:pPr>
      <w:r>
        <w:rPr>
          <w:rFonts w:ascii="Times New Roman" w:cs="Times New Roman" w:eastAsia="Times New Roman" w:hAnsi="Times New Roman"/>
          <w:sz w:val="12"/>
          <w:szCs w:val="12"/>
          <w:i w:val="1"/>
          <w:iCs w:val="1"/>
          <w:color w:val="auto"/>
        </w:rPr>
        <w:t>Standard Form</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ttachment</w:t>
      </w:r>
      <w:r>
        <w:rPr>
          <w:rFonts w:ascii="Times New Roman" w:cs="Times New Roman" w:eastAsia="Times New Roman" w:hAnsi="Times New Roman"/>
          <w:sz w:val="12"/>
          <w:szCs w:val="12"/>
          <w:b w:val="1"/>
          <w:bCs w:val="1"/>
          <w:color w:val="auto"/>
        </w:rPr>
        <w:t xml:space="preserve"> II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2024 E</w:t>
      </w:r>
      <w:r>
        <w:rPr>
          <w:rFonts w:ascii="Times New Roman" w:cs="Times New Roman" w:eastAsia="Times New Roman" w:hAnsi="Times New Roman"/>
          <w:sz w:val="8"/>
          <w:szCs w:val="8"/>
          <w:b w:val="1"/>
          <w:bCs w:val="1"/>
          <w:color w:val="auto"/>
        </w:rPr>
        <w:t>quity</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ncentive</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0">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399" w:name="page400"/>
    <w:bookmarkEnd w:id="399"/>
    <w:p>
      <w:pPr>
        <w:jc w:val="right"/>
        <w:spacing w:after="0"/>
        <w:rPr>
          <w:sz w:val="20"/>
          <w:szCs w:val="20"/>
          <w:color w:val="auto"/>
        </w:rPr>
      </w:pPr>
      <w:r>
        <w:rPr>
          <w:rFonts w:ascii="Times New Roman" w:cs="Times New Roman" w:eastAsia="Times New Roman" w:hAnsi="Times New Roman"/>
          <w:sz w:val="12"/>
          <w:szCs w:val="12"/>
          <w:i w:val="1"/>
          <w:iCs w:val="1"/>
          <w:color w:val="auto"/>
        </w:rPr>
        <w:t>Standard Form</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ttachment</w:t>
      </w:r>
      <w:r>
        <w:rPr>
          <w:rFonts w:ascii="Times New Roman" w:cs="Times New Roman" w:eastAsia="Times New Roman" w:hAnsi="Times New Roman"/>
          <w:sz w:val="12"/>
          <w:szCs w:val="12"/>
          <w:b w:val="1"/>
          <w:bCs w:val="1"/>
          <w:color w:val="auto"/>
        </w:rPr>
        <w:t xml:space="preserve"> III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lumis</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nc</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8"/>
          <w:szCs w:val="8"/>
          <w:b w:val="1"/>
          <w:bCs w:val="1"/>
          <w:color w:val="auto"/>
        </w:rPr>
        <w:t>otice of</w:t>
      </w:r>
      <w:r>
        <w:rPr>
          <w:rFonts w:ascii="Times New Roman" w:cs="Times New Roman" w:eastAsia="Times New Roman" w:hAnsi="Times New Roman"/>
          <w:sz w:val="12"/>
          <w:szCs w:val="12"/>
          <w:b w:val="1"/>
          <w:bCs w:val="1"/>
          <w:color w:val="auto"/>
        </w:rPr>
        <w:t xml:space="preserve"> E</w:t>
      </w:r>
      <w:r>
        <w:rPr>
          <w:rFonts w:ascii="Times New Roman" w:cs="Times New Roman" w:eastAsia="Times New Roman" w:hAnsi="Times New Roman"/>
          <w:sz w:val="8"/>
          <w:szCs w:val="8"/>
          <w:b w:val="1"/>
          <w:bCs w:val="1"/>
          <w:color w:val="auto"/>
        </w:rPr>
        <w:t>xercise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(2024 E</w:t>
      </w:r>
      <w:r>
        <w:rPr>
          <w:rFonts w:ascii="Times New Roman" w:cs="Times New Roman" w:eastAsia="Times New Roman" w:hAnsi="Times New Roman"/>
          <w:sz w:val="8"/>
          <w:szCs w:val="8"/>
          <w:b w:val="1"/>
          <w:bCs w:val="1"/>
          <w:color w:val="auto"/>
        </w:rPr>
        <w:t>quity</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ncentive</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lan</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lumis</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nc</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280 East Grand Avenue</w:t>
      </w:r>
    </w:p>
    <w:p>
      <w:pPr>
        <w:spacing w:after="0" w:line="9" w:lineRule="exact"/>
        <w:rPr>
          <w:sz w:val="20"/>
          <w:szCs w:val="20"/>
          <w:color w:val="auto"/>
        </w:rPr>
      </w:pPr>
    </w:p>
    <w:p>
      <w:pPr>
        <w:spacing w:after="0"/>
        <w:tabs>
          <w:tab w:leader="none" w:pos="6760" w:val="left"/>
        </w:tabs>
        <w:rPr>
          <w:sz w:val="20"/>
          <w:szCs w:val="20"/>
          <w:color w:val="auto"/>
        </w:rPr>
      </w:pPr>
      <w:r>
        <w:rPr>
          <w:rFonts w:ascii="Times New Roman" w:cs="Times New Roman" w:eastAsia="Times New Roman" w:hAnsi="Times New Roman"/>
          <w:sz w:val="12"/>
          <w:szCs w:val="12"/>
          <w:color w:val="auto"/>
        </w:rPr>
        <w:t>South San Francisco, CA 94080</w:t>
      </w:r>
      <w:r>
        <w:rPr>
          <w:sz w:val="20"/>
          <w:szCs w:val="20"/>
          <w:color w:val="auto"/>
        </w:rPr>
        <w:tab/>
      </w:r>
      <w:r>
        <w:rPr>
          <w:rFonts w:ascii="Times New Roman" w:cs="Times New Roman" w:eastAsia="Times New Roman" w:hAnsi="Times New Roman"/>
          <w:sz w:val="12"/>
          <w:szCs w:val="12"/>
          <w:color w:val="auto"/>
        </w:rPr>
        <w:t> Date of Exercise: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5380990</wp:posOffset>
            </wp:positionH>
            <wp:positionV relativeFrom="paragraph">
              <wp:posOffset>-86360</wp:posOffset>
            </wp:positionV>
            <wp:extent cx="1791335" cy="571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21">
                      <a:extLst>
                        <a:ext uri="{28A0092B-C50C-407E-A947-70E740481C1C}"/>
                      </a:extLst>
                    </a:blip>
                    <a:srcRect/>
                    <a:stretch>
                      <a:fillRect/>
                    </a:stretch>
                  </pic:blipFill>
                  <pic:spPr bwMode="auto">
                    <a:xfrm>
                      <a:off x="0" y="0"/>
                      <a:ext cx="1791335" cy="571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2"/>
          <w:szCs w:val="12"/>
          <w:color w:val="auto"/>
        </w:rPr>
        <w:t>This constitutes notice to Alumis Inc.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that I elect to purchase the below number of shares of Common Stock of the Company (the “</w:t>
      </w:r>
      <w:r>
        <w:rPr>
          <w:rFonts w:ascii="Times New Roman" w:cs="Times New Roman" w:eastAsia="Times New Roman" w:hAnsi="Times New Roman"/>
          <w:sz w:val="12"/>
          <w:szCs w:val="12"/>
          <w:b w:val="1"/>
          <w:bCs w:val="1"/>
          <w:i w:val="1"/>
          <w:iCs w:val="1"/>
          <w:color w:val="auto"/>
        </w:rPr>
        <w:t>Shares</w:t>
      </w:r>
      <w:r>
        <w:rPr>
          <w:rFonts w:ascii="Times New Roman" w:cs="Times New Roman" w:eastAsia="Times New Roman" w:hAnsi="Times New Roman"/>
          <w:sz w:val="12"/>
          <w:szCs w:val="12"/>
          <w:color w:val="auto"/>
        </w:rPr>
        <w:t>”) by exercising my Option for the price set forth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Capitalized terms not explicitly defined in this Notice of Exercise but defined in the Stock Option Grant Notice, Stock Option Agreement or 2024 Equity Incentive Plan (the “</w:t>
      </w:r>
      <w:r>
        <w:rPr>
          <w:rFonts w:ascii="Times New Roman" w:cs="Times New Roman" w:eastAsia="Times New Roman" w:hAnsi="Times New Roman"/>
          <w:sz w:val="12"/>
          <w:szCs w:val="12"/>
          <w:b w:val="1"/>
          <w:bCs w:val="1"/>
          <w:i w:val="1"/>
          <w:iCs w:val="1"/>
          <w:color w:val="auto"/>
        </w:rPr>
        <w:t>Plan</w:t>
      </w:r>
      <w:r>
        <w:rPr>
          <w:rFonts w:ascii="Times New Roman" w:cs="Times New Roman" w:eastAsia="Times New Roman" w:hAnsi="Times New Roman"/>
          <w:sz w:val="12"/>
          <w:szCs w:val="12"/>
          <w:color w:val="auto"/>
        </w:rPr>
        <w:t>”) shall have the meanings set forth in the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Option Grant Notice, Stock Option Agreement or Plan, as applicable. Use of certain payment methods is subject to Company and/or Committee consent and certain additional requirements set forth in the Stock Option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80" w:type="dxa"/>
            <w:vAlign w:val="bottom"/>
          </w:tcPr>
          <w:p>
            <w:pPr>
              <w:ind w:left="1120"/>
              <w:spacing w:after="0"/>
              <w:rPr>
                <w:sz w:val="20"/>
                <w:szCs w:val="20"/>
                <w:color w:val="auto"/>
              </w:rPr>
            </w:pPr>
            <w:r>
              <w:rPr>
                <w:rFonts w:ascii="Times New Roman" w:cs="Times New Roman" w:eastAsia="Times New Roman" w:hAnsi="Times New Roman"/>
                <w:sz w:val="12"/>
                <w:szCs w:val="12"/>
                <w:color w:val="auto"/>
              </w:rPr>
              <w:t>Type of option (check one):</w:t>
            </w:r>
          </w:p>
        </w:tc>
        <w:tc>
          <w:tcPr>
            <w:tcW w:w="7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 </w:t>
            </w:r>
          </w:p>
        </w:tc>
        <w:tc>
          <w:tcPr>
            <w:tcW w:w="1900" w:type="dxa"/>
            <w:vAlign w:val="bottom"/>
          </w:tcPr>
          <w:p>
            <w:pPr>
              <w:ind w:left="280"/>
              <w:spacing w:after="0" w:line="138" w:lineRule="exact"/>
              <w:rPr>
                <w:sz w:val="20"/>
                <w:szCs w:val="20"/>
                <w:color w:val="auto"/>
              </w:rPr>
            </w:pPr>
            <w:r>
              <w:rPr>
                <w:rFonts w:ascii="Times New Roman" w:cs="Times New Roman" w:eastAsia="Times New Roman" w:hAnsi="Times New Roman"/>
                <w:sz w:val="12"/>
                <w:szCs w:val="12"/>
                <w:color w:val="auto"/>
              </w:rPr>
              <w:t>Incentive  </w:t>
            </w:r>
            <w:r>
              <w:rPr>
                <w:rFonts w:ascii="MS PGothic" w:cs="MS PGothic" w:eastAsia="MS PGothic" w:hAnsi="MS PGothic"/>
                <w:sz w:val="12"/>
                <w:szCs w:val="12"/>
                <w:color w:val="auto"/>
              </w:rPr>
              <w:t>☐</w:t>
            </w:r>
          </w:p>
        </w:tc>
        <w:tc>
          <w:tcPr>
            <w:tcW w:w="4020" w:type="dxa"/>
            <w:vAlign w:val="bottom"/>
          </w:tcPr>
          <w:p>
            <w:pPr>
              <w:ind w:left="640"/>
              <w:spacing w:after="0" w:line="138" w:lineRule="exact"/>
              <w:rPr>
                <w:sz w:val="20"/>
                <w:szCs w:val="20"/>
                <w:color w:val="auto"/>
              </w:rPr>
            </w:pPr>
            <w:r>
              <w:rPr>
                <w:rFonts w:ascii="Times New Roman" w:cs="Times New Roman" w:eastAsia="Times New Roman" w:hAnsi="Times New Roman"/>
                <w:sz w:val="12"/>
                <w:szCs w:val="12"/>
                <w:color w:val="auto"/>
              </w:rPr>
              <w:t>Nonstatutory  </w:t>
            </w:r>
            <w:r>
              <w:rPr>
                <w:rFonts w:ascii="MS PGothic" w:cs="MS PGothic" w:eastAsia="MS PGothic" w:hAnsi="MS PGothic"/>
                <w:sz w:val="12"/>
                <w:szCs w:val="12"/>
                <w:color w:val="auto"/>
              </w:rPr>
              <w:t>☐</w:t>
            </w:r>
          </w:p>
        </w:tc>
      </w:tr>
      <w:tr>
        <w:trPr>
          <w:trHeight w:val="147"/>
        </w:trPr>
        <w:tc>
          <w:tcPr>
            <w:tcW w:w="4680" w:type="dxa"/>
            <w:vAlign w:val="bottom"/>
          </w:tcPr>
          <w:p>
            <w:pPr>
              <w:ind w:left="1120"/>
              <w:spacing w:after="0"/>
              <w:rPr>
                <w:sz w:val="20"/>
                <w:szCs w:val="20"/>
                <w:color w:val="auto"/>
              </w:rPr>
            </w:pPr>
            <w:r>
              <w:rPr>
                <w:rFonts w:ascii="Times New Roman" w:cs="Times New Roman" w:eastAsia="Times New Roman" w:hAnsi="Times New Roman"/>
                <w:sz w:val="12"/>
                <w:szCs w:val="12"/>
                <w:color w:val="auto"/>
              </w:rPr>
              <w:t>Date of Grant:</w:t>
            </w:r>
          </w:p>
        </w:tc>
        <w:tc>
          <w:tcPr>
            <w:tcW w:w="7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 </w:t>
            </w:r>
          </w:p>
        </w:tc>
        <w:tc>
          <w:tcPr>
            <w:tcW w:w="19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________________</w:t>
            </w:r>
          </w:p>
        </w:tc>
        <w:tc>
          <w:tcPr>
            <w:tcW w:w="402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 </w:t>
            </w:r>
          </w:p>
        </w:tc>
      </w:tr>
      <w:tr>
        <w:trPr>
          <w:trHeight w:val="147"/>
        </w:trPr>
        <w:tc>
          <w:tcPr>
            <w:tcW w:w="4680" w:type="dxa"/>
            <w:vAlign w:val="bottom"/>
          </w:tcPr>
          <w:p>
            <w:pPr>
              <w:ind w:left="1120"/>
              <w:spacing w:after="0"/>
              <w:rPr>
                <w:sz w:val="20"/>
                <w:szCs w:val="20"/>
                <w:color w:val="auto"/>
              </w:rPr>
            </w:pPr>
            <w:r>
              <w:rPr>
                <w:rFonts w:ascii="Times New Roman" w:cs="Times New Roman" w:eastAsia="Times New Roman" w:hAnsi="Times New Roman"/>
                <w:sz w:val="12"/>
                <w:szCs w:val="12"/>
                <w:color w:val="auto"/>
              </w:rPr>
              <w:t>Number of Shares as</w:t>
            </w:r>
          </w:p>
        </w:tc>
        <w:tc>
          <w:tcPr>
            <w:tcW w:w="7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 </w:t>
            </w:r>
          </w:p>
        </w:tc>
        <w:tc>
          <w:tcPr>
            <w:tcW w:w="1900" w:type="dxa"/>
            <w:vAlign w:val="bottom"/>
          </w:tcPr>
          <w:p>
            <w:pPr>
              <w:spacing w:after="0"/>
              <w:rPr>
                <w:sz w:val="12"/>
                <w:szCs w:val="12"/>
                <w:color w:val="auto"/>
              </w:rPr>
            </w:pPr>
          </w:p>
        </w:tc>
        <w:tc>
          <w:tcPr>
            <w:tcW w:w="4020" w:type="dxa"/>
            <w:vAlign w:val="bottom"/>
          </w:tcPr>
          <w:p>
            <w:pPr>
              <w:spacing w:after="0"/>
              <w:rPr>
                <w:sz w:val="12"/>
                <w:szCs w:val="12"/>
                <w:color w:val="auto"/>
              </w:rPr>
            </w:pPr>
          </w:p>
        </w:tc>
      </w:tr>
      <w:tr>
        <w:trPr>
          <w:trHeight w:val="147"/>
        </w:trPr>
        <w:tc>
          <w:tcPr>
            <w:tcW w:w="4680" w:type="dxa"/>
            <w:vAlign w:val="bottom"/>
          </w:tcPr>
          <w:p>
            <w:pPr>
              <w:ind w:left="1120"/>
              <w:spacing w:after="0"/>
              <w:rPr>
                <w:sz w:val="20"/>
                <w:szCs w:val="20"/>
                <w:color w:val="auto"/>
              </w:rPr>
            </w:pPr>
            <w:r>
              <w:rPr>
                <w:rFonts w:ascii="Times New Roman" w:cs="Times New Roman" w:eastAsia="Times New Roman" w:hAnsi="Times New Roman"/>
                <w:sz w:val="12"/>
                <w:szCs w:val="12"/>
                <w:color w:val="auto"/>
              </w:rPr>
              <w:t>to which Option is</w:t>
            </w:r>
          </w:p>
        </w:tc>
        <w:tc>
          <w:tcPr>
            <w:tcW w:w="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20" w:type="dxa"/>
            <w:vAlign w:val="bottom"/>
          </w:tcPr>
          <w:p>
            <w:pPr>
              <w:spacing w:after="0"/>
              <w:rPr>
                <w:sz w:val="12"/>
                <w:szCs w:val="12"/>
                <w:color w:val="auto"/>
              </w:rPr>
            </w:pPr>
          </w:p>
        </w:tc>
      </w:tr>
      <w:tr>
        <w:trPr>
          <w:trHeight w:val="147"/>
        </w:trPr>
        <w:tc>
          <w:tcPr>
            <w:tcW w:w="4680" w:type="dxa"/>
            <w:vAlign w:val="bottom"/>
          </w:tcPr>
          <w:p>
            <w:pPr>
              <w:ind w:left="1120"/>
              <w:spacing w:after="0"/>
              <w:rPr>
                <w:sz w:val="20"/>
                <w:szCs w:val="20"/>
                <w:color w:val="auto"/>
              </w:rPr>
            </w:pPr>
            <w:r>
              <w:rPr>
                <w:rFonts w:ascii="Times New Roman" w:cs="Times New Roman" w:eastAsia="Times New Roman" w:hAnsi="Times New Roman"/>
                <w:sz w:val="12"/>
                <w:szCs w:val="12"/>
                <w:color w:val="auto"/>
              </w:rPr>
              <w:t>exercised:</w:t>
            </w:r>
          </w:p>
        </w:tc>
        <w:tc>
          <w:tcPr>
            <w:tcW w:w="700" w:type="dxa"/>
            <w:vAlign w:val="bottom"/>
          </w:tcPr>
          <w:p>
            <w:pPr>
              <w:spacing w:after="0"/>
              <w:rPr>
                <w:sz w:val="12"/>
                <w:szCs w:val="12"/>
                <w:color w:val="auto"/>
              </w:rPr>
            </w:pPr>
          </w:p>
        </w:tc>
        <w:tc>
          <w:tcPr>
            <w:tcW w:w="19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________________</w:t>
            </w:r>
          </w:p>
        </w:tc>
        <w:tc>
          <w:tcPr>
            <w:tcW w:w="402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 </w:t>
            </w:r>
          </w:p>
        </w:tc>
      </w:tr>
      <w:tr>
        <w:trPr>
          <w:trHeight w:val="147"/>
        </w:trPr>
        <w:tc>
          <w:tcPr>
            <w:tcW w:w="4680" w:type="dxa"/>
            <w:vAlign w:val="bottom"/>
          </w:tcPr>
          <w:p>
            <w:pPr>
              <w:ind w:left="1120"/>
              <w:spacing w:after="0"/>
              <w:rPr>
                <w:sz w:val="20"/>
                <w:szCs w:val="20"/>
                <w:color w:val="auto"/>
              </w:rPr>
            </w:pPr>
            <w:r>
              <w:rPr>
                <w:rFonts w:ascii="Times New Roman" w:cs="Times New Roman" w:eastAsia="Times New Roman" w:hAnsi="Times New Roman"/>
                <w:sz w:val="12"/>
                <w:szCs w:val="12"/>
                <w:color w:val="auto"/>
              </w:rPr>
              <w:t>Certificates to be</w:t>
            </w:r>
          </w:p>
        </w:tc>
        <w:tc>
          <w:tcPr>
            <w:tcW w:w="7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 </w:t>
            </w:r>
          </w:p>
        </w:tc>
        <w:tc>
          <w:tcPr>
            <w:tcW w:w="1900" w:type="dxa"/>
            <w:vAlign w:val="bottom"/>
          </w:tcPr>
          <w:p>
            <w:pPr>
              <w:spacing w:after="0"/>
              <w:rPr>
                <w:sz w:val="12"/>
                <w:szCs w:val="12"/>
                <w:color w:val="auto"/>
              </w:rPr>
            </w:pPr>
          </w:p>
        </w:tc>
        <w:tc>
          <w:tcPr>
            <w:tcW w:w="4020" w:type="dxa"/>
            <w:vAlign w:val="bottom"/>
          </w:tcPr>
          <w:p>
            <w:pPr>
              <w:spacing w:after="0"/>
              <w:rPr>
                <w:sz w:val="12"/>
                <w:szCs w:val="12"/>
                <w:color w:val="auto"/>
              </w:rPr>
            </w:pPr>
          </w:p>
        </w:tc>
      </w:tr>
      <w:tr>
        <w:trPr>
          <w:trHeight w:val="147"/>
        </w:trPr>
        <w:tc>
          <w:tcPr>
            <w:tcW w:w="4680" w:type="dxa"/>
            <w:vAlign w:val="bottom"/>
          </w:tcPr>
          <w:p>
            <w:pPr>
              <w:ind w:left="1120"/>
              <w:spacing w:after="0"/>
              <w:rPr>
                <w:sz w:val="20"/>
                <w:szCs w:val="20"/>
                <w:color w:val="auto"/>
              </w:rPr>
            </w:pPr>
            <w:r>
              <w:rPr>
                <w:rFonts w:ascii="Times New Roman" w:cs="Times New Roman" w:eastAsia="Times New Roman" w:hAnsi="Times New Roman"/>
                <w:sz w:val="12"/>
                <w:szCs w:val="12"/>
                <w:color w:val="auto"/>
              </w:rPr>
              <w:t>issued in name of:</w:t>
            </w:r>
          </w:p>
        </w:tc>
        <w:tc>
          <w:tcPr>
            <w:tcW w:w="700" w:type="dxa"/>
            <w:vAlign w:val="bottom"/>
          </w:tcPr>
          <w:p>
            <w:pPr>
              <w:spacing w:after="0"/>
              <w:rPr>
                <w:sz w:val="12"/>
                <w:szCs w:val="12"/>
                <w:color w:val="auto"/>
              </w:rPr>
            </w:pPr>
          </w:p>
        </w:tc>
        <w:tc>
          <w:tcPr>
            <w:tcW w:w="19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________________</w:t>
            </w:r>
          </w:p>
        </w:tc>
        <w:tc>
          <w:tcPr>
            <w:tcW w:w="402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 </w:t>
            </w:r>
          </w:p>
        </w:tc>
      </w:tr>
      <w:tr>
        <w:trPr>
          <w:trHeight w:val="147"/>
        </w:trPr>
        <w:tc>
          <w:tcPr>
            <w:tcW w:w="4680" w:type="dxa"/>
            <w:vAlign w:val="bottom"/>
          </w:tcPr>
          <w:p>
            <w:pPr>
              <w:ind w:left="1120"/>
              <w:spacing w:after="0"/>
              <w:rPr>
                <w:sz w:val="20"/>
                <w:szCs w:val="20"/>
                <w:color w:val="auto"/>
              </w:rPr>
            </w:pPr>
            <w:r>
              <w:rPr>
                <w:rFonts w:ascii="Times New Roman" w:cs="Times New Roman" w:eastAsia="Times New Roman" w:hAnsi="Times New Roman"/>
                <w:sz w:val="12"/>
                <w:szCs w:val="12"/>
                <w:color w:val="auto"/>
              </w:rPr>
              <w:t>Total exercise price:</w:t>
            </w:r>
          </w:p>
        </w:tc>
        <w:tc>
          <w:tcPr>
            <w:tcW w:w="7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 </w:t>
            </w:r>
          </w:p>
        </w:tc>
        <w:tc>
          <w:tcPr>
            <w:tcW w:w="19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$_______________</w:t>
            </w:r>
          </w:p>
        </w:tc>
        <w:tc>
          <w:tcPr>
            <w:tcW w:w="402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 </w:t>
            </w:r>
          </w:p>
        </w:tc>
      </w:tr>
      <w:tr>
        <w:trPr>
          <w:trHeight w:val="147"/>
        </w:trPr>
        <w:tc>
          <w:tcPr>
            <w:tcW w:w="468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Cash, check, bank draft or money order delivered herewith:</w:t>
            </w:r>
          </w:p>
        </w:tc>
        <w:tc>
          <w:tcPr>
            <w:tcW w:w="7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 </w:t>
            </w:r>
          </w:p>
        </w:tc>
        <w:tc>
          <w:tcPr>
            <w:tcW w:w="19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$_______________</w:t>
            </w:r>
          </w:p>
        </w:tc>
        <w:tc>
          <w:tcPr>
            <w:tcW w:w="402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 </w:t>
            </w:r>
          </w:p>
        </w:tc>
      </w:tr>
      <w:tr>
        <w:trPr>
          <w:trHeight w:val="147"/>
        </w:trPr>
        <w:tc>
          <w:tcPr>
            <w:tcW w:w="468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Value of ________ Shares delivered herewith:</w:t>
            </w:r>
          </w:p>
        </w:tc>
        <w:tc>
          <w:tcPr>
            <w:tcW w:w="7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 </w:t>
            </w:r>
          </w:p>
        </w:tc>
        <w:tc>
          <w:tcPr>
            <w:tcW w:w="19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$_______________</w:t>
            </w:r>
          </w:p>
        </w:tc>
        <w:tc>
          <w:tcPr>
            <w:tcW w:w="402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 </w:t>
            </w:r>
          </w:p>
        </w:tc>
      </w:tr>
      <w:tr>
        <w:trPr>
          <w:trHeight w:val="147"/>
        </w:trPr>
        <w:tc>
          <w:tcPr>
            <w:tcW w:w="468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Regulation T Program (cashless exercise):</w:t>
            </w:r>
          </w:p>
        </w:tc>
        <w:tc>
          <w:tcPr>
            <w:tcW w:w="7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 </w:t>
            </w:r>
          </w:p>
        </w:tc>
        <w:tc>
          <w:tcPr>
            <w:tcW w:w="19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$_______________</w:t>
            </w:r>
          </w:p>
        </w:tc>
        <w:tc>
          <w:tcPr>
            <w:tcW w:w="402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 </w:t>
            </w:r>
          </w:p>
        </w:tc>
      </w:tr>
      <w:tr>
        <w:trPr>
          <w:trHeight w:val="147"/>
        </w:trPr>
        <w:tc>
          <w:tcPr>
            <w:tcW w:w="468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Value of _______ Shares pursuant to net exercise:</w:t>
            </w:r>
          </w:p>
        </w:tc>
        <w:tc>
          <w:tcPr>
            <w:tcW w:w="7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 </w:t>
            </w:r>
          </w:p>
        </w:tc>
        <w:tc>
          <w:tcPr>
            <w:tcW w:w="19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$_______________</w:t>
            </w:r>
          </w:p>
        </w:tc>
        <w:tc>
          <w:tcPr>
            <w:tcW w:w="402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 </w:t>
            </w:r>
          </w:p>
        </w:tc>
      </w:tr>
      <w:tr>
        <w:trPr>
          <w:trHeight w:val="159"/>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020" w:type="dxa"/>
            <w:vAlign w:val="bottom"/>
          </w:tcPr>
          <w:p>
            <w:pPr>
              <w:spacing w:after="0"/>
              <w:rPr>
                <w:sz w:val="13"/>
                <w:szCs w:val="13"/>
                <w:color w:val="auto"/>
              </w:rPr>
            </w:pPr>
          </w:p>
        </w:tc>
      </w:tr>
      <w:tr>
        <w:trPr>
          <w:trHeight w:val="293"/>
        </w:trPr>
        <w:tc>
          <w:tcPr>
            <w:tcW w:w="4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rPr>
              <w:t>1</w:t>
            </w: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6" w:right="299" w:bottom="1440" w:gutter="0" w:footer="0" w:header="0"/>
        </w:sectPr>
      </w:pPr>
    </w:p>
    <w:bookmarkStart w:id="400" w:name="page401"/>
    <w:bookmarkEnd w:id="400"/>
    <w:p>
      <w:pPr>
        <w:jc w:val="both"/>
        <w:ind w:firstLine="440"/>
        <w:spacing w:after="0" w:line="270" w:lineRule="auto"/>
        <w:rPr>
          <w:sz w:val="20"/>
          <w:szCs w:val="20"/>
          <w:color w:val="auto"/>
        </w:rPr>
      </w:pPr>
      <w:r>
        <w:rPr>
          <w:rFonts w:ascii="Times New Roman" w:cs="Times New Roman" w:eastAsia="Times New Roman" w:hAnsi="Times New Roman"/>
          <w:sz w:val="12"/>
          <w:szCs w:val="12"/>
          <w:color w:val="auto"/>
        </w:rPr>
        <w:t>By this exercise, I agree (i) to provide such additional documents as you may require pursuant to the terms of the Plan, (ii) to satisfy the tax withholding obligations, if any, relating to the exercise of this Option as set forth in the Stock Option Agreement, and (iii) if this exercise relates to an incentive stock option, to notify you in writing within 15 days after the date of any disposition of any of the Shares issued upon exercise of this Option that occurs within two years after the Date of Grant or within one year after such Shares are issued upon exercise of this Option.  </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I further agree that, if required by the Company (or a representative of the underwriters) in connection with the first underwritten registration of the offering of any securities of the Company under the Securities Act, I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 sell, dispose of, transfer, make any short sale of, grant any option for the purchase of, or enter into any hedging or similar transaction with the same economic effect as a sale with respect to any shares of Common Stock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securities of the Company, for a period of one hundred eighty (180) days following the effective date of a registration statement of the Company filed under the Securities Act (or such longer period as the underwriters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shall request to facilitate compliance with FINRA Rule 2241 or any successor or similar rule or regulation) (the “</w:t>
      </w:r>
      <w:r>
        <w:rPr>
          <w:rFonts w:ascii="Times New Roman" w:cs="Times New Roman" w:eastAsia="Times New Roman" w:hAnsi="Times New Roman"/>
          <w:sz w:val="12"/>
          <w:szCs w:val="12"/>
          <w:b w:val="1"/>
          <w:bCs w:val="1"/>
          <w:i w:val="1"/>
          <w:iCs w:val="1"/>
          <w:color w:val="auto"/>
        </w:rPr>
        <w:t>Lock-Up Period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nothing contained in this paragraph will prevent the exercise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repurchase option, if any, in favor of the Company during the Lock-Up Period. I further agree to execute and deliver such other agreements as may be reasonably requested by the Company or the underwriters that are consistent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with the foregoing or that are necessary to give further effect thereto. To enforce the foregoing covenant, the Company may impose stop-transfer instructions with respect to securities subject to the foregoing restrictions until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end of such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Very truly yours,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-84455</wp:posOffset>
            </wp:positionV>
            <wp:extent cx="3588385" cy="571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22">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23">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401" w:name="page402"/>
    <w:bookmarkEnd w:id="401"/>
    <w:p>
      <w:pPr>
        <w:jc w:val="right"/>
        <w:spacing w:after="0"/>
        <w:rPr>
          <w:sz w:val="20"/>
          <w:szCs w:val="20"/>
          <w:color w:val="auto"/>
        </w:rPr>
      </w:pPr>
      <w:r>
        <w:rPr>
          <w:rFonts w:ascii="Times New Roman" w:cs="Times New Roman" w:eastAsia="Times New Roman" w:hAnsi="Times New Roman"/>
          <w:sz w:val="12"/>
          <w:szCs w:val="12"/>
          <w:i w:val="1"/>
          <w:iCs w:val="1"/>
          <w:color w:val="auto"/>
        </w:rPr>
        <w:t>Standard Form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ttachment</w:t>
      </w:r>
      <w:r>
        <w:rPr>
          <w:rFonts w:ascii="Times New Roman" w:cs="Times New Roman" w:eastAsia="Times New Roman" w:hAnsi="Times New Roman"/>
          <w:sz w:val="12"/>
          <w:szCs w:val="12"/>
          <w:b w:val="1"/>
          <w:bCs w:val="1"/>
          <w:color w:val="auto"/>
        </w:rPr>
        <w:t xml:space="preserve"> IV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8"/>
          <w:szCs w:val="8"/>
          <w:b w:val="1"/>
          <w:bCs w:val="1"/>
          <w:color w:val="auto"/>
        </w:rPr>
        <w:t>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24">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402" w:name="page403"/>
    <w:bookmarkEnd w:id="402"/>
    <w:p>
      <w:pPr>
        <w:jc w:val="right"/>
        <w:spacing w:after="0"/>
        <w:rPr>
          <w:sz w:val="20"/>
          <w:szCs w:val="20"/>
          <w:color w:val="auto"/>
        </w:rPr>
      </w:pPr>
      <w:r>
        <w:rPr>
          <w:rFonts w:ascii="Times New Roman" w:cs="Times New Roman" w:eastAsia="Times New Roman" w:hAnsi="Times New Roman"/>
          <w:sz w:val="12"/>
          <w:szCs w:val="12"/>
          <w:b w:val="1"/>
          <w:bCs w:val="1"/>
          <w:color w:val="auto"/>
        </w:rPr>
        <w:t>Exhibit 10.5</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lumis</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nc</w:t>
      </w:r>
      <w:r>
        <w:rPr>
          <w:rFonts w:ascii="Times New Roman" w:cs="Times New Roman" w:eastAsia="Times New Roman" w:hAnsi="Times New Roman"/>
          <w:sz w:val="12"/>
          <w:szCs w:val="12"/>
          <w:b w:val="1"/>
          <w:bCs w:val="1"/>
          <w:color w:val="auto"/>
        </w:rPr>
        <w: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RSU A</w:t>
      </w:r>
      <w:r>
        <w:rPr>
          <w:rFonts w:ascii="Times New Roman" w:cs="Times New Roman" w:eastAsia="Times New Roman" w:hAnsi="Times New Roman"/>
          <w:sz w:val="8"/>
          <w:szCs w:val="8"/>
          <w:b w:val="1"/>
          <w:bCs w:val="1"/>
          <w:color w:val="auto"/>
        </w:rPr>
        <w:t>ward</w:t>
      </w:r>
      <w:r>
        <w:rPr>
          <w:rFonts w:ascii="Times New Roman" w:cs="Times New Roman" w:eastAsia="Times New Roman" w:hAnsi="Times New Roman"/>
          <w:sz w:val="12"/>
          <w:szCs w:val="12"/>
          <w:b w:val="1"/>
          <w:bCs w:val="1"/>
          <w:color w:val="auto"/>
        </w:rPr>
        <w:t xml:space="preserve"> G</w:t>
      </w:r>
      <w:r>
        <w:rPr>
          <w:rFonts w:ascii="Times New Roman" w:cs="Times New Roman" w:eastAsia="Times New Roman" w:hAnsi="Times New Roman"/>
          <w:sz w:val="8"/>
          <w:szCs w:val="8"/>
          <w:b w:val="1"/>
          <w:bCs w:val="1"/>
          <w:color w:val="auto"/>
        </w:rPr>
        <w:t>rant</w:t>
      </w:r>
      <w:r>
        <w:rPr>
          <w:rFonts w:ascii="Times New Roman" w:cs="Times New Roman" w:eastAsia="Times New Roman" w:hAnsi="Times New Roman"/>
          <w:sz w:val="12"/>
          <w:szCs w:val="12"/>
          <w:b w:val="1"/>
          <w:bCs w:val="1"/>
          <w:color w:val="auto"/>
        </w:rPr>
        <w:t xml:space="preserve"> N</w:t>
      </w:r>
      <w:r>
        <w:rPr>
          <w:rFonts w:ascii="Times New Roman" w:cs="Times New Roman" w:eastAsia="Times New Roman" w:hAnsi="Times New Roman"/>
          <w:sz w:val="8"/>
          <w:szCs w:val="8"/>
          <w:b w:val="1"/>
          <w:bCs w:val="1"/>
          <w:color w:val="auto"/>
        </w:rPr>
        <w:t>otice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(2024 E</w:t>
      </w:r>
      <w:r>
        <w:rPr>
          <w:rFonts w:ascii="Times New Roman" w:cs="Times New Roman" w:eastAsia="Times New Roman" w:hAnsi="Times New Roman"/>
          <w:sz w:val="8"/>
          <w:szCs w:val="8"/>
          <w:b w:val="1"/>
          <w:bCs w:val="1"/>
          <w:color w:val="auto"/>
        </w:rPr>
        <w:t>quity</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ncentive</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lan</w:t>
      </w:r>
      <w:r>
        <w:rPr>
          <w:rFonts w:ascii="Times New Roman" w:cs="Times New Roman" w:eastAsia="Times New Roman" w:hAnsi="Times New Roman"/>
          <w:sz w:val="12"/>
          <w:szCs w:val="12"/>
          <w:b w:val="1"/>
          <w:bCs w:val="1"/>
          <w:color w:val="auto"/>
        </w:rPr>
        <w:t>)</w:t>
      </w:r>
    </w:p>
    <w:p>
      <w:pPr>
        <w:spacing w:after="0" w:line="14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2"/>
          <w:szCs w:val="12"/>
          <w:color w:val="auto"/>
        </w:rPr>
        <w:t>Alumis Inc.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has awarded to you (the “</w:t>
      </w:r>
      <w:r>
        <w:rPr>
          <w:rFonts w:ascii="Times New Roman" w:cs="Times New Roman" w:eastAsia="Times New Roman" w:hAnsi="Times New Roman"/>
          <w:sz w:val="12"/>
          <w:szCs w:val="12"/>
          <w:b w:val="1"/>
          <w:bCs w:val="1"/>
          <w:i w:val="1"/>
          <w:iCs w:val="1"/>
          <w:color w:val="auto"/>
        </w:rPr>
        <w:t>Participant</w:t>
      </w:r>
      <w:r>
        <w:rPr>
          <w:rFonts w:ascii="Times New Roman" w:cs="Times New Roman" w:eastAsia="Times New Roman" w:hAnsi="Times New Roman"/>
          <w:sz w:val="12"/>
          <w:szCs w:val="12"/>
          <w:color w:val="auto"/>
        </w:rPr>
        <w:t>”) the number of restricted stock units specified and on the terms set forth below in consideration of your services (the “</w:t>
      </w:r>
      <w:r>
        <w:rPr>
          <w:rFonts w:ascii="Times New Roman" w:cs="Times New Roman" w:eastAsia="Times New Roman" w:hAnsi="Times New Roman"/>
          <w:sz w:val="12"/>
          <w:szCs w:val="12"/>
          <w:b w:val="1"/>
          <w:bCs w:val="1"/>
          <w:i w:val="1"/>
          <w:iCs w:val="1"/>
          <w:color w:val="auto"/>
        </w:rPr>
        <w:t>RSU Award</w:t>
      </w:r>
      <w:r>
        <w:rPr>
          <w:rFonts w:ascii="Times New Roman" w:cs="Times New Roman" w:eastAsia="Times New Roman" w:hAnsi="Times New Roman"/>
          <w:sz w:val="12"/>
          <w:szCs w:val="12"/>
          <w:color w:val="auto"/>
        </w:rPr>
        <w:t>”). Your RSU Award is subject to all of the terms and conditions as set forth herein and in the Company’s 2024 Equity Incentive Plan (the “</w:t>
      </w:r>
      <w:r>
        <w:rPr>
          <w:rFonts w:ascii="Times New Roman" w:cs="Times New Roman" w:eastAsia="Times New Roman" w:hAnsi="Times New Roman"/>
          <w:sz w:val="12"/>
          <w:szCs w:val="12"/>
          <w:b w:val="1"/>
          <w:bCs w:val="1"/>
          <w:i w:val="1"/>
          <w:iCs w:val="1"/>
          <w:color w:val="auto"/>
        </w:rPr>
        <w:t>Plan</w:t>
      </w:r>
      <w:r>
        <w:rPr>
          <w:rFonts w:ascii="Times New Roman" w:cs="Times New Roman" w:eastAsia="Times New Roman" w:hAnsi="Times New Roman"/>
          <w:sz w:val="12"/>
          <w:szCs w:val="12"/>
          <w:color w:val="auto"/>
        </w:rPr>
        <w:t>”) and the Award Agreement (the “</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Participant: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-86360</wp:posOffset>
            </wp:positionV>
            <wp:extent cx="2157730" cy="571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25">
                      <a:extLst>
                        <a:ext uri="{28A0092B-C50C-407E-A947-70E740481C1C}"/>
                      </a:extLst>
                    </a:blip>
                    <a:srcRect/>
                    <a:stretch>
                      <a:fillRect/>
                    </a:stretch>
                  </pic:blipFill>
                  <pic:spPr bwMode="auto">
                    <a:xfrm>
                      <a:off x="0" y="0"/>
                      <a:ext cx="21577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-80645</wp:posOffset>
            </wp:positionV>
            <wp:extent cx="2157730" cy="571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26">
                      <a:extLst>
                        <a:ext uri="{28A0092B-C50C-407E-A947-70E740481C1C}"/>
                      </a:extLst>
                    </a:blip>
                    <a:srcRect/>
                    <a:stretch>
                      <a:fillRect/>
                    </a:stretch>
                  </pic:blipFill>
                  <pic:spPr bwMode="auto">
                    <a:xfrm>
                      <a:off x="0" y="0"/>
                      <a:ext cx="215773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17145</wp:posOffset>
            </wp:positionV>
            <wp:extent cx="2157730" cy="571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27">
                      <a:extLst>
                        <a:ext uri="{28A0092B-C50C-407E-A947-70E740481C1C}"/>
                      </a:extLst>
                    </a:blip>
                    <a:srcRect/>
                    <a:stretch>
                      <a:fillRect/>
                    </a:stretch>
                  </pic:blipFill>
                  <pic:spPr bwMode="auto">
                    <a:xfrm>
                      <a:off x="0" y="0"/>
                      <a:ext cx="2157730" cy="57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-80645</wp:posOffset>
            </wp:positionV>
            <wp:extent cx="2157730" cy="571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28">
                      <a:extLst>
                        <a:ext uri="{28A0092B-C50C-407E-A947-70E740481C1C}"/>
                      </a:extLst>
                    </a:blip>
                    <a:srcRect/>
                    <a:stretch>
                      <a:fillRect/>
                    </a:stretch>
                  </pic:blipFill>
                  <pic:spPr bwMode="auto">
                    <a:xfrm>
                      <a:off x="0" y="0"/>
                      <a:ext cx="2157730" cy="5715"/>
                    </a:xfrm>
                    <a:prstGeom prst="rect">
                      <a:avLst/>
                    </a:prstGeom>
                    <a:noFill/>
                  </pic:spPr>
                </pic:pic>
              </a:graphicData>
            </a:graphic>
          </wp:anchor>
        </w:drawing>
      </w:r>
    </w:p>
    <w:p>
      <w:pPr>
        <w:spacing w:after="0" w:line="14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2"/>
          <w:szCs w:val="12"/>
          <w:b w:val="1"/>
          <w:bCs w:val="1"/>
          <w:color w:val="auto"/>
        </w:rPr>
        <w:t>Vesting Schedule:</w:t>
      </w:r>
      <w:r>
        <w:rPr>
          <w:sz w:val="20"/>
          <w:szCs w:val="20"/>
          <w:color w:val="auto"/>
        </w:rPr>
        <w:tab/>
      </w:r>
      <w:r>
        <w:rPr>
          <w:rFonts w:ascii="Times New Roman" w:cs="Times New Roman" w:eastAsia="Times New Roman" w:hAnsi="Times New Roman"/>
          <w:sz w:val="12"/>
          <w:szCs w:val="12"/>
          <w:color w:val="auto"/>
        </w:rPr>
        <w:t>Subject to the Participant’s Continuous Service through each applicable vesting date, the RSU Award will vest as follows: [_____]</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Notwithstanding the foregoing, vesting shall terminate upon the Participant’s termination of Continuous Service.</w:t>
      </w:r>
    </w:p>
    <w:p>
      <w:pPr>
        <w:spacing w:after="0" w:line="15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2"/>
          <w:szCs w:val="12"/>
          <w:b w:val="1"/>
          <w:bCs w:val="1"/>
          <w:color w:val="auto"/>
        </w:rPr>
        <w:t>Issuance Schedule:</w:t>
      </w:r>
      <w:r>
        <w:rPr>
          <w:sz w:val="20"/>
          <w:szCs w:val="20"/>
          <w:color w:val="auto"/>
        </w:rPr>
        <w:tab/>
      </w:r>
      <w:r>
        <w:rPr>
          <w:rFonts w:ascii="Times New Roman" w:cs="Times New Roman" w:eastAsia="Times New Roman" w:hAnsi="Times New Roman"/>
          <w:sz w:val="12"/>
          <w:szCs w:val="12"/>
          <w:color w:val="auto"/>
        </w:rPr>
        <w:t>One share of Common Stock will be issued at the time set forth in Section 5 of the Agreement for each restricted stock unit which vests.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Participant Acknowledgements: </w:t>
      </w:r>
      <w:r>
        <w:rPr>
          <w:rFonts w:ascii="Times New Roman" w:cs="Times New Roman" w:eastAsia="Times New Roman" w:hAnsi="Times New Roman"/>
          <w:sz w:val="12"/>
          <w:szCs w:val="12"/>
          <w:color w:val="auto"/>
        </w:rPr>
        <w:t>By your signature below or by electronic acceptance or authentication in a form authorized by the Company, you understand and agree that:</w:t>
      </w:r>
    </w:p>
    <w:p>
      <w:pPr>
        <w:spacing w:after="0" w:line="155" w:lineRule="exact"/>
        <w:rPr>
          <w:sz w:val="20"/>
          <w:szCs w:val="20"/>
          <w:color w:val="auto"/>
        </w:rPr>
      </w:pPr>
    </w:p>
    <w:p>
      <w:pPr>
        <w:ind w:left="440" w:right="20" w:hanging="227"/>
        <w:spacing w:after="0" w:line="294" w:lineRule="auto"/>
        <w:tabs>
          <w:tab w:leader="none" w:pos="440" w:val="left"/>
        </w:tabs>
        <w:numPr>
          <w:ilvl w:val="0"/>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RSU Award is governed by this RSU Award Grant Notice (the “</w:t>
      </w:r>
      <w:r>
        <w:rPr>
          <w:rFonts w:ascii="Times New Roman" w:cs="Times New Roman" w:eastAsia="Times New Roman" w:hAnsi="Times New Roman"/>
          <w:sz w:val="12"/>
          <w:szCs w:val="12"/>
          <w:b w:val="1"/>
          <w:bCs w:val="1"/>
          <w:i w:val="1"/>
          <w:iCs w:val="1"/>
          <w:color w:val="auto"/>
        </w:rPr>
        <w:t>Grant Notice</w:t>
      </w:r>
      <w:r>
        <w:rPr>
          <w:rFonts w:ascii="Times New Roman" w:cs="Times New Roman" w:eastAsia="Times New Roman" w:hAnsi="Times New Roman"/>
          <w:sz w:val="12"/>
          <w:szCs w:val="12"/>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12"/>
          <w:szCs w:val="12"/>
          <w:b w:val="1"/>
          <w:bCs w:val="1"/>
          <w:i w:val="1"/>
          <w:iCs w:val="1"/>
          <w:color w:val="auto"/>
        </w:rPr>
        <w:t>RSU Award Agreement</w:t>
      </w:r>
      <w:r>
        <w:rPr>
          <w:rFonts w:ascii="Times New Roman" w:cs="Times New Roman" w:eastAsia="Times New Roman" w:hAnsi="Times New Roman"/>
          <w:sz w:val="12"/>
          <w:szCs w:val="12"/>
          <w:color w:val="auto"/>
        </w:rPr>
        <w:t>”) may not be modified, amended or revised except in a writing signed by you and a duly authorized officer of the Company.</w:t>
      </w:r>
    </w:p>
    <w:p>
      <w:pPr>
        <w:spacing w:after="0" w:line="103" w:lineRule="exact"/>
        <w:rPr>
          <w:rFonts w:ascii="Times New Roman" w:cs="Times New Roman" w:eastAsia="Times New Roman" w:hAnsi="Times New Roman"/>
          <w:sz w:val="12"/>
          <w:szCs w:val="12"/>
          <w:color w:val="auto"/>
        </w:rPr>
      </w:pPr>
    </w:p>
    <w:p>
      <w:pPr>
        <w:ind w:left="440" w:right="20" w:hanging="227"/>
        <w:spacing w:after="0" w:line="291" w:lineRule="auto"/>
        <w:tabs>
          <w:tab w:leader="none" w:pos="440" w:val="left"/>
        </w:tabs>
        <w:numPr>
          <w:ilvl w:val="0"/>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104" w:lineRule="exact"/>
        <w:rPr>
          <w:rFonts w:ascii="Times New Roman" w:cs="Times New Roman" w:eastAsia="Times New Roman" w:hAnsi="Times New Roman"/>
          <w:sz w:val="12"/>
          <w:szCs w:val="12"/>
          <w:color w:val="auto"/>
        </w:rPr>
      </w:pPr>
    </w:p>
    <w:p>
      <w:pPr>
        <w:jc w:val="both"/>
        <w:ind w:left="440" w:hanging="227"/>
        <w:spacing w:after="0" w:line="272" w:lineRule="auto"/>
        <w:tabs>
          <w:tab w:leader="none" w:pos="440" w:val="left"/>
        </w:tabs>
        <w:numPr>
          <w:ilvl w:val="0"/>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268605</wp:posOffset>
            </wp:positionV>
            <wp:extent cx="7176135" cy="571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9">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290" w:right="299" w:bottom="1440" w:gutter="0" w:footer="0" w:header="0"/>
        </w:sectPr>
      </w:pPr>
    </w:p>
    <w:bookmarkStart w:id="403" w:name="page404"/>
    <w:bookmarkEnd w:id="403"/>
    <w:tbl>
      <w:tblPr>
        <w:tblLayout w:type="fixed"/>
        <w:tblInd w:w="0" w:type="dxa"/>
        <w:tblCellMar>
          <w:top w:w="0" w:type="dxa"/>
          <w:left w:w="0" w:type="dxa"/>
          <w:bottom w:w="0" w:type="dxa"/>
          <w:right w:w="0" w:type="dxa"/>
        </w:tblCellMar>
      </w:tblPr>
      <w:tr>
        <w:trPr>
          <w:trHeight w:val="161"/>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ALUMIS INC.</w:t>
            </w:r>
          </w:p>
        </w:tc>
        <w:tc>
          <w:tcPr>
            <w:tcW w:w="5760" w:type="dxa"/>
            <w:vAlign w:val="bottom"/>
            <w:gridSpan w:val="3"/>
          </w:tcPr>
          <w:p>
            <w:pPr>
              <w:ind w:left="220"/>
              <w:spacing w:after="0"/>
              <w:rPr>
                <w:sz w:val="20"/>
                <w:szCs w:val="20"/>
                <w:color w:val="auto"/>
              </w:rPr>
            </w:pPr>
            <w:r>
              <w:rPr>
                <w:rFonts w:ascii="Times New Roman" w:cs="Times New Roman" w:eastAsia="Times New Roman" w:hAnsi="Times New Roman"/>
                <w:sz w:val="12"/>
                <w:szCs w:val="12"/>
                <w:b w:val="1"/>
                <w:bCs w:val="1"/>
                <w:color w:val="auto"/>
              </w:rPr>
              <w:t>PARTICIPANT:</w:t>
            </w:r>
          </w:p>
        </w:tc>
      </w:tr>
      <w:tr>
        <w:trPr>
          <w:trHeight w:val="293"/>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By:</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148"/>
        </w:trPr>
        <w:tc>
          <w:tcPr>
            <w:tcW w:w="560" w:type="dxa"/>
            <w:vAlign w:val="bottom"/>
          </w:tcPr>
          <w:p>
            <w:pPr>
              <w:spacing w:after="0"/>
              <w:rPr>
                <w:sz w:val="12"/>
                <w:szCs w:val="12"/>
                <w:color w:val="auto"/>
              </w:rPr>
            </w:pPr>
          </w:p>
        </w:tc>
        <w:tc>
          <w:tcPr>
            <w:tcW w:w="4980" w:type="dxa"/>
            <w:vAlign w:val="bottom"/>
            <w:tcBorders>
              <w:top w:val="single" w:sz="8" w:color="auto"/>
            </w:tcBorders>
          </w:tcPr>
          <w:p>
            <w:pPr>
              <w:ind w:left="2260"/>
              <w:spacing w:after="0"/>
              <w:rPr>
                <w:sz w:val="20"/>
                <w:szCs w:val="20"/>
                <w:color w:val="auto"/>
              </w:rPr>
            </w:pPr>
            <w:r>
              <w:rPr>
                <w:rFonts w:ascii="Times New Roman" w:cs="Times New Roman" w:eastAsia="Times New Roman" w:hAnsi="Times New Roman"/>
                <w:sz w:val="12"/>
                <w:szCs w:val="12"/>
                <w:color w:val="auto"/>
              </w:rPr>
              <w:t>Signature</w:t>
            </w:r>
          </w:p>
        </w:tc>
        <w:tc>
          <w:tcPr>
            <w:tcW w:w="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960" w:type="dxa"/>
            <w:vAlign w:val="bottom"/>
            <w:tcBorders>
              <w:top w:val="single" w:sz="8" w:color="auto"/>
            </w:tcBorders>
          </w:tcPr>
          <w:p>
            <w:pPr>
              <w:ind w:left="2240"/>
              <w:spacing w:after="0"/>
              <w:rPr>
                <w:sz w:val="20"/>
                <w:szCs w:val="20"/>
                <w:color w:val="auto"/>
              </w:rPr>
            </w:pPr>
            <w:r>
              <w:rPr>
                <w:rFonts w:ascii="Times New Roman" w:cs="Times New Roman" w:eastAsia="Times New Roman" w:hAnsi="Times New Roman"/>
                <w:sz w:val="12"/>
                <w:szCs w:val="12"/>
                <w:color w:val="auto"/>
              </w:rPr>
              <w:t>Signature</w:t>
            </w:r>
          </w:p>
        </w:tc>
      </w:tr>
      <w:tr>
        <w:trPr>
          <w:trHeight w:val="28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980" w:type="dxa"/>
            <w:vAlign w:val="bottom"/>
            <w:tcBorders>
              <w:bottom w:val="single" w:sz="8" w:color="auto"/>
            </w:tcBorders>
          </w:tcPr>
          <w:p>
            <w:pPr>
              <w:spacing w:after="0"/>
              <w:rPr>
                <w:sz w:val="24"/>
                <w:szCs w:val="24"/>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Date:</w:t>
            </w:r>
          </w:p>
        </w:tc>
        <w:tc>
          <w:tcPr>
            <w:tcW w:w="4960" w:type="dxa"/>
            <w:vAlign w:val="bottom"/>
            <w:tcBorders>
              <w:bottom w:val="single" w:sz="8" w:color="auto"/>
            </w:tcBorders>
          </w:tcPr>
          <w:p>
            <w:pPr>
              <w:spacing w:after="0"/>
              <w:rPr>
                <w:sz w:val="24"/>
                <w:szCs w:val="24"/>
                <w:color w:val="auto"/>
              </w:rPr>
            </w:pPr>
          </w:p>
        </w:tc>
      </w:tr>
      <w:tr>
        <w:trPr>
          <w:trHeight w:val="282"/>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4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82"/>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ttachments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Award Agreement, 2024 Equity Incentive Plan, Prospectus</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440"/>
        </w:trPr>
        <w:tc>
          <w:tcPr>
            <w:tcW w:w="5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2</w:t>
            </w:r>
          </w:p>
        </w:tc>
        <w:tc>
          <w:tcPr>
            <w:tcW w:w="5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6" w:right="299" w:bottom="1440" w:gutter="0" w:footer="0" w:header="0"/>
        </w:sectPr>
      </w:pPr>
    </w:p>
    <w:bookmarkStart w:id="404" w:name="page405"/>
    <w:bookmarkEnd w:id="404"/>
    <w:p>
      <w:pPr>
        <w:jc w:val="center"/>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ttachment</w:t>
      </w:r>
      <w:r>
        <w:rPr>
          <w:rFonts w:ascii="Times New Roman" w:cs="Times New Roman" w:eastAsia="Times New Roman" w:hAnsi="Times New Roman"/>
          <w:sz w:val="12"/>
          <w:szCs w:val="12"/>
          <w:b w:val="1"/>
          <w:bCs w:val="1"/>
          <w:color w:val="auto"/>
        </w:rPr>
        <w:t xml:space="preserve"> I</w:t>
      </w:r>
    </w:p>
    <w:p>
      <w:pPr>
        <w:spacing w:after="0" w:line="20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lumis</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nc</w:t>
      </w:r>
      <w:r>
        <w:rPr>
          <w:rFonts w:ascii="Times New Roman" w:cs="Times New Roman" w:eastAsia="Times New Roman" w:hAnsi="Times New Roman"/>
          <w:sz w:val="12"/>
          <w:szCs w:val="12"/>
          <w:b w:val="1"/>
          <w:bCs w:val="1"/>
          <w:color w:val="auto"/>
        </w:rPr>
        <w:t>.</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ward</w:t>
      </w:r>
      <w:r>
        <w:rPr>
          <w:rFonts w:ascii="Times New Roman" w:cs="Times New Roman" w:eastAsia="Times New Roman" w:hAnsi="Times New Roman"/>
          <w:sz w:val="12"/>
          <w:szCs w:val="12"/>
          <w:b w:val="1"/>
          <w:bCs w:val="1"/>
          <w:color w:val="auto"/>
        </w:rPr>
        <w:t xml:space="preserve"> A</w:t>
      </w:r>
      <w:r>
        <w:rPr>
          <w:rFonts w:ascii="Times New Roman" w:cs="Times New Roman" w:eastAsia="Times New Roman" w:hAnsi="Times New Roman"/>
          <w:sz w:val="8"/>
          <w:szCs w:val="8"/>
          <w:b w:val="1"/>
          <w:bCs w:val="1"/>
          <w:color w:val="auto"/>
        </w:rPr>
        <w:t>greement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(2024 E</w:t>
      </w:r>
      <w:r>
        <w:rPr>
          <w:rFonts w:ascii="Times New Roman" w:cs="Times New Roman" w:eastAsia="Times New Roman" w:hAnsi="Times New Roman"/>
          <w:sz w:val="8"/>
          <w:szCs w:val="8"/>
          <w:b w:val="1"/>
          <w:bCs w:val="1"/>
          <w:color w:val="auto"/>
        </w:rPr>
        <w:t>quity</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ncentive</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lan</w:t>
      </w:r>
      <w:r>
        <w:rPr>
          <w:rFonts w:ascii="Times New Roman" w:cs="Times New Roman" w:eastAsia="Times New Roman" w:hAnsi="Times New Roman"/>
          <w:sz w:val="12"/>
          <w:szCs w:val="12"/>
          <w:b w:val="1"/>
          <w:bCs w:val="1"/>
          <w:color w:val="auto"/>
        </w:rPr>
        <w:t>)</w:t>
      </w:r>
    </w:p>
    <w:p>
      <w:pPr>
        <w:spacing w:after="0" w:line="141" w:lineRule="exact"/>
        <w:rPr>
          <w:sz w:val="20"/>
          <w:szCs w:val="20"/>
          <w:color w:val="auto"/>
        </w:rPr>
      </w:pPr>
    </w:p>
    <w:p>
      <w:pPr>
        <w:jc w:val="both"/>
        <w:ind w:firstLine="440"/>
        <w:spacing w:after="0" w:line="274" w:lineRule="auto"/>
        <w:rPr>
          <w:sz w:val="20"/>
          <w:szCs w:val="20"/>
          <w:color w:val="auto"/>
        </w:rPr>
      </w:pPr>
      <w:r>
        <w:rPr>
          <w:rFonts w:ascii="Times New Roman" w:cs="Times New Roman" w:eastAsia="Times New Roman" w:hAnsi="Times New Roman"/>
          <w:sz w:val="12"/>
          <w:szCs w:val="12"/>
          <w:color w:val="auto"/>
        </w:rPr>
        <w:t>As reflected by your RSU Award Grant Notice (“</w:t>
      </w:r>
      <w:r>
        <w:rPr>
          <w:rFonts w:ascii="Times New Roman" w:cs="Times New Roman" w:eastAsia="Times New Roman" w:hAnsi="Times New Roman"/>
          <w:sz w:val="12"/>
          <w:szCs w:val="12"/>
          <w:b w:val="1"/>
          <w:bCs w:val="1"/>
          <w:i w:val="1"/>
          <w:iCs w:val="1"/>
          <w:color w:val="auto"/>
        </w:rPr>
        <w:t>Grant Notice</w:t>
      </w:r>
      <w:r>
        <w:rPr>
          <w:rFonts w:ascii="Times New Roman" w:cs="Times New Roman" w:eastAsia="Times New Roman" w:hAnsi="Times New Roman"/>
          <w:sz w:val="12"/>
          <w:szCs w:val="12"/>
          <w:color w:val="auto"/>
        </w:rPr>
        <w:t>”), Alumis Inc.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has granted you a RSU Award under the Company’s 2024 Equity Incentive Plan (the “</w:t>
      </w:r>
      <w:r>
        <w:rPr>
          <w:rFonts w:ascii="Times New Roman" w:cs="Times New Roman" w:eastAsia="Times New Roman" w:hAnsi="Times New Roman"/>
          <w:sz w:val="12"/>
          <w:szCs w:val="12"/>
          <w:b w:val="1"/>
          <w:bCs w:val="1"/>
          <w:i w:val="1"/>
          <w:iCs w:val="1"/>
          <w:color w:val="auto"/>
        </w:rPr>
        <w:t>Plan</w:t>
      </w:r>
      <w:r>
        <w:rPr>
          <w:rFonts w:ascii="Times New Roman" w:cs="Times New Roman" w:eastAsia="Times New Roman" w:hAnsi="Times New Roman"/>
          <w:sz w:val="12"/>
          <w:szCs w:val="12"/>
          <w:color w:val="auto"/>
        </w:rPr>
        <w:t>”) for the number of restricted stock units as indicated in your Grant Notice (the “</w:t>
      </w:r>
      <w:r>
        <w:rPr>
          <w:rFonts w:ascii="Times New Roman" w:cs="Times New Roman" w:eastAsia="Times New Roman" w:hAnsi="Times New Roman"/>
          <w:sz w:val="12"/>
          <w:szCs w:val="12"/>
          <w:b w:val="1"/>
          <w:bCs w:val="1"/>
          <w:i w:val="1"/>
          <w:iCs w:val="1"/>
          <w:color w:val="auto"/>
        </w:rPr>
        <w:t>RSU Award</w:t>
      </w:r>
      <w:r>
        <w:rPr>
          <w:rFonts w:ascii="Times New Roman" w:cs="Times New Roman" w:eastAsia="Times New Roman" w:hAnsi="Times New Roman"/>
          <w:sz w:val="12"/>
          <w:szCs w:val="12"/>
          <w:color w:val="auto"/>
        </w:rPr>
        <w:t>”). The terms of your RSU Award as specified in this Award Agreement for your RSU Award (this “</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and the Grant Notice constitute your “</w:t>
      </w:r>
      <w:r>
        <w:rPr>
          <w:rFonts w:ascii="Times New Roman" w:cs="Times New Roman" w:eastAsia="Times New Roman" w:hAnsi="Times New Roman"/>
          <w:sz w:val="12"/>
          <w:szCs w:val="12"/>
          <w:b w:val="1"/>
          <w:bCs w:val="1"/>
          <w:i w:val="1"/>
          <w:iCs w:val="1"/>
          <w:color w:val="auto"/>
        </w:rPr>
        <w:t>RSU Award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Defined terms not explicitly defined in this Agreement but defined in the Grant Notice or the Plan shall have the same definitions as in the Grant Notice or Plan, as applicable.</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general terms applicable to your RSU Award are as follows:</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1.            G</w:t>
      </w:r>
      <w:r>
        <w:rPr>
          <w:rFonts w:ascii="Times New Roman" w:cs="Times New Roman" w:eastAsia="Times New Roman" w:hAnsi="Times New Roman"/>
          <w:sz w:val="8"/>
          <w:szCs w:val="8"/>
          <w:b w:val="1"/>
          <w:bCs w:val="1"/>
          <w:color w:val="auto"/>
        </w:rPr>
        <w:t>overning</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lan</w:t>
      </w:r>
      <w:r>
        <w:rPr>
          <w:rFonts w:ascii="Times New Roman" w:cs="Times New Roman" w:eastAsia="Times New Roman" w:hAnsi="Times New Roman"/>
          <w:sz w:val="12"/>
          <w:szCs w:val="12"/>
          <w:b w:val="1"/>
          <w:bCs w:val="1"/>
          <w:color w:val="auto"/>
        </w:rPr>
        <w:t xml:space="preserve"> D</w:t>
      </w:r>
      <w:r>
        <w:rPr>
          <w:rFonts w:ascii="Times New Roman" w:cs="Times New Roman" w:eastAsia="Times New Roman" w:hAnsi="Times New Roman"/>
          <w:sz w:val="8"/>
          <w:szCs w:val="8"/>
          <w:b w:val="1"/>
          <w:bCs w:val="1"/>
          <w:color w:val="auto"/>
        </w:rPr>
        <w:t>ocument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Your RSU Award is subject to all the provisions of the Plan, including but not limited to the provisions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Section 6 of the Plan regarding the impact of a Capitalization Adjustment, dissolution, liquidation, or Corporate Transaction on your RSU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Section 9(e) of the Plan regarding the Company’s retained rights to terminate your Continuous Service notwithstanding the grant of the RSU Award;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Section 8 of the Plan regarding the tax consequences of your RSU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Your RSU Award is further subject to all interpretations, amendments, rules and regulations, which may from time to time be promulgated and adopted pursuant to the Plan. In the event of any conflict between the RSU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Agreement and the provisions of the Plan, the provisions of the Plan shall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2"/>
          <w:szCs w:val="12"/>
          <w:b w:val="1"/>
          <w:bCs w:val="1"/>
          <w:color w:val="auto"/>
        </w:rPr>
        <w:t>2.            G</w:t>
      </w:r>
      <w:r>
        <w:rPr>
          <w:rFonts w:ascii="Times New Roman" w:cs="Times New Roman" w:eastAsia="Times New Roman" w:hAnsi="Times New Roman"/>
          <w:sz w:val="8"/>
          <w:szCs w:val="8"/>
          <w:b w:val="1"/>
          <w:bCs w:val="1"/>
          <w:color w:val="auto"/>
        </w:rPr>
        <w:t>rant of the</w:t>
      </w:r>
      <w:r>
        <w:rPr>
          <w:rFonts w:ascii="Times New Roman" w:cs="Times New Roman" w:eastAsia="Times New Roman" w:hAnsi="Times New Roman"/>
          <w:sz w:val="12"/>
          <w:szCs w:val="12"/>
          <w:b w:val="1"/>
          <w:bCs w:val="1"/>
          <w:color w:val="auto"/>
        </w:rPr>
        <w:t xml:space="preserve"> RSU A</w:t>
      </w:r>
      <w:r>
        <w:rPr>
          <w:rFonts w:ascii="Times New Roman" w:cs="Times New Roman" w:eastAsia="Times New Roman" w:hAnsi="Times New Roman"/>
          <w:sz w:val="8"/>
          <w:szCs w:val="8"/>
          <w:b w:val="1"/>
          <w:bCs w:val="1"/>
          <w:color w:val="auto"/>
        </w:rPr>
        <w:t>ward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This RSU Award represents your right to be issued on a future date the number of shares of the Company’s Common Stock that is equal to the number of restricted stock units indicated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Grant Notice as modified to reflect any Capitalization Adjustment and subject to your satisfaction of the vesting conditions set forth therein (the “</w:t>
      </w:r>
      <w:r>
        <w:rPr>
          <w:rFonts w:ascii="Times New Roman" w:cs="Times New Roman" w:eastAsia="Times New Roman" w:hAnsi="Times New Roman"/>
          <w:sz w:val="12"/>
          <w:szCs w:val="12"/>
          <w:b w:val="1"/>
          <w:bCs w:val="1"/>
          <w:i w:val="1"/>
          <w:iCs w:val="1"/>
          <w:color w:val="auto"/>
        </w:rPr>
        <w:t>Restricted Stock Units</w:t>
      </w:r>
      <w:r>
        <w:rPr>
          <w:rFonts w:ascii="Times New Roman" w:cs="Times New Roman" w:eastAsia="Times New Roman" w:hAnsi="Times New Roman"/>
          <w:sz w:val="12"/>
          <w:szCs w:val="12"/>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  </w:t>
      </w:r>
    </w:p>
    <w:p>
      <w:pPr>
        <w:spacing w:after="0" w:line="137"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2"/>
          <w:szCs w:val="12"/>
          <w:b w:val="1"/>
          <w:bCs w:val="1"/>
          <w:color w:val="auto"/>
        </w:rPr>
        <w:t>3.            D</w:t>
      </w:r>
      <w:r>
        <w:rPr>
          <w:rFonts w:ascii="Times New Roman" w:cs="Times New Roman" w:eastAsia="Times New Roman" w:hAnsi="Times New Roman"/>
          <w:sz w:val="8"/>
          <w:szCs w:val="8"/>
          <w:b w:val="1"/>
          <w:bCs w:val="1"/>
          <w:color w:val="auto"/>
        </w:rPr>
        <w:t>ividends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You shall receive no benefit or adjustment to this RSU Award with respect to any cash dividend, stock dividend or other distribution that does not result from a Capitalization Adjustment; provided,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however, that this sentence will not apply with respect to any shares of Common Stock that are delivered to you in connection with your RSU Award after such shares have been delivered to you.  </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30">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5"/>
          <w:szCs w:val="15"/>
          <w:color w:val="auto"/>
        </w:rPr>
        <w:t>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2"/>
          <w:szCs w:val="12"/>
          <w:b w:val="1"/>
          <w:bCs w:val="1"/>
          <w:color w:val="auto"/>
        </w:rPr>
        <w:t>4.            W</w:t>
      </w:r>
      <w:r>
        <w:rPr>
          <w:rFonts w:ascii="Times New Roman" w:cs="Times New Roman" w:eastAsia="Times New Roman" w:hAnsi="Times New Roman"/>
          <w:sz w:val="8"/>
          <w:szCs w:val="8"/>
          <w:b w:val="1"/>
          <w:bCs w:val="1"/>
          <w:color w:val="auto"/>
        </w:rPr>
        <w:t>ithholding</w:t>
      </w:r>
      <w:r>
        <w:rPr>
          <w:rFonts w:ascii="Times New Roman" w:cs="Times New Roman" w:eastAsia="Times New Roman" w:hAnsi="Times New Roman"/>
          <w:sz w:val="12"/>
          <w:szCs w:val="12"/>
          <w:b w:val="1"/>
          <w:bCs w:val="1"/>
          <w:color w:val="auto"/>
        </w:rPr>
        <w:t xml:space="preserve"> O</w:t>
      </w:r>
      <w:r>
        <w:rPr>
          <w:rFonts w:ascii="Times New Roman" w:cs="Times New Roman" w:eastAsia="Times New Roman" w:hAnsi="Times New Roman"/>
          <w:sz w:val="8"/>
          <w:szCs w:val="8"/>
          <w:b w:val="1"/>
          <w:bCs w:val="1"/>
          <w:color w:val="auto"/>
        </w:rPr>
        <w:t>bligations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further provided in Section 8 of the Plan, you hereby authorize withholding from payroll and any other amounts payable to you, and otherwise agree to make adequate provision for,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sums required to satisfy the federal, state, local and foreign tax withholding obligations, if any, which arise in connection with your RSU Award (the “</w:t>
      </w:r>
      <w:r>
        <w:rPr>
          <w:rFonts w:ascii="Times New Roman" w:cs="Times New Roman" w:eastAsia="Times New Roman" w:hAnsi="Times New Roman"/>
          <w:sz w:val="12"/>
          <w:szCs w:val="12"/>
          <w:b w:val="1"/>
          <w:bCs w:val="1"/>
          <w:i w:val="1"/>
          <w:iCs w:val="1"/>
          <w:color w:val="auto"/>
        </w:rPr>
        <w:t>Withholding Obligation</w:t>
      </w:r>
      <w:r>
        <w:rPr>
          <w:rFonts w:ascii="Times New Roman" w:cs="Times New Roman" w:eastAsia="Times New Roman" w:hAnsi="Times New Roman"/>
          <w:sz w:val="12"/>
          <w:szCs w:val="12"/>
          <w:color w:val="auto"/>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  </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5.            D</w:t>
      </w:r>
      <w:r>
        <w:rPr>
          <w:rFonts w:ascii="Times New Roman" w:cs="Times New Roman" w:eastAsia="Times New Roman" w:hAnsi="Times New Roman"/>
          <w:sz w:val="8"/>
          <w:szCs w:val="8"/>
          <w:b w:val="1"/>
          <w:bCs w:val="1"/>
          <w:color w:val="auto"/>
        </w:rPr>
        <w:t>ate of</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ssuance</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firstLine="879"/>
        <w:spacing w:after="0" w:line="262"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The issuance of shares in respect of the Restricted Stock Units is intended to comply with Treasury Regulations Section 1.409A-1(b)(4) and will be construed and administered in such a manner. Subject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satisfaction of the Withholding Obligation, if any,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Times New Roman" w:cs="Times New Roman" w:eastAsia="Times New Roman" w:hAnsi="Times New Roman"/>
          <w:sz w:val="12"/>
          <w:szCs w:val="12"/>
          <w:b w:val="1"/>
          <w:bCs w:val="1"/>
          <w:i w:val="1"/>
          <w:iCs w:val="1"/>
          <w:color w:val="auto"/>
        </w:rPr>
        <w:t>Original Issuance Date</w:t>
      </w:r>
      <w:r>
        <w:rPr>
          <w:rFonts w:ascii="Times New Roman" w:cs="Times New Roman" w:eastAsia="Times New Roman" w:hAnsi="Times New Roman"/>
          <w:sz w:val="12"/>
          <w:szCs w:val="12"/>
          <w:color w:val="auto"/>
        </w:rPr>
        <w:t>”.  </w:t>
      </w:r>
    </w:p>
    <w:p>
      <w:pPr>
        <w:spacing w:after="0" w:line="1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If the Original Issuance Date falls on a date that is not a business day, delivery shall instead occur on the next following business day. In addition,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firstLine="1319"/>
        <w:spacing w:after="0" w:line="262" w:lineRule="auto"/>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the Original Issuance Date does not occur (1) during an “open window period” applicable to you, as determined by the Company in accordance with the Company’s then-effective policy on trading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2"/>
          <w:szCs w:val="12"/>
          <w:b w:val="1"/>
          <w:bCs w:val="1"/>
          <w:i w:val="1"/>
          <w:iCs w:val="1"/>
          <w:color w:val="auto"/>
        </w:rPr>
        <w:t>10b5-1 Arrangement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and</w:t>
      </w:r>
      <w:r>
        <w:rPr>
          <w:rFonts w:ascii="Times New Roman" w:cs="Times New Roman" w:eastAsia="Times New Roman" w:hAnsi="Times New Roman"/>
          <w:sz w:val="12"/>
          <w:szCs w:val="12"/>
          <w:color w:val="auto"/>
        </w:rPr>
        <w:t xml:space="preserve">  </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either (1) a Withholding Obligation does not apply, or (2) the Company decides, prior to the Original Issuance Date, (A) not to satisfy the Withholding Obligation by withholding shares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Stock from the shares otherwise due, on the Original Issuance Date,to you under this Award, and (B) not to permit you to enter into a “same day sale” commitment with a broker-dealer (including but not limited to a commitment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under a 10b5-1 Arrangement) and (C) not to permit you to pay your Withholding Obligation in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2"/>
          <w:szCs w:val="12"/>
          <w:u w:val="single" w:color="auto"/>
          <w:color w:val="auto"/>
        </w:rPr>
        <w:t>then</w:t>
      </w:r>
      <w:r>
        <w:rPr>
          <w:rFonts w:ascii="Times New Roman" w:cs="Times New Roman" w:eastAsia="Times New Roman" w:hAnsi="Times New Roman"/>
          <w:sz w:val="12"/>
          <w:szCs w:val="12"/>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12"/>
          <w:szCs w:val="12"/>
          <w:u w:val="single" w:color="auto"/>
          <w:color w:val="auto"/>
        </w:rPr>
        <w:t>if and only if</w:t>
      </w:r>
      <w:r>
        <w:rPr>
          <w:rFonts w:ascii="Times New Roman" w:cs="Times New Roman" w:eastAsia="Times New Roman" w:hAnsi="Times New Roman"/>
          <w:sz w:val="12"/>
          <w:szCs w:val="12"/>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  </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31">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194" w:right="29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5"/>
          <w:szCs w:val="15"/>
          <w:color w:val="auto"/>
        </w:rPr>
        <w:t>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To the extent the RSU Award is a Non-Exempt Award, the provisions of Section 11 of the Plan shall apply.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6.            T</w:t>
      </w:r>
      <w:r>
        <w:rPr>
          <w:rFonts w:ascii="Times New Roman" w:cs="Times New Roman" w:eastAsia="Times New Roman" w:hAnsi="Times New Roman"/>
          <w:sz w:val="8"/>
          <w:szCs w:val="8"/>
          <w:b w:val="1"/>
          <w:bCs w:val="1"/>
          <w:color w:val="auto"/>
        </w:rPr>
        <w:t>ransferability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Except as otherwise provided in the Plan, your RSU Award is not transferable, except by will or by the applicable laws of descent and distribution.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2"/>
          <w:szCs w:val="12"/>
          <w:b w:val="1"/>
          <w:bCs w:val="1"/>
          <w:color w:val="auto"/>
        </w:rPr>
        <w:t>7.            C</w:t>
      </w:r>
      <w:r>
        <w:rPr>
          <w:rFonts w:ascii="Times New Roman" w:cs="Times New Roman" w:eastAsia="Times New Roman" w:hAnsi="Times New Roman"/>
          <w:sz w:val="8"/>
          <w:szCs w:val="8"/>
          <w:b w:val="1"/>
          <w:bCs w:val="1"/>
          <w:color w:val="auto"/>
        </w:rPr>
        <w:t>orporate</w:t>
      </w:r>
      <w:r>
        <w:rPr>
          <w:rFonts w:ascii="Times New Roman" w:cs="Times New Roman" w:eastAsia="Times New Roman" w:hAnsi="Times New Roman"/>
          <w:sz w:val="12"/>
          <w:szCs w:val="12"/>
          <w:b w:val="1"/>
          <w:bCs w:val="1"/>
          <w:color w:val="auto"/>
        </w:rPr>
        <w:t xml:space="preserve"> T</w:t>
      </w:r>
      <w:r>
        <w:rPr>
          <w:rFonts w:ascii="Times New Roman" w:cs="Times New Roman" w:eastAsia="Times New Roman" w:hAnsi="Times New Roman"/>
          <w:sz w:val="8"/>
          <w:szCs w:val="8"/>
          <w:b w:val="1"/>
          <w:bCs w:val="1"/>
          <w:color w:val="auto"/>
        </w:rPr>
        <w:t>ransaction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Your RSU Award is subject to the terms of any agreement governing a Corporate Transaction involving the Company, including, without limitation, a provision for the appointment of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stockholder representative that is authorized to act on your behalf with respect to any escrow, indemnities and any contingent consideration.  </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8.            N</w:t>
      </w:r>
      <w:r>
        <w:rPr>
          <w:rFonts w:ascii="Times New Roman" w:cs="Times New Roman" w:eastAsia="Times New Roman" w:hAnsi="Times New Roman"/>
          <w:sz w:val="8"/>
          <w:szCs w:val="8"/>
          <w:b w:val="1"/>
          <w:bCs w:val="1"/>
          <w:color w:val="auto"/>
        </w:rPr>
        <w:t>o</w:t>
      </w:r>
      <w:r>
        <w:rPr>
          <w:rFonts w:ascii="Times New Roman" w:cs="Times New Roman" w:eastAsia="Times New Roman" w:hAnsi="Times New Roman"/>
          <w:sz w:val="12"/>
          <w:szCs w:val="12"/>
          <w:b w:val="1"/>
          <w:bCs w:val="1"/>
          <w:color w:val="auto"/>
        </w:rPr>
        <w:t xml:space="preserve"> L</w:t>
      </w:r>
      <w:r>
        <w:rPr>
          <w:rFonts w:ascii="Times New Roman" w:cs="Times New Roman" w:eastAsia="Times New Roman" w:hAnsi="Times New Roman"/>
          <w:sz w:val="8"/>
          <w:szCs w:val="8"/>
          <w:b w:val="1"/>
          <w:bCs w:val="1"/>
          <w:color w:val="auto"/>
        </w:rPr>
        <w:t>iability for</w:t>
      </w:r>
      <w:r>
        <w:rPr>
          <w:rFonts w:ascii="Times New Roman" w:cs="Times New Roman" w:eastAsia="Times New Roman" w:hAnsi="Times New Roman"/>
          <w:sz w:val="12"/>
          <w:szCs w:val="12"/>
          <w:b w:val="1"/>
          <w:bCs w:val="1"/>
          <w:color w:val="auto"/>
        </w:rPr>
        <w:t xml:space="preserve"> T</w:t>
      </w:r>
      <w:r>
        <w:rPr>
          <w:rFonts w:ascii="Times New Roman" w:cs="Times New Roman" w:eastAsia="Times New Roman" w:hAnsi="Times New Roman"/>
          <w:sz w:val="8"/>
          <w:szCs w:val="8"/>
          <w:b w:val="1"/>
          <w:bCs w:val="1"/>
          <w:color w:val="auto"/>
        </w:rPr>
        <w:t>axes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a condition to accepting the RSU Award, you hereby (a) agree to not make any claim against the Company, or any of its Officers, Directors, Employees or Affiliates related to tax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arising from the RSU Award or other Company compensation and (b) acknowledge that you were advised to consult with your own personal tax, financial and other legal advisors regarding the tax consequences of the RSU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have either done so or knowingly and voluntarily declined to do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9.            S</w:t>
      </w:r>
      <w:r>
        <w:rPr>
          <w:rFonts w:ascii="Times New Roman" w:cs="Times New Roman" w:eastAsia="Times New Roman" w:hAnsi="Times New Roman"/>
          <w:sz w:val="8"/>
          <w:szCs w:val="8"/>
          <w:b w:val="1"/>
          <w:bCs w:val="1"/>
          <w:color w:val="auto"/>
        </w:rPr>
        <w:t>everability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If any part of this Agreement or the Plan is declared by any court or governmental authority to be unlawful or invalid, such unlawfulness or invalidity will not invalidate any portion of this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Plan not declared to be unlawful or invalid.  Any Section of this Agreement (or part of such a Section) so declared to be unlawful or invalid will, if possible, be construed in a manner which will give effect to the terms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or part of a Section to the fullest extent possible while remaining lawful and valid.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10.          O</w:t>
      </w:r>
      <w:r>
        <w:rPr>
          <w:rFonts w:ascii="Times New Roman" w:cs="Times New Roman" w:eastAsia="Times New Roman" w:hAnsi="Times New Roman"/>
          <w:sz w:val="8"/>
          <w:szCs w:val="8"/>
          <w:b w:val="1"/>
          <w:bCs w:val="1"/>
          <w:color w:val="auto"/>
        </w:rPr>
        <w:t>ther</w:t>
      </w:r>
      <w:r>
        <w:rPr>
          <w:rFonts w:ascii="Times New Roman" w:cs="Times New Roman" w:eastAsia="Times New Roman" w:hAnsi="Times New Roman"/>
          <w:sz w:val="12"/>
          <w:szCs w:val="12"/>
          <w:b w:val="1"/>
          <w:bCs w:val="1"/>
          <w:color w:val="auto"/>
        </w:rPr>
        <w:t xml:space="preserve"> D</w:t>
      </w:r>
      <w:r>
        <w:rPr>
          <w:rFonts w:ascii="Times New Roman" w:cs="Times New Roman" w:eastAsia="Times New Roman" w:hAnsi="Times New Roman"/>
          <w:sz w:val="8"/>
          <w:szCs w:val="8"/>
          <w:b w:val="1"/>
          <w:bCs w:val="1"/>
          <w:color w:val="auto"/>
        </w:rPr>
        <w:t>ocuments</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You hereby acknowledge receipt of or the right to receive a document providing the information required by Rule 428(b)(1) promulgated under the Securities Act, which includes the Prospectus.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addition, you acknowledge receipt of the Company’s Trading Policy.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11.          Q</w:t>
      </w:r>
      <w:r>
        <w:rPr>
          <w:rFonts w:ascii="Times New Roman" w:cs="Times New Roman" w:eastAsia="Times New Roman" w:hAnsi="Times New Roman"/>
          <w:sz w:val="8"/>
          <w:szCs w:val="8"/>
          <w:b w:val="1"/>
          <w:bCs w:val="1"/>
          <w:color w:val="auto"/>
        </w:rPr>
        <w:t>uestions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If you have questions regarding these or any other terms and conditions applicable to your RSU Award, including a summary of the applicable federal income tax consequences please see the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32">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194" w:right="29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5"/>
          <w:szCs w:val="15"/>
          <w:color w:val="auto"/>
        </w:rPr>
        <w:t>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ttachment</w:t>
      </w:r>
      <w:r>
        <w:rPr>
          <w:rFonts w:ascii="Times New Roman" w:cs="Times New Roman" w:eastAsia="Times New Roman" w:hAnsi="Times New Roman"/>
          <w:sz w:val="12"/>
          <w:szCs w:val="12"/>
          <w:b w:val="1"/>
          <w:bCs w:val="1"/>
          <w:color w:val="auto"/>
        </w:rPr>
        <w:t xml:space="preserve">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right"/>
        <w:ind w:right="3799"/>
        <w:spacing w:after="0"/>
        <w:rPr>
          <w:sz w:val="20"/>
          <w:szCs w:val="20"/>
          <w:color w:val="auto"/>
        </w:rPr>
      </w:pPr>
      <w:r>
        <w:rPr>
          <w:rFonts w:ascii="Times New Roman" w:cs="Times New Roman" w:eastAsia="Times New Roman" w:hAnsi="Times New Roman"/>
          <w:sz w:val="12"/>
          <w:szCs w:val="12"/>
          <w:b w:val="1"/>
          <w:bCs w:val="1"/>
          <w:color w:val="auto"/>
        </w:rPr>
        <w:t>2024 E</w:t>
      </w:r>
      <w:r>
        <w:rPr>
          <w:rFonts w:ascii="Times New Roman" w:cs="Times New Roman" w:eastAsia="Times New Roman" w:hAnsi="Times New Roman"/>
          <w:sz w:val="8"/>
          <w:szCs w:val="8"/>
          <w:b w:val="1"/>
          <w:bCs w:val="1"/>
          <w:color w:val="auto"/>
        </w:rPr>
        <w:t>quity</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ncentive</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33">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0159"/>
          </w:cols>
          <w:pgMar w:left="300" w:top="194" w:right="1440"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5"/>
          <w:szCs w:val="15"/>
          <w:color w:val="auto"/>
        </w:rPr>
        <w:t>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1" w:lineRule="exact"/>
        <w:rPr>
          <w:sz w:val="20"/>
          <w:szCs w:val="20"/>
          <w:color w:val="auto"/>
        </w:rPr>
      </w:pPr>
    </w:p>
    <w:p>
      <w:pPr>
        <w:jc w:val="right"/>
        <w:ind w:right="4119"/>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ttachment</w:t>
      </w:r>
      <w:r>
        <w:rPr>
          <w:rFonts w:ascii="Times New Roman" w:cs="Times New Roman" w:eastAsia="Times New Roman" w:hAnsi="Times New Roman"/>
          <w:sz w:val="12"/>
          <w:szCs w:val="12"/>
          <w:b w:val="1"/>
          <w:bCs w:val="1"/>
          <w:color w:val="auto"/>
        </w:rPr>
        <w:t xml:space="preserve"> 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8"/>
          <w:szCs w:val="8"/>
          <w:b w:val="1"/>
          <w:bCs w:val="1"/>
          <w:color w:val="auto"/>
        </w:rPr>
        <w:t>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34">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ectPr>
          <w:pgSz w:w="11900" w:h="16838" w:orient="portrait"/>
          <w:cols w:equalWidth="0" w:num="1">
            <w:col w:w="10159"/>
          </w:cols>
          <w:pgMar w:left="300" w:top="194" w:right="1440"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5"/>
          <w:szCs w:val="15"/>
          <w:color w:val="auto"/>
        </w:rPr>
        <w:t> </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Exhibit 10.8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lumis</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nc</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2024 E</w:t>
      </w:r>
      <w:r>
        <w:rPr>
          <w:rFonts w:ascii="Times New Roman" w:cs="Times New Roman" w:eastAsia="Times New Roman" w:hAnsi="Times New Roman"/>
          <w:sz w:val="8"/>
          <w:szCs w:val="8"/>
          <w:b w:val="1"/>
          <w:bCs w:val="1"/>
          <w:color w:val="auto"/>
        </w:rPr>
        <w:t>mployee</w:t>
      </w:r>
      <w:r>
        <w:rPr>
          <w:rFonts w:ascii="Times New Roman" w:cs="Times New Roman" w:eastAsia="Times New Roman" w:hAnsi="Times New Roman"/>
          <w:sz w:val="12"/>
          <w:szCs w:val="12"/>
          <w:b w:val="1"/>
          <w:bCs w:val="1"/>
          <w:color w:val="auto"/>
        </w:rPr>
        <w:t xml:space="preserve"> S</w:t>
      </w:r>
      <w:r>
        <w:rPr>
          <w:rFonts w:ascii="Times New Roman" w:cs="Times New Roman" w:eastAsia="Times New Roman" w:hAnsi="Times New Roman"/>
          <w:sz w:val="8"/>
          <w:szCs w:val="8"/>
          <w:b w:val="1"/>
          <w:bCs w:val="1"/>
          <w:color w:val="auto"/>
        </w:rPr>
        <w:t>tock</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urchase</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dopted by the</w:t>
      </w:r>
      <w:r>
        <w:rPr>
          <w:rFonts w:ascii="Times New Roman" w:cs="Times New Roman" w:eastAsia="Times New Roman" w:hAnsi="Times New Roman"/>
          <w:sz w:val="12"/>
          <w:szCs w:val="12"/>
          <w:b w:val="1"/>
          <w:bCs w:val="1"/>
          <w:color w:val="auto"/>
        </w:rPr>
        <w:t xml:space="preserve"> B</w:t>
      </w:r>
      <w:r>
        <w:rPr>
          <w:rFonts w:ascii="Times New Roman" w:cs="Times New Roman" w:eastAsia="Times New Roman" w:hAnsi="Times New Roman"/>
          <w:sz w:val="8"/>
          <w:szCs w:val="8"/>
          <w:b w:val="1"/>
          <w:bCs w:val="1"/>
          <w:color w:val="auto"/>
        </w:rPr>
        <w:t>oard of</w:t>
      </w:r>
      <w:r>
        <w:rPr>
          <w:rFonts w:ascii="Times New Roman" w:cs="Times New Roman" w:eastAsia="Times New Roman" w:hAnsi="Times New Roman"/>
          <w:sz w:val="12"/>
          <w:szCs w:val="12"/>
          <w:b w:val="1"/>
          <w:bCs w:val="1"/>
          <w:color w:val="auto"/>
        </w:rPr>
        <w:t xml:space="preserve"> D</w:t>
      </w:r>
      <w:r>
        <w:rPr>
          <w:rFonts w:ascii="Times New Roman" w:cs="Times New Roman" w:eastAsia="Times New Roman" w:hAnsi="Times New Roman"/>
          <w:sz w:val="8"/>
          <w:szCs w:val="8"/>
          <w:b w:val="1"/>
          <w:bCs w:val="1"/>
          <w:color w:val="auto"/>
        </w:rPr>
        <w:t>irectors</w:t>
      </w:r>
      <w:r>
        <w:rPr>
          <w:rFonts w:ascii="Times New Roman" w:cs="Times New Roman" w:eastAsia="Times New Roman" w:hAnsi="Times New Roman"/>
          <w:sz w:val="12"/>
          <w:szCs w:val="12"/>
          <w:b w:val="1"/>
          <w:bCs w:val="1"/>
          <w:color w:val="auto"/>
        </w:rPr>
        <w:t>: J</w:t>
      </w:r>
      <w:r>
        <w:rPr>
          <w:rFonts w:ascii="Times New Roman" w:cs="Times New Roman" w:eastAsia="Times New Roman" w:hAnsi="Times New Roman"/>
          <w:sz w:val="8"/>
          <w:szCs w:val="8"/>
          <w:b w:val="1"/>
          <w:bCs w:val="1"/>
          <w:color w:val="auto"/>
        </w:rPr>
        <w:t>une</w:t>
      </w:r>
      <w:r>
        <w:rPr>
          <w:rFonts w:ascii="Times New Roman" w:cs="Times New Roman" w:eastAsia="Times New Roman" w:hAnsi="Times New Roman"/>
          <w:sz w:val="12"/>
          <w:szCs w:val="12"/>
          <w:b w:val="1"/>
          <w:bCs w:val="1"/>
          <w:color w:val="auto"/>
        </w:rPr>
        <w:t xml:space="preserve"> 21, 2024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pproved by the</w:t>
      </w:r>
      <w:r>
        <w:rPr>
          <w:rFonts w:ascii="Times New Roman" w:cs="Times New Roman" w:eastAsia="Times New Roman" w:hAnsi="Times New Roman"/>
          <w:sz w:val="12"/>
          <w:szCs w:val="12"/>
          <w:b w:val="1"/>
          <w:bCs w:val="1"/>
          <w:color w:val="auto"/>
        </w:rPr>
        <w:t xml:space="preserve"> S</w:t>
      </w:r>
      <w:r>
        <w:rPr>
          <w:rFonts w:ascii="Times New Roman" w:cs="Times New Roman" w:eastAsia="Times New Roman" w:hAnsi="Times New Roman"/>
          <w:sz w:val="8"/>
          <w:szCs w:val="8"/>
          <w:b w:val="1"/>
          <w:bCs w:val="1"/>
          <w:color w:val="auto"/>
        </w:rPr>
        <w:t>tockholders</w:t>
      </w:r>
      <w:r>
        <w:rPr>
          <w:rFonts w:ascii="Times New Roman" w:cs="Times New Roman" w:eastAsia="Times New Roman" w:hAnsi="Times New Roman"/>
          <w:sz w:val="12"/>
          <w:szCs w:val="12"/>
          <w:b w:val="1"/>
          <w:bCs w:val="1"/>
          <w:color w:val="auto"/>
        </w:rPr>
        <w:t>: J</w:t>
      </w:r>
      <w:r>
        <w:rPr>
          <w:rFonts w:ascii="Times New Roman" w:cs="Times New Roman" w:eastAsia="Times New Roman" w:hAnsi="Times New Roman"/>
          <w:sz w:val="8"/>
          <w:szCs w:val="8"/>
          <w:b w:val="1"/>
          <w:bCs w:val="1"/>
          <w:color w:val="auto"/>
        </w:rPr>
        <w:t>une</w:t>
      </w:r>
      <w:r>
        <w:rPr>
          <w:rFonts w:ascii="Times New Roman" w:cs="Times New Roman" w:eastAsia="Times New Roman" w:hAnsi="Times New Roman"/>
          <w:sz w:val="12"/>
          <w:szCs w:val="12"/>
          <w:b w:val="1"/>
          <w:bCs w:val="1"/>
          <w:color w:val="auto"/>
        </w:rPr>
        <w:t xml:space="preserve"> 23, 2024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G</w:t>
      </w:r>
      <w:r>
        <w:rPr>
          <w:rFonts w:ascii="Times New Roman" w:cs="Times New Roman" w:eastAsia="Times New Roman" w:hAnsi="Times New Roman"/>
          <w:sz w:val="8"/>
          <w:szCs w:val="8"/>
          <w:b w:val="1"/>
          <w:bCs w:val="1"/>
          <w:color w:val="auto"/>
        </w:rPr>
        <w:t>eneral</w:t>
      </w:r>
      <w:r>
        <w:rPr>
          <w:rFonts w:ascii="Times New Roman" w:cs="Times New Roman" w:eastAsia="Times New Roman" w:hAnsi="Times New Roman"/>
          <w:sz w:val="12"/>
          <w:szCs w:val="12"/>
          <w:b w:val="1"/>
          <w:bCs w:val="1"/>
          <w:color w:val="auto"/>
        </w:rPr>
        <w:t>; P</w:t>
      </w:r>
      <w:r>
        <w:rPr>
          <w:rFonts w:ascii="Times New Roman" w:cs="Times New Roman" w:eastAsia="Times New Roman" w:hAnsi="Times New Roman"/>
          <w:sz w:val="8"/>
          <w:szCs w:val="8"/>
          <w:b w:val="1"/>
          <w:bCs w:val="1"/>
          <w:color w:val="auto"/>
        </w:rPr>
        <w:t>urpose</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The Plan provides a means by which Eligible Employees of the Company and certain Designated Companies may be given an opportunity to purchase shares of Common Stock. The Plan permits the Company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grant a series of Purchase Rights to Eligible Employees under an Employee Stock Purchase Plan. In addition, the Plan permits the Company to grant a series of Purchase Rights to Eligible Employees that do not meet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requirements of an Employee Stock Purchase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The Plan includes two components: a 423 Component and a Non-423 Component. The Company intends (but makes no undertaking or representation to maintain) the 423 Component to qualify as an Employee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  </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The Company, by means of the Plan, seeks to retain the services of Eligible Employees, to secure and retain the services of new Employees and to provide incentives for such persons to exert maximum efforts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success of the Company and its Related Corporations.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A</w:t>
      </w:r>
      <w:r>
        <w:rPr>
          <w:rFonts w:ascii="Times New Roman" w:cs="Times New Roman" w:eastAsia="Times New Roman" w:hAnsi="Times New Roman"/>
          <w:sz w:val="8"/>
          <w:szCs w:val="8"/>
          <w:b w:val="1"/>
          <w:bCs w:val="1"/>
          <w:color w:val="auto"/>
        </w:rPr>
        <w:t>dministration</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The Board will administer the Plan unless and until the Board delegates administration of the Plan to a Committee or Committees, as provided in Section 2(c).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The Board will have the power, subject to, and within the limitations of, the express provisions of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To determine how and when Purchase Rights will be granted and the provisions of each Offering (which need not be identical).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To designate from time to time (A) which Related Corporations will be eligible to participate in the Plan as Designated 423 Companies, (B) which Related Corporations or Affiliates will be eligible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participate in the Plan as Designated Non-423 Companies, (C) which Affiliates or Related Corporations may be excluded from participation in the Plan, and (D) which Designated Companies will participate in each separate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Offering (to the extent that the Company makes separate Offerings).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right="20" w:firstLine="879"/>
        <w:spacing w:after="0" w:line="269" w:lineRule="auto"/>
        <w:rPr>
          <w:sz w:val="20"/>
          <w:szCs w:val="20"/>
          <w:color w:val="auto"/>
        </w:rPr>
      </w:pPr>
      <w:r>
        <w:rPr>
          <w:rFonts w:ascii="Times New Roman" w:cs="Times New Roman" w:eastAsia="Times New Roman" w:hAnsi="Times New Roman"/>
          <w:sz w:val="12"/>
          <w:szCs w:val="12"/>
          <w:b w:val="1"/>
          <w:bCs w:val="1"/>
          <w:color w:val="auto"/>
        </w:rPr>
        <w:t>(iii)          </w:t>
      </w:r>
      <w:r>
        <w:rPr>
          <w:rFonts w:ascii="Times New Roman" w:cs="Times New Roman" w:eastAsia="Times New Roman" w:hAnsi="Times New Roman"/>
          <w:sz w:val="12"/>
          <w:szCs w:val="12"/>
          <w:color w:val="auto"/>
        </w:rPr>
        <w:t>To construe and interpret the Plan and Purchase Rights, and to establish, amend and revoke rules and regulations for its administration. The Board, in the exercise of this power, may correct any defect,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omission or inconsistency in the Plan, in a manner and to the extent it deems necessary or expedient to make the Plan fully effective.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7176135" cy="571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35">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410" w:name="page411"/>
    <w:bookmarkEnd w:id="410"/>
    <w:p>
      <w:pPr>
        <w:ind w:left="880"/>
        <w:spacing w:after="0"/>
        <w:rPr>
          <w:sz w:val="20"/>
          <w:szCs w:val="20"/>
          <w:color w:val="auto"/>
        </w:rPr>
      </w:pPr>
      <w:r>
        <w:rPr>
          <w:rFonts w:ascii="Times New Roman" w:cs="Times New Roman" w:eastAsia="Times New Roman" w:hAnsi="Times New Roman"/>
          <w:sz w:val="12"/>
          <w:szCs w:val="12"/>
          <w:b w:val="1"/>
          <w:bCs w:val="1"/>
          <w:color w:val="auto"/>
        </w:rPr>
        <w:t>(iv)           </w:t>
      </w:r>
      <w:r>
        <w:rPr>
          <w:rFonts w:ascii="Times New Roman" w:cs="Times New Roman" w:eastAsia="Times New Roman" w:hAnsi="Times New Roman"/>
          <w:sz w:val="12"/>
          <w:szCs w:val="12"/>
          <w:color w:val="auto"/>
        </w:rPr>
        <w:t>To settle all controversies regarding the Plan and Purchase Rights granted under the Plan.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(v)            </w:t>
      </w:r>
      <w:r>
        <w:rPr>
          <w:rFonts w:ascii="Times New Roman" w:cs="Times New Roman" w:eastAsia="Times New Roman" w:hAnsi="Times New Roman"/>
          <w:sz w:val="12"/>
          <w:szCs w:val="12"/>
          <w:color w:val="auto"/>
        </w:rPr>
        <w:t>To suspend or terminate the Plan at any time as provided in Section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(vi)           </w:t>
      </w:r>
      <w:r>
        <w:rPr>
          <w:rFonts w:ascii="Times New Roman" w:cs="Times New Roman" w:eastAsia="Times New Roman" w:hAnsi="Times New Roman"/>
          <w:sz w:val="12"/>
          <w:szCs w:val="12"/>
          <w:color w:val="auto"/>
        </w:rPr>
        <w:t>To amend the Plan at any time as provided in Section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(vii)          </w:t>
      </w:r>
      <w:r>
        <w:rPr>
          <w:rFonts w:ascii="Times New Roman" w:cs="Times New Roman" w:eastAsia="Times New Roman" w:hAnsi="Times New Roman"/>
          <w:sz w:val="12"/>
          <w:szCs w:val="12"/>
          <w:color w:val="auto"/>
        </w:rPr>
        <w:t>Generally, to exercise such powers and to perform such acts as it deems necessary or expedient to promote the best interests of the Company, its Related Corporations and Affiliates, and to carry out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intent that the Plan be treated as an Employee Stock Purchase Plan with respect to the 423 Component.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(viii)        </w:t>
      </w:r>
      <w:r>
        <w:rPr>
          <w:rFonts w:ascii="Times New Roman" w:cs="Times New Roman" w:eastAsia="Times New Roman" w:hAnsi="Times New Roman"/>
          <w:sz w:val="12"/>
          <w:szCs w:val="12"/>
          <w:color w:val="auto"/>
        </w:rPr>
        <w:t>To adopt such rules, procedures and sub-plans as are necessary or appropriate to permit or facilitate participation in the Plan by Employees who are non-U.S. nationals or employed or located outside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United States. Without limiting the generality of, and consistent with, the foregoing, the Board specifically is authorized to adopt rules, procedures, and sub-plans regarding, without limitation, eligibility to participate in the Plan,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definition of eligible “earnings,” handling and making of Contributions, establishment of bank or trust accounts to hold Contributions, payment of interest, conversion of local currency, obligations to pay payroll tax, determination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beneficiary designation requirements, withholding procedures and handling of share issuances, any of which may vary according to applicable requirements, and which, if applicable to a Designated Non-423 Company, do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have to comply with the requirements of Section 423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The Board may delegate some or all of the administration of the Plan to a Committee or Committees. If administration is delegated to a Committee, the Committee will have, in connection with the administration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(or its delegate) and may, at any time, revest in the Board some or all of the powers previously delegated. Whether or not the Board has delegated administration of the Plan to a Committee (or a delegate of the Committee), the Board will have the final power to determine all questions of policy and expediency that may arise in the administration of the Plan.  </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All determinations, interpretations and constructions made by the Board will not be subject to review by any person and will be final, binding and conclusive on all persons.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S</w:t>
      </w:r>
      <w:r>
        <w:rPr>
          <w:rFonts w:ascii="Times New Roman" w:cs="Times New Roman" w:eastAsia="Times New Roman" w:hAnsi="Times New Roman"/>
          <w:sz w:val="8"/>
          <w:szCs w:val="8"/>
          <w:b w:val="1"/>
          <w:bCs w:val="1"/>
          <w:color w:val="auto"/>
        </w:rPr>
        <w:t>hares of</w:t>
      </w:r>
      <w:r>
        <w:rPr>
          <w:rFonts w:ascii="Times New Roman" w:cs="Times New Roman" w:eastAsia="Times New Roman" w:hAnsi="Times New Roman"/>
          <w:sz w:val="12"/>
          <w:szCs w:val="12"/>
          <w:b w:val="1"/>
          <w:bCs w:val="1"/>
          <w:color w:val="auto"/>
        </w:rPr>
        <w:t xml:space="preserve"> C</w:t>
      </w:r>
      <w:r>
        <w:rPr>
          <w:rFonts w:ascii="Times New Roman" w:cs="Times New Roman" w:eastAsia="Times New Roman" w:hAnsi="Times New Roman"/>
          <w:sz w:val="8"/>
          <w:szCs w:val="8"/>
          <w:b w:val="1"/>
          <w:bCs w:val="1"/>
          <w:color w:val="auto"/>
        </w:rPr>
        <w:t>ommon</w:t>
      </w:r>
      <w:r>
        <w:rPr>
          <w:rFonts w:ascii="Times New Roman" w:cs="Times New Roman" w:eastAsia="Times New Roman" w:hAnsi="Times New Roman"/>
          <w:sz w:val="12"/>
          <w:szCs w:val="12"/>
          <w:b w:val="1"/>
          <w:bCs w:val="1"/>
          <w:color w:val="auto"/>
        </w:rPr>
        <w:t xml:space="preserve"> S</w:t>
      </w:r>
      <w:r>
        <w:rPr>
          <w:rFonts w:ascii="Times New Roman" w:cs="Times New Roman" w:eastAsia="Times New Roman" w:hAnsi="Times New Roman"/>
          <w:sz w:val="8"/>
          <w:szCs w:val="8"/>
          <w:b w:val="1"/>
          <w:bCs w:val="1"/>
          <w:color w:val="auto"/>
        </w:rPr>
        <w:t>tock</w:t>
      </w:r>
      <w:r>
        <w:rPr>
          <w:rFonts w:ascii="Times New Roman" w:cs="Times New Roman" w:eastAsia="Times New Roman" w:hAnsi="Times New Roman"/>
          <w:sz w:val="12"/>
          <w:szCs w:val="12"/>
          <w:b w:val="1"/>
          <w:bCs w:val="1"/>
          <w:color w:val="auto"/>
        </w:rPr>
        <w:t xml:space="preserve"> S</w:t>
      </w:r>
      <w:r>
        <w:rPr>
          <w:rFonts w:ascii="Times New Roman" w:cs="Times New Roman" w:eastAsia="Times New Roman" w:hAnsi="Times New Roman"/>
          <w:sz w:val="8"/>
          <w:szCs w:val="8"/>
          <w:b w:val="1"/>
          <w:bCs w:val="1"/>
          <w:color w:val="auto"/>
        </w:rPr>
        <w:t>ubject to the</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lan</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Subject to the provisions of Section 11(a) relating to Capitalization Adjustments, the maximum number of shares of Common Stock that may be issued under the Plan will not exceed 650,000 shares of Common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Stock, plus the number of shares of Common Stock that are automatically added on January 1st of each year for a period of up to ten years, commencing on January 1, 2025 and ending on (and including) January 1, 2034, in an amount equal to the lesser of (x) one percent (1%) of the total number of shares of Capital Stock outstanding on December 31st of the preceding calendar year, and (y) 1,950,000 shares of Common Stock. Notwithstanding the</w:t>
      </w:r>
    </w:p>
    <w:p>
      <w:pPr>
        <w:spacing w:after="0" w:line="184" w:lineRule="auto"/>
        <w:rPr>
          <w:sz w:val="20"/>
          <w:szCs w:val="20"/>
          <w:color w:val="auto"/>
        </w:rPr>
      </w:pPr>
      <w:r>
        <w:rPr>
          <w:rFonts w:ascii="Times New Roman" w:cs="Times New Roman" w:eastAsia="Times New Roman" w:hAnsi="Times New Roman"/>
          <w:sz w:val="12"/>
          <w:szCs w:val="12"/>
          <w:color w:val="auto"/>
        </w:rPr>
        <w:t>foregoing, the Board may act prior to the first day of any calendar year to provide that there will be no January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2"/>
          <w:szCs w:val="12"/>
          <w:color w:val="auto"/>
        </w:rPr>
        <w:t xml:space="preserve"> increase in the share reserve for such calendar year or that the increase in the share reserve for such calendar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will be a lesser number of shares of Common Stock than would otherwise occur pursuant to the preceding sentence. For the avoidance of doubt, up to the maximum number of shares of Common Stock reserved under this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3(a) may be used to satisfy purchases of Common Stock under the 423 Component and any remaining portion of such maximum number of shares may be used to satisfy purchases of Common Stock under the Non-423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Component.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36">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411" w:name="page412"/>
    <w:bookmarkEnd w:id="411"/>
    <w:p>
      <w:pPr>
        <w:ind w:left="44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If any Purchase Right granted under the Plan terminates without having been exercised in full, the shares of Common Stock not purchased under such Purchase Right will again become available for issuance under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The stock purchasable under the Plan will be shares of authorized but unissued or reacquired Common Stock, including shares repurchased by the Company on the open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G</w:t>
      </w:r>
      <w:r>
        <w:rPr>
          <w:rFonts w:ascii="Times New Roman" w:cs="Times New Roman" w:eastAsia="Times New Roman" w:hAnsi="Times New Roman"/>
          <w:sz w:val="8"/>
          <w:szCs w:val="8"/>
          <w:b w:val="1"/>
          <w:bCs w:val="1"/>
          <w:color w:val="auto"/>
        </w:rPr>
        <w:t>rant of</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urchase</w:t>
      </w:r>
      <w:r>
        <w:rPr>
          <w:rFonts w:ascii="Times New Roman" w:cs="Times New Roman" w:eastAsia="Times New Roman" w:hAnsi="Times New Roman"/>
          <w:sz w:val="12"/>
          <w:szCs w:val="12"/>
          <w:b w:val="1"/>
          <w:bCs w:val="1"/>
          <w:color w:val="auto"/>
        </w:rPr>
        <w:t xml:space="preserve"> R</w:t>
      </w:r>
      <w:r>
        <w:rPr>
          <w:rFonts w:ascii="Times New Roman" w:cs="Times New Roman" w:eastAsia="Times New Roman" w:hAnsi="Times New Roman"/>
          <w:sz w:val="8"/>
          <w:szCs w:val="8"/>
          <w:b w:val="1"/>
          <w:bCs w:val="1"/>
          <w:color w:val="auto"/>
        </w:rPr>
        <w:t>ights</w:t>
      </w:r>
      <w:r>
        <w:rPr>
          <w:rFonts w:ascii="Times New Roman" w:cs="Times New Roman" w:eastAsia="Times New Roman" w:hAnsi="Times New Roman"/>
          <w:sz w:val="12"/>
          <w:szCs w:val="12"/>
          <w:b w:val="1"/>
          <w:bCs w:val="1"/>
          <w:color w:val="auto"/>
        </w:rPr>
        <w:t>; O</w:t>
      </w:r>
      <w:r>
        <w:rPr>
          <w:rFonts w:ascii="Times New Roman" w:cs="Times New Roman" w:eastAsia="Times New Roman" w:hAnsi="Times New Roman"/>
          <w:sz w:val="8"/>
          <w:szCs w:val="8"/>
          <w:b w:val="1"/>
          <w:bCs w:val="1"/>
          <w:color w:val="auto"/>
        </w:rPr>
        <w:t>ffering</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The Board may from time to time grant or provide for the grant of Purchase Rights to Eligible Employees under an Offering (consisting of one or more Purchase Periods) on an Offering Date or Offering Dates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selected by the Board. Each Offering will be in such form and will contain such terms and conditions as the Board will deem appropriate, and with respect to the 423 Component, will comply with the requirement of Section 423(b)</w:t>
      </w:r>
    </w:p>
    <w:p>
      <w:pPr>
        <w:spacing w:after="0" w:line="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2"/>
          <w:szCs w:val="12"/>
          <w:color w:val="auto"/>
        </w:rPr>
        <w:t>(5)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  </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If a Participant has more than one Purchase Right outstanding under the Plan, unless such Participant otherwise indicates in forms delivered to the Company or a third party designated by the Company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Designee</w:t>
      </w:r>
      <w:r>
        <w:rPr>
          <w:rFonts w:ascii="Times New Roman" w:cs="Times New Roman" w:eastAsia="Times New Roman" w:hAnsi="Times New Roman"/>
          <w:sz w:val="12"/>
          <w:szCs w:val="12"/>
          <w:color w:val="auto"/>
        </w:rPr>
        <w:t>”): (i) each form will apply to all of such Participant’s Purchase Rights under the Plan, and (ii) a Purchase Right with a lower exercise price (or an earlier-granted Purchase Right, if different Purchase Rights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identical exercise prices) will be exercised to the fullest possible extent before a Purchase Right with a higher exercise price (or a later-granted Purchase Right if different Purchase Rights have identical exercise prices)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The Board will have the discretion to structure an Offering so that if the Fair Market Value of a share of Common Stock on the first Trading Day of a new Purchase Period within that Offering is less than or equal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Fair Market Value of a share of Common Stock on the Offering Date for that Offering, then (i) that Offering will terminate immediately as of that first Trading Day, and (ii) the Participants in such terminated Offering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automatically enrolled in a new Offering beginning on the first Trading Day of such new Purchase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            E</w:t>
      </w:r>
      <w:r>
        <w:rPr>
          <w:rFonts w:ascii="Times New Roman" w:cs="Times New Roman" w:eastAsia="Times New Roman" w:hAnsi="Times New Roman"/>
          <w:sz w:val="8"/>
          <w:szCs w:val="8"/>
          <w:b w:val="1"/>
          <w:bCs w:val="1"/>
          <w:color w:val="auto"/>
        </w:rPr>
        <w:t>ligibility</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Purchase Rights may be granted only to Employees of the Company or, as the Board may designate in accordance with Section 2(b), to Employees of a Related Corporation or an Affiliate. Except as provided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Section 5(b) or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(unless prohibited by Applicable Law)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(unless prohibited by Applicable Law) from participation in the Plan or any Offering Employees who are “highly compensated employees” (within the meaning of Section 423(b)(4)(D) of the Code) of the Company, a Related Corporation or an Affiliate, or a subset of such highly compensated employees.  </w:t>
      </w: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37">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412" w:name="page413"/>
    <w:bookmarkEnd w:id="412"/>
    <w:p>
      <w:pPr>
        <w:ind w:left="44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The Board may provide that each person who, during the course of an Offering, first becomes an Eligible Employee will, on a date or dates specified in the Offering which coincides with the day on which such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person becomes an Eligible Employee or which occurs thereafter, receive a Purchase Right under that Offering, which Purchase Right will thereafter be deemed to be a part of that Offering. Such Purchase Right will have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characteristics as any Purchase Rights originally granted under that Offering, as described herein, except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the date on which such Purchase Right is granted will be the “Offering Date” of such Purchase Right for all purposes, including determination of the exercise price of such Purchase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the period of the Offering with respect to such Purchase Right will begin on its Offering Date and end coincident with the end of such Offering;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(iii)         </w:t>
      </w:r>
      <w:r>
        <w:rPr>
          <w:rFonts w:ascii="Times New Roman" w:cs="Times New Roman" w:eastAsia="Times New Roman" w:hAnsi="Times New Roman"/>
          <w:sz w:val="12"/>
          <w:szCs w:val="12"/>
          <w:color w:val="auto"/>
        </w:rPr>
        <w:t>the Board may provide that if such person first becomes an Eligible Employee within a specified period of time before the end of the Offering, the individual will not receive any Purchase Right under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No Employee will be eligible for the grant of any Purchase Rights under the 423 Component if, immediately after any such Purchase Rights are granted, such Employee owns stock possessing five percent or more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  </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As specified by Section 423(b)(8) of the Code, an Eligible Employee may be granted Purchase Rights under the 423 Component only if such Purchase Rights, together with any other rights granted under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Employee Stock Purchase Plans of the Company and any Related Corporations, do not permit such Eligible Employee’s rights to purchase stock of the Company or any Related Corporation to accrue at a rate which, when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aggregated, exceeds U.S. $25,000 of Fair Market Value of such stock (determined at the time such rights are granted, and which, with respect to the Plan, will be determined as of their respective Offering Dates) for each calendar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year in which such rights are outstanding at any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Officers of the Company and any Designated Company, if they are otherwise Eligible Employees, will be eligible to participate in Offerings under the Plan. Notwithstanding the foregoing, the Board may (unless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prohibited by Applicable Law) provide in an Offering that Employees who are highly compensated Employees within the meaning of Section 423(b)(4)(D) of the Code will not be eligible to participate.  </w:t>
      </w:r>
    </w:p>
    <w:p>
      <w:pPr>
        <w:spacing w:after="0" w:line="2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38">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413" w:name="page414"/>
    <w:bookmarkEnd w:id="413"/>
    <w:p>
      <w:pPr>
        <w:ind w:firstLine="440"/>
        <w:spacing w:after="0" w:line="286" w:lineRule="auto"/>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Notwithstanding anything in this Section 5 to the contrary, in the case of an Offering under the Non-423 Component, an Eligible Employee (or group of Eligible Employees) may be excluded from participation in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Plan or an Offering if the Board has determined, in its sole discretion, that participation of such Eligible Employee(s) is not advisable or practical for any reason.  </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P</w:t>
      </w:r>
      <w:r>
        <w:rPr>
          <w:rFonts w:ascii="Times New Roman" w:cs="Times New Roman" w:eastAsia="Times New Roman" w:hAnsi="Times New Roman"/>
          <w:sz w:val="8"/>
          <w:szCs w:val="8"/>
          <w:b w:val="1"/>
          <w:bCs w:val="1"/>
          <w:color w:val="auto"/>
        </w:rPr>
        <w:t>urchase</w:t>
      </w:r>
      <w:r>
        <w:rPr>
          <w:rFonts w:ascii="Times New Roman" w:cs="Times New Roman" w:eastAsia="Times New Roman" w:hAnsi="Times New Roman"/>
          <w:sz w:val="12"/>
          <w:szCs w:val="12"/>
          <w:b w:val="1"/>
          <w:bCs w:val="1"/>
          <w:color w:val="auto"/>
        </w:rPr>
        <w:t xml:space="preserve"> R</w:t>
      </w:r>
      <w:r>
        <w:rPr>
          <w:rFonts w:ascii="Times New Roman" w:cs="Times New Roman" w:eastAsia="Times New Roman" w:hAnsi="Times New Roman"/>
          <w:sz w:val="8"/>
          <w:szCs w:val="8"/>
          <w:b w:val="1"/>
          <w:bCs w:val="1"/>
          <w:color w:val="auto"/>
        </w:rPr>
        <w:t>ights</w:t>
      </w:r>
      <w:r>
        <w:rPr>
          <w:rFonts w:ascii="Times New Roman" w:cs="Times New Roman" w:eastAsia="Times New Roman" w:hAnsi="Times New Roman"/>
          <w:sz w:val="12"/>
          <w:szCs w:val="12"/>
          <w:b w:val="1"/>
          <w:bCs w:val="1"/>
          <w:color w:val="auto"/>
        </w:rPr>
        <w:t>; P</w:t>
      </w:r>
      <w:r>
        <w:rPr>
          <w:rFonts w:ascii="Times New Roman" w:cs="Times New Roman" w:eastAsia="Times New Roman" w:hAnsi="Times New Roman"/>
          <w:sz w:val="8"/>
          <w:szCs w:val="8"/>
          <w:b w:val="1"/>
          <w:bCs w:val="1"/>
          <w:color w:val="auto"/>
        </w:rPr>
        <w:t>urchase</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rice</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On each Offering Date, each Eligible Employee, pursuant to an Offering made under the Plan, will be granted a Purchase Right to purchase up to that number of shares of Common Stock purchasable either with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percentage of earnings (as such concept is defined in the Offering Document) or with a maximum dollar amount, but in either case as so specified by the Board in the Offering Document, during the period that begins on the Offering Date (or such later date as the Board determines for a particular Offering) and ends on the date stated in the Offering, which date will be no later than the end of the Offering.  </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The Board will establish one or more Purchase Dates during an Offering on which Purchase Rights granted for that Offering will be exercised and shares of Common Stock will be purchased in accordance with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In connection with each Offering made under the Plan, the Board may specify (i) a maximum number of shares of Common Stock that may be purchased by any Participant on any Purchase Date during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Offering, (ii) a maximum aggregate number of shares of Common Stock that may be purchased by all Participants pursuant to such Offering and/or (iii) a maximum aggregate number of shares of Common Stock that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purchased by all Participants on any Purchase Date under the Offering. If the aggregate purchase of shares of Common Stock issuable upon exercise of Purchase Rights granted under the Offering would exceed any such maximum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aggregate number, then, in the absence of any Board action otherwise, a pro rata (based on each Participant’s accumulated Contributions) allocation of the shares of Common Stock (rounded down to the nearest whole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available will be made in as nearly a uniform manner as will be practicable and equitable.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The purchase price of shares of Common Stock acquired pursuant to Purchase Rights will be specified by the Board prior to commencement of an Offering and will not be less than the lesser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an amount equal to 85% of the Fair Market Value of the shares of Common Stock on the Offering Date;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an amount equal to 85% of the Fair Market Value of the shares of Common Stock on the applicable Purchase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            P</w:t>
      </w:r>
      <w:r>
        <w:rPr>
          <w:rFonts w:ascii="Times New Roman" w:cs="Times New Roman" w:eastAsia="Times New Roman" w:hAnsi="Times New Roman"/>
          <w:sz w:val="8"/>
          <w:szCs w:val="8"/>
          <w:b w:val="1"/>
          <w:bCs w:val="1"/>
          <w:color w:val="auto"/>
        </w:rPr>
        <w:t>articipation</w:t>
      </w:r>
      <w:r>
        <w:rPr>
          <w:rFonts w:ascii="Times New Roman" w:cs="Times New Roman" w:eastAsia="Times New Roman" w:hAnsi="Times New Roman"/>
          <w:sz w:val="12"/>
          <w:szCs w:val="12"/>
          <w:b w:val="1"/>
          <w:bCs w:val="1"/>
          <w:color w:val="auto"/>
        </w:rPr>
        <w:t>; W</w:t>
      </w:r>
      <w:r>
        <w:rPr>
          <w:rFonts w:ascii="Times New Roman" w:cs="Times New Roman" w:eastAsia="Times New Roman" w:hAnsi="Times New Roman"/>
          <w:sz w:val="8"/>
          <w:szCs w:val="8"/>
          <w:b w:val="1"/>
          <w:bCs w:val="1"/>
          <w:color w:val="auto"/>
        </w:rPr>
        <w:t>ithdrawal</w:t>
      </w:r>
      <w:r>
        <w:rPr>
          <w:rFonts w:ascii="Times New Roman" w:cs="Times New Roman" w:eastAsia="Times New Roman" w:hAnsi="Times New Roman"/>
          <w:sz w:val="12"/>
          <w:szCs w:val="12"/>
          <w:b w:val="1"/>
          <w:bCs w:val="1"/>
          <w:color w:val="auto"/>
        </w:rPr>
        <w:t>; T</w:t>
      </w:r>
      <w:r>
        <w:rPr>
          <w:rFonts w:ascii="Times New Roman" w:cs="Times New Roman" w:eastAsia="Times New Roman" w:hAnsi="Times New Roman"/>
          <w:sz w:val="8"/>
          <w:szCs w:val="8"/>
          <w:b w:val="1"/>
          <w:bCs w:val="1"/>
          <w:color w:val="auto"/>
        </w:rPr>
        <w:t>ermination</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An Eligible Employee may elect to participate in an Offering and authorize payroll deductions as the means of making Contributions by completing and delivering to the Company or a Company Designee, within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time specified in the Offering, an enrollment form provided by the Company or a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held separately or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such Participant’s Contributions. If payroll deductions are impermissible or problematic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  </w:t>
      </w: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9">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414" w:name="page415"/>
    <w:bookmarkEnd w:id="414"/>
    <w:p>
      <w:pPr>
        <w:ind w:right="20" w:firstLine="440"/>
        <w:spacing w:after="0" w:line="266"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During an Offering, a Participant may cease making Contributions and withdraw from the Offering by delivering to the Company or a Company Designee a withdrawal form provided by the Company or a Company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Designee. The Company may impose a deadline before a Purchase Date for withdrawing. Upon such withdrawal, such Participant’s Purchase Right in that Offering will immediately terminate and the Company will distribute as soon as practicable to such Participant all of such Participant’s accumulated but unused Contributions and such Participant’s Purchase Right in that Offering shall thereupon terminate. A Participant’s withdrawal from that Offering will have no effect upon such Participant’s eligibility to participate in any other Offerings under the Plan, but such Participant will be required to deliver a new enrollment form to participate in subsequent Offerings.  </w:t>
      </w:r>
    </w:p>
    <w:p>
      <w:pPr>
        <w:spacing w:after="0" w:line="135"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Purchase Rights granted pursuant to any Offering under the Plan will terminate immediately if the Participant either (i) is no longer an Employee for any reason or for no reason or (ii) is otherwise no longer eligible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participate. The Company will distribute as soon as practicable to such individual all of such individual’s accumulated but unused Contributions.  </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Unless otherwise determined by the Board, a Participant whose employment transfers or whose employment terminates with an immediate rehire (with no break in service) by or between the Company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Designated Company or between Designated Companies will not be treated as having terminated employment for purposes of participating in the Plan or an Offering; however, if a Participant transfers from an Offering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423 Component to an Offering under the Non-423 Component, the exercise of the Participant’s Purchase Right will be qualified under the 423 Component only to the extent such exercise complies with Section 423 of the Code. If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Participant transfers from an Offering under the Non-423 Component to an Offering under the 423 Component, the exercise of the Purchase Right will remain non-qualified under the Non-423 Component for the remainder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Offering. The Board may establish different and additional rules governing transfers between separate Offerings within the 423 Component and between Offerings under the 423 Component and Offerings under the Non-423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Component.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During a Participant’s lifetime, Purchase Rights will be exercisable only by such Participant. Purchase Rights are not transferable by a Participant, except by will, by the laws of descent and distribution, or, if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permitted by the Company and valid under Applicable Law, by a beneficiary designation as described in Section 10.  </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Unless otherwise specified in the Offering or required by Applicable Law, the Company will have no obligation to pay interest on Contributions.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            E</w:t>
      </w:r>
      <w:r>
        <w:rPr>
          <w:rFonts w:ascii="Times New Roman" w:cs="Times New Roman" w:eastAsia="Times New Roman" w:hAnsi="Times New Roman"/>
          <w:sz w:val="8"/>
          <w:szCs w:val="8"/>
          <w:b w:val="1"/>
          <w:bCs w:val="1"/>
          <w:color w:val="auto"/>
        </w:rPr>
        <w:t>xercise of</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urchase</w:t>
      </w:r>
      <w:r>
        <w:rPr>
          <w:rFonts w:ascii="Times New Roman" w:cs="Times New Roman" w:eastAsia="Times New Roman" w:hAnsi="Times New Roman"/>
          <w:sz w:val="12"/>
          <w:szCs w:val="12"/>
          <w:b w:val="1"/>
          <w:bCs w:val="1"/>
          <w:color w:val="auto"/>
        </w:rPr>
        <w:t xml:space="preserve"> R</w:t>
      </w:r>
      <w:r>
        <w:rPr>
          <w:rFonts w:ascii="Times New Roman" w:cs="Times New Roman" w:eastAsia="Times New Roman" w:hAnsi="Times New Roman"/>
          <w:sz w:val="8"/>
          <w:szCs w:val="8"/>
          <w:b w:val="1"/>
          <w:bCs w:val="1"/>
          <w:color w:val="auto"/>
        </w:rPr>
        <w:t>ights</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On each Purchase Date, each Participant’s accumulated Contributions will be applied to the purchase of shares of Common Stock, up to the maximum number of shares of Common Stock permitted by the Plan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applicable Offering, at the purchase price specified in the Offering. No fractional shares will be issued unless specifically provided for in the Offering.  </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Unless otherwise provided in the Offering, if any amount of accumulated Contributions remains in a Participant’s account after the purchase of shares of Common Stock and such remaining amount is less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amount required to purchase one share of Common Stock on the final Purchase Date of an Offering, then such remaining amount will be held in such Participant’s account for the purchase of shares of Common Stock under the next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Offering under the Plan, unless such Participant withdraws from or is not eligible to participate in such next Offering, in which case such amount will be distributed to such Participant after the final Purchase Date without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(unless the payment of interest is otherwise required by Applicable Law). If the amount of Contributions remaining in a Participant’s account after the purchase of shares of Common Stock is at least equal to the amount required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purchase one (1) whole share of Common Stock on the final Purchase Date of an Offering, then such remaining amount will be distributed in full to such Participant after the final Purchase Date of such Offering without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(unless otherwise required by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40">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415" w:name="page416"/>
    <w:bookmarkEnd w:id="415"/>
    <w:p>
      <w:pPr>
        <w:ind w:firstLine="440"/>
        <w:spacing w:after="0" w:line="262"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No Purchase Rights may be exercised to any extent unless the shares of Common Stock to be issued upon such exercise under the Plan are covered by an effective registration statement pursuant to the Securities Act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Plan is in material compliance with all applicable U.S. and non-U.S. federal, state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  </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C</w:t>
      </w:r>
      <w:r>
        <w:rPr>
          <w:rFonts w:ascii="Times New Roman" w:cs="Times New Roman" w:eastAsia="Times New Roman" w:hAnsi="Times New Roman"/>
          <w:sz w:val="8"/>
          <w:szCs w:val="8"/>
          <w:b w:val="1"/>
          <w:bCs w:val="1"/>
          <w:color w:val="auto"/>
        </w:rPr>
        <w:t>ovenants of the</w:t>
      </w:r>
      <w:r>
        <w:rPr>
          <w:rFonts w:ascii="Times New Roman" w:cs="Times New Roman" w:eastAsia="Times New Roman" w:hAnsi="Times New Roman"/>
          <w:sz w:val="12"/>
          <w:szCs w:val="12"/>
          <w:b w:val="1"/>
          <w:bCs w:val="1"/>
          <w:color w:val="auto"/>
        </w:rPr>
        <w:t xml:space="preserve"> C</w:t>
      </w:r>
      <w:r>
        <w:rPr>
          <w:rFonts w:ascii="Times New Roman" w:cs="Times New Roman" w:eastAsia="Times New Roman" w:hAnsi="Times New Roman"/>
          <w:sz w:val="8"/>
          <w:szCs w:val="8"/>
          <w:b w:val="1"/>
          <w:bCs w:val="1"/>
          <w:color w:val="auto"/>
        </w:rPr>
        <w:t>ompany</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2"/>
          <w:szCs w:val="12"/>
          <w:color w:val="auto"/>
        </w:rPr>
        <w:t>The Company will seek to obtain from each U.S. and non-U.S. federal, state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          D</w:t>
      </w:r>
      <w:r>
        <w:rPr>
          <w:rFonts w:ascii="Times New Roman" w:cs="Times New Roman" w:eastAsia="Times New Roman" w:hAnsi="Times New Roman"/>
          <w:sz w:val="8"/>
          <w:szCs w:val="8"/>
          <w:b w:val="1"/>
          <w:bCs w:val="1"/>
          <w:color w:val="auto"/>
        </w:rPr>
        <w:t>esignation of</w:t>
      </w:r>
      <w:r>
        <w:rPr>
          <w:rFonts w:ascii="Times New Roman" w:cs="Times New Roman" w:eastAsia="Times New Roman" w:hAnsi="Times New Roman"/>
          <w:sz w:val="12"/>
          <w:szCs w:val="12"/>
          <w:b w:val="1"/>
          <w:bCs w:val="1"/>
          <w:color w:val="auto"/>
        </w:rPr>
        <w:t xml:space="preserve"> B</w:t>
      </w:r>
      <w:r>
        <w:rPr>
          <w:rFonts w:ascii="Times New Roman" w:cs="Times New Roman" w:eastAsia="Times New Roman" w:hAnsi="Times New Roman"/>
          <w:sz w:val="8"/>
          <w:szCs w:val="8"/>
          <w:b w:val="1"/>
          <w:bCs w:val="1"/>
          <w:color w:val="auto"/>
        </w:rPr>
        <w:t>eneficiary</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The Company may, but is not obligated to, permit a Participant to submit a form designating a beneficiary who will receive any shares of Common Stock and/or Contributions from the Participant’s account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Plan if the Participant dies before such shares and/or Contributions are delivered to the Participant. The Company may, but is not obligated to, permit the Participant to change such designation of beneficiary. Any such designation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and/or change must be on a form approved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If a Participant dies, and in the absence of a valid beneficiary designation, the Company will deliver any shares of Common Stock and/or Contributions to the executor or administrator of the estate of the Participant.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  </w:t>
      </w: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41">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2"/>
          <w:szCs w:val="12"/>
          <w:b w:val="1"/>
          <w:bCs w:val="1"/>
          <w:color w:val="auto"/>
        </w:rPr>
        <w:t>11.          A</w:t>
      </w:r>
      <w:r>
        <w:rPr>
          <w:rFonts w:ascii="Times New Roman" w:cs="Times New Roman" w:eastAsia="Times New Roman" w:hAnsi="Times New Roman"/>
          <w:sz w:val="8"/>
          <w:szCs w:val="8"/>
          <w:b w:val="1"/>
          <w:bCs w:val="1"/>
          <w:color w:val="auto"/>
        </w:rPr>
        <w:t>djustments upon</w:t>
      </w:r>
      <w:r>
        <w:rPr>
          <w:rFonts w:ascii="Times New Roman" w:cs="Times New Roman" w:eastAsia="Times New Roman" w:hAnsi="Times New Roman"/>
          <w:sz w:val="12"/>
          <w:szCs w:val="12"/>
          <w:b w:val="1"/>
          <w:bCs w:val="1"/>
          <w:color w:val="auto"/>
        </w:rPr>
        <w:t xml:space="preserve"> C</w:t>
      </w:r>
      <w:r>
        <w:rPr>
          <w:rFonts w:ascii="Times New Roman" w:cs="Times New Roman" w:eastAsia="Times New Roman" w:hAnsi="Times New Roman"/>
          <w:sz w:val="8"/>
          <w:szCs w:val="8"/>
          <w:b w:val="1"/>
          <w:bCs w:val="1"/>
          <w:color w:val="auto"/>
        </w:rPr>
        <w:t>hanges in</w:t>
      </w:r>
      <w:r>
        <w:rPr>
          <w:rFonts w:ascii="Times New Roman" w:cs="Times New Roman" w:eastAsia="Times New Roman" w:hAnsi="Times New Roman"/>
          <w:sz w:val="12"/>
          <w:szCs w:val="12"/>
          <w:b w:val="1"/>
          <w:bCs w:val="1"/>
          <w:color w:val="auto"/>
        </w:rPr>
        <w:t xml:space="preserve"> C</w:t>
      </w:r>
      <w:r>
        <w:rPr>
          <w:rFonts w:ascii="Times New Roman" w:cs="Times New Roman" w:eastAsia="Times New Roman" w:hAnsi="Times New Roman"/>
          <w:sz w:val="8"/>
          <w:szCs w:val="8"/>
          <w:b w:val="1"/>
          <w:bCs w:val="1"/>
          <w:color w:val="auto"/>
        </w:rPr>
        <w:t>ommon</w:t>
      </w:r>
      <w:r>
        <w:rPr>
          <w:rFonts w:ascii="Times New Roman" w:cs="Times New Roman" w:eastAsia="Times New Roman" w:hAnsi="Times New Roman"/>
          <w:sz w:val="12"/>
          <w:szCs w:val="12"/>
          <w:b w:val="1"/>
          <w:bCs w:val="1"/>
          <w:color w:val="auto"/>
        </w:rPr>
        <w:t xml:space="preserve"> S</w:t>
      </w:r>
      <w:r>
        <w:rPr>
          <w:rFonts w:ascii="Times New Roman" w:cs="Times New Roman" w:eastAsia="Times New Roman" w:hAnsi="Times New Roman"/>
          <w:sz w:val="8"/>
          <w:szCs w:val="8"/>
          <w:b w:val="1"/>
          <w:bCs w:val="1"/>
          <w:color w:val="auto"/>
        </w:rPr>
        <w:t>tock</w:t>
      </w:r>
      <w:r>
        <w:rPr>
          <w:rFonts w:ascii="Times New Roman" w:cs="Times New Roman" w:eastAsia="Times New Roman" w:hAnsi="Times New Roman"/>
          <w:sz w:val="12"/>
          <w:szCs w:val="12"/>
          <w:b w:val="1"/>
          <w:bCs w:val="1"/>
          <w:color w:val="auto"/>
        </w:rPr>
        <w:t>; C</w:t>
      </w:r>
      <w:r>
        <w:rPr>
          <w:rFonts w:ascii="Times New Roman" w:cs="Times New Roman" w:eastAsia="Times New Roman" w:hAnsi="Times New Roman"/>
          <w:sz w:val="8"/>
          <w:szCs w:val="8"/>
          <w:b w:val="1"/>
          <w:bCs w:val="1"/>
          <w:color w:val="auto"/>
        </w:rPr>
        <w:t>orporate</w:t>
      </w:r>
      <w:r>
        <w:rPr>
          <w:rFonts w:ascii="Times New Roman" w:cs="Times New Roman" w:eastAsia="Times New Roman" w:hAnsi="Times New Roman"/>
          <w:sz w:val="12"/>
          <w:szCs w:val="12"/>
          <w:b w:val="1"/>
          <w:bCs w:val="1"/>
          <w:color w:val="auto"/>
        </w:rPr>
        <w:t xml:space="preserve"> T</w:t>
      </w:r>
      <w:r>
        <w:rPr>
          <w:rFonts w:ascii="Times New Roman" w:cs="Times New Roman" w:eastAsia="Times New Roman" w:hAnsi="Times New Roman"/>
          <w:sz w:val="8"/>
          <w:szCs w:val="8"/>
          <w:b w:val="1"/>
          <w:bCs w:val="1"/>
          <w:color w:val="auto"/>
        </w:rPr>
        <w:t>ransactions</w:t>
      </w:r>
      <w:r>
        <w:rPr>
          <w:rFonts w:ascii="Times New Roman" w:cs="Times New Roman" w:eastAsia="Times New Roman" w:hAnsi="Times New Roman"/>
          <w:sz w:val="12"/>
          <w:szCs w:val="12"/>
          <w:b w:val="1"/>
          <w:bCs w:val="1"/>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In the event of a Capitalization Adjustment, the Board will appropriately and proportionately adjust: (i) the class(es) and maximum number of securities subject to the Plan pursuant to Section 3(a), (ii) the class(es)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maximum number of securities by which the share reserve is to increase automatically each year pursuant to Section 3(a), (iii) the class(es) and number of securities subject to, and the purchase price applicable to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Offerings and Purchase Rights, and (iv) the class(es) and number of securities that are the subject of the purchase limits under each ongoing Offering. The Board will make these adjustments, and its determination will be final,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binding and conclusive.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In the event of a Corporate Transaction, then: (i) any surviving corporation or acquiring corporation (or the surviving or acquiring corporation’s parent company) may assume or continue outstanding Purchase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may substitute similar rights (including a right to acquire the same consideration paid to the stockholders in the Corporate Transaction) for outstanding Purchase Rights, or (ii) if any surviving or acquiring corporation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parent company) does not assume or continue such Purchase Rights or does not substitute similar rights for such Purchase Rights, then the Participants’ accumulated Contributions will be used to purchase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(rounded down to the nearest whole share) within ten business days (or such other period specified by the Board) prior to the Corporate Transaction under the outstanding Purchase Rights, and the Purchase Rights will terminate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immediately after such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A</w:t>
      </w:r>
      <w:r>
        <w:rPr>
          <w:rFonts w:ascii="Times New Roman" w:cs="Times New Roman" w:eastAsia="Times New Roman" w:hAnsi="Times New Roman"/>
          <w:sz w:val="8"/>
          <w:szCs w:val="8"/>
          <w:b w:val="1"/>
          <w:bCs w:val="1"/>
          <w:color w:val="auto"/>
        </w:rPr>
        <w:t>mendment</w:t>
      </w:r>
      <w:r>
        <w:rPr>
          <w:rFonts w:ascii="Times New Roman" w:cs="Times New Roman" w:eastAsia="Times New Roman" w:hAnsi="Times New Roman"/>
          <w:sz w:val="12"/>
          <w:szCs w:val="12"/>
          <w:b w:val="1"/>
          <w:bCs w:val="1"/>
          <w:color w:val="auto"/>
        </w:rPr>
        <w:t>, T</w:t>
      </w:r>
      <w:r>
        <w:rPr>
          <w:rFonts w:ascii="Times New Roman" w:cs="Times New Roman" w:eastAsia="Times New Roman" w:hAnsi="Times New Roman"/>
          <w:sz w:val="8"/>
          <w:szCs w:val="8"/>
          <w:b w:val="1"/>
          <w:bCs w:val="1"/>
          <w:color w:val="auto"/>
        </w:rPr>
        <w:t>ermination or</w:t>
      </w:r>
      <w:r>
        <w:rPr>
          <w:rFonts w:ascii="Times New Roman" w:cs="Times New Roman" w:eastAsia="Times New Roman" w:hAnsi="Times New Roman"/>
          <w:sz w:val="12"/>
          <w:szCs w:val="12"/>
          <w:b w:val="1"/>
          <w:bCs w:val="1"/>
          <w:color w:val="auto"/>
        </w:rPr>
        <w:t xml:space="preserve"> S</w:t>
      </w:r>
      <w:r>
        <w:rPr>
          <w:rFonts w:ascii="Times New Roman" w:cs="Times New Roman" w:eastAsia="Times New Roman" w:hAnsi="Times New Roman"/>
          <w:sz w:val="8"/>
          <w:szCs w:val="8"/>
          <w:b w:val="1"/>
          <w:bCs w:val="1"/>
          <w:color w:val="auto"/>
        </w:rPr>
        <w:t>uspension of the</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lan</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The Board may amend the Plan at any time in any respect the Board deems necessary or advisable. However, except as provided in Section 11(a) relating to Capitalization Adjustments, stockholder approval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required for any amendment of the Plan for which stockholder approval is required by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The Board may suspend or terminate the Plan at any time. No Purchase Rights may be granted under the Plan while the Plan is suspended or after it is terminated.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Any benefits, privileges, entitlements and obligations under any outstanding Purchase Rights granted before an amendment, suspension or termination of the Plan will not be materially impaired by any such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  </w:t>
      </w:r>
    </w:p>
    <w:p>
      <w:pPr>
        <w:spacing w:after="0" w:line="2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42">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2"/>
          <w:szCs w:val="12"/>
          <w:b w:val="1"/>
          <w:bCs w:val="1"/>
          <w:color w:val="auto"/>
        </w:rPr>
        <w:t>13.          T</w:t>
      </w:r>
      <w:r>
        <w:rPr>
          <w:rFonts w:ascii="Times New Roman" w:cs="Times New Roman" w:eastAsia="Times New Roman" w:hAnsi="Times New Roman"/>
          <w:sz w:val="8"/>
          <w:szCs w:val="8"/>
          <w:b w:val="1"/>
          <w:bCs w:val="1"/>
          <w:color w:val="auto"/>
        </w:rPr>
        <w:t>ax</w:t>
      </w:r>
      <w:r>
        <w:rPr>
          <w:rFonts w:ascii="Times New Roman" w:cs="Times New Roman" w:eastAsia="Times New Roman" w:hAnsi="Times New Roman"/>
          <w:sz w:val="12"/>
          <w:szCs w:val="12"/>
          <w:b w:val="1"/>
          <w:bCs w:val="1"/>
          <w:color w:val="auto"/>
        </w:rPr>
        <w:t xml:space="preserve"> Q</w:t>
      </w:r>
      <w:r>
        <w:rPr>
          <w:rFonts w:ascii="Times New Roman" w:cs="Times New Roman" w:eastAsia="Times New Roman" w:hAnsi="Times New Roman"/>
          <w:sz w:val="8"/>
          <w:szCs w:val="8"/>
          <w:b w:val="1"/>
          <w:bCs w:val="1"/>
          <w:color w:val="auto"/>
        </w:rPr>
        <w:t>ualification</w:t>
      </w:r>
      <w:r>
        <w:rPr>
          <w:rFonts w:ascii="Times New Roman" w:cs="Times New Roman" w:eastAsia="Times New Roman" w:hAnsi="Times New Roman"/>
          <w:sz w:val="12"/>
          <w:szCs w:val="12"/>
          <w:b w:val="1"/>
          <w:bCs w:val="1"/>
          <w:color w:val="auto"/>
        </w:rPr>
        <w:t>; T</w:t>
      </w:r>
      <w:r>
        <w:rPr>
          <w:rFonts w:ascii="Times New Roman" w:cs="Times New Roman" w:eastAsia="Times New Roman" w:hAnsi="Times New Roman"/>
          <w:sz w:val="8"/>
          <w:szCs w:val="8"/>
          <w:b w:val="1"/>
          <w:bCs w:val="1"/>
          <w:color w:val="auto"/>
        </w:rPr>
        <w:t>ax</w:t>
      </w:r>
      <w:r>
        <w:rPr>
          <w:rFonts w:ascii="Times New Roman" w:cs="Times New Roman" w:eastAsia="Times New Roman" w:hAnsi="Times New Roman"/>
          <w:sz w:val="12"/>
          <w:szCs w:val="12"/>
          <w:b w:val="1"/>
          <w:bCs w:val="1"/>
          <w:color w:val="auto"/>
        </w:rPr>
        <w:t xml:space="preserve"> W</w:t>
      </w:r>
      <w:r>
        <w:rPr>
          <w:rFonts w:ascii="Times New Roman" w:cs="Times New Roman" w:eastAsia="Times New Roman" w:hAnsi="Times New Roman"/>
          <w:sz w:val="8"/>
          <w:szCs w:val="8"/>
          <w:b w:val="1"/>
          <w:bCs w:val="1"/>
          <w:color w:val="auto"/>
        </w:rPr>
        <w:t>ithholding</w:t>
      </w:r>
      <w:r>
        <w:rPr>
          <w:rFonts w:ascii="Times New Roman" w:cs="Times New Roman" w:eastAsia="Times New Roman" w:hAnsi="Times New Roman"/>
          <w:sz w:val="12"/>
          <w:szCs w:val="12"/>
          <w:b w:val="1"/>
          <w:bCs w:val="1"/>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            Although the Company may endeavor to (i) qualify a Purchase Right for special tax treatment under the laws of the United States or jurisdictions outside of the United States or (ii) avoid adverse tax treatment,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makes no representation to that effect and expressly disavows any covenant to maintain special or to avoid unfavorable tax treatment, notwithstanding anything to the contrary in this Plan.  The Company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unconstrained in its corporate activities without regard to the potential negative tax impact on Participants.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(b)            Each Participant will make arrangements, satisfactory to the Company and any applicable Related Corporation or Affiliate, to enable the Company, the Related Corporation or the Affiliate to fulfill any withholding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obligation for Tax-Related Items. Without limitation to the foregoing, in the Company’s sole discretion and subject to Applicable Law, such withholding obligation may be satisfied in whole or in part by (i) withholding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Participant’s salary or any other cash payment due to the Participant from the Company, a Related Corporation or an Affiliate; (ii) withholding from the proceeds of the sale of shares of Common Stock acquired under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either through a voluntary sale or a mandatory sale arranged by the Company; or (iii) any other method deemed acceptable by the Board. The Company shall not be required to issue any shares of Common Stock under the Plan until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such obligations are satisfied.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The 423 Component is exempt from the application of Section 409A of the Code, and any ambiguities herein shall be interpreted to so be exempt from Section 409A of the Code. The Non-423 Component is intended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  </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14.          E</w:t>
      </w:r>
      <w:r>
        <w:rPr>
          <w:rFonts w:ascii="Times New Roman" w:cs="Times New Roman" w:eastAsia="Times New Roman" w:hAnsi="Times New Roman"/>
          <w:sz w:val="8"/>
          <w:szCs w:val="8"/>
          <w:b w:val="1"/>
          <w:bCs w:val="1"/>
          <w:color w:val="auto"/>
        </w:rPr>
        <w:t>ffective</w:t>
      </w:r>
      <w:r>
        <w:rPr>
          <w:rFonts w:ascii="Times New Roman" w:cs="Times New Roman" w:eastAsia="Times New Roman" w:hAnsi="Times New Roman"/>
          <w:sz w:val="12"/>
          <w:szCs w:val="12"/>
          <w:b w:val="1"/>
          <w:bCs w:val="1"/>
          <w:color w:val="auto"/>
        </w:rPr>
        <w:t xml:space="preserve"> D</w:t>
      </w:r>
      <w:r>
        <w:rPr>
          <w:rFonts w:ascii="Times New Roman" w:cs="Times New Roman" w:eastAsia="Times New Roman" w:hAnsi="Times New Roman"/>
          <w:sz w:val="8"/>
          <w:szCs w:val="8"/>
          <w:b w:val="1"/>
          <w:bCs w:val="1"/>
          <w:color w:val="auto"/>
        </w:rPr>
        <w:t>ate of</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lan</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2"/>
          <w:szCs w:val="12"/>
          <w:color w:val="auto"/>
        </w:rPr>
        <w:t>The Plan will become effective immediately prior to and contingent upon the IPO Date. No Purchase Rights will be exercised unless and until the Plan has been approved by the stockholders of the Company, which approval must be within 12 months before or after the date the Plan is adopted (or if required under Section 12(a) above, materially amended) by the Board.  </w:t>
      </w:r>
    </w:p>
    <w:p>
      <w:pPr>
        <w:spacing w:after="0" w:line="2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43">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2"/>
          <w:szCs w:val="12"/>
          <w:b w:val="1"/>
          <w:bCs w:val="1"/>
          <w:color w:val="auto"/>
        </w:rPr>
        <w:t>15.          M</w:t>
      </w:r>
      <w:r>
        <w:rPr>
          <w:rFonts w:ascii="Times New Roman" w:cs="Times New Roman" w:eastAsia="Times New Roman" w:hAnsi="Times New Roman"/>
          <w:sz w:val="8"/>
          <w:szCs w:val="8"/>
          <w:b w:val="1"/>
          <w:bCs w:val="1"/>
          <w:color w:val="auto"/>
        </w:rPr>
        <w:t>iscellaneous</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rovisions</w:t>
      </w:r>
      <w:r>
        <w:rPr>
          <w:rFonts w:ascii="Times New Roman" w:cs="Times New Roman" w:eastAsia="Times New Roman" w:hAnsi="Times New Roman"/>
          <w:sz w:val="12"/>
          <w:szCs w:val="12"/>
          <w:b w:val="1"/>
          <w:bCs w:val="1"/>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Proceeds from the sale of shares of Common Stock pursuant to Purchase Rights will constitute general funds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A Participant will not be deemed to be the holder of, or to have any of the rights of a holder with respect to, shares of Common Stock subject to Purchase Rights unless and until the Participant’s shares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Stock acquired upon exercise of Purchase Rights are recorded in the books of the Company (or its transfer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The Plan and Offering do not constitute an employment contract. Nothing in the Plan or in the Offering will in any way alter the at will nature of a Participant’s employment or amend a Participant’s employment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service contract, as applicable, or be deemed to create in any way whatsoever any obligation on the part of any Participant to continue in the employ or service of the Company, a Related Corporation or an Affiliate, or on the part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a Related Corporation or an Affiliate to continue the employment or service of a Participant.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The provisions of the Plan will be governed by the laws of the State of Delaware without resort to that state’s conflict of laws rules.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If any particular provision of the Plan is found to be invalid or otherwise unenforceable, such provision will not affect the other provisions of the Plan, but the Plan will be construed in all respects as if such invalid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provision were omitted.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If any provision of the Plan does not comply with Applicable Law, such provision shall be construed in such a manner as to comply with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16.          D</w:t>
      </w:r>
      <w:r>
        <w:rPr>
          <w:rFonts w:ascii="Times New Roman" w:cs="Times New Roman" w:eastAsia="Times New Roman" w:hAnsi="Times New Roman"/>
          <w:sz w:val="8"/>
          <w:szCs w:val="8"/>
          <w:b w:val="1"/>
          <w:bCs w:val="1"/>
          <w:color w:val="auto"/>
        </w:rPr>
        <w:t>efinitions</w:t>
      </w:r>
      <w:r>
        <w:rPr>
          <w:rFonts w:ascii="Times New Roman" w:cs="Times New Roman" w:eastAsia="Times New Roman" w:hAnsi="Times New Roman"/>
          <w:sz w:val="12"/>
          <w:szCs w:val="12"/>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As used in the Plan, the following definitions will apply to the capitalized terms indicated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423 Component</w:t>
      </w:r>
      <w:r>
        <w:rPr>
          <w:rFonts w:ascii="Times New Roman" w:cs="Times New Roman" w:eastAsia="Times New Roman" w:hAnsi="Times New Roman"/>
          <w:sz w:val="12"/>
          <w:szCs w:val="12"/>
          <w:color w:val="auto"/>
        </w:rPr>
        <w:t>” means the part of the Plan, which excludes the Non-423 Component, pursuant to which Purchase Rights that satisfy the requirements for an Employee Stock Purchase Plan may be granted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Eligible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Affiliate</w:t>
      </w:r>
      <w:r>
        <w:rPr>
          <w:rFonts w:ascii="Times New Roman" w:cs="Times New Roman" w:eastAsia="Times New Roman" w:hAnsi="Times New Roman"/>
          <w:sz w:val="12"/>
          <w:szCs w:val="12"/>
          <w:color w:val="auto"/>
        </w:rPr>
        <w:t>” means any entity, other than a Related Corporation, whether now or subsequently established, which is at the time of determination, a “parent” or “subsidiary” of the Company as such terms are defined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Rule 405 promulgated under the Securities Act. The Board may determine the time or times at which “parent” or “subsidiary” status is determined within the foregoing definition.  </w:t>
      </w:r>
    </w:p>
    <w:p>
      <w:pPr>
        <w:spacing w:after="0" w:line="130"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Applicable Law</w:t>
      </w:r>
      <w:r>
        <w:rPr>
          <w:rFonts w:ascii="Times New Roman" w:cs="Times New Roman" w:eastAsia="Times New Roman" w:hAnsi="Times New Roman"/>
          <w:sz w:val="12"/>
          <w:szCs w:val="12"/>
          <w:color w:val="auto"/>
        </w:rPr>
        <w:t>” means the Code and any applicable U.S. and non-U.S. securities, exchange control, tax, federal, state, material local or municipal or other law, statute, constitution, principle of common law,</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  </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Board</w:t>
      </w:r>
      <w:r>
        <w:rPr>
          <w:rFonts w:ascii="Times New Roman" w:cs="Times New Roman" w:eastAsia="Times New Roman" w:hAnsi="Times New Roman"/>
          <w:sz w:val="12"/>
          <w:szCs w:val="12"/>
          <w:color w:val="auto"/>
        </w:rPr>
        <w:t>” means the Board of Directors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Capital Stock</w:t>
      </w:r>
      <w:r>
        <w:rPr>
          <w:rFonts w:ascii="Times New Roman" w:cs="Times New Roman" w:eastAsia="Times New Roman" w:hAnsi="Times New Roman"/>
          <w:sz w:val="12"/>
          <w:szCs w:val="12"/>
          <w:color w:val="auto"/>
        </w:rPr>
        <w:t>” means each and every class of common stock of the Company, regardless of the number of votes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44">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419" w:name="page420"/>
    <w:bookmarkEnd w:id="419"/>
    <w:p>
      <w:pPr>
        <w:ind w:firstLine="440"/>
        <w:spacing w:after="0" w:line="266" w:lineRule="auto"/>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Capitalization Adjustment</w:t>
      </w:r>
      <w:r>
        <w:rPr>
          <w:rFonts w:ascii="Times New Roman" w:cs="Times New Roman" w:eastAsia="Times New Roman" w:hAnsi="Times New Roman"/>
          <w:sz w:val="12"/>
          <w:szCs w:val="12"/>
          <w:color w:val="auto"/>
        </w:rPr>
        <w:t>” means any change that is made in, or other events that occur with respect to, the Common Stock subject to the Plan or subject to any Purchase Right after the date the Plan is adopted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  </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(g)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Code</w:t>
      </w:r>
      <w:r>
        <w:rPr>
          <w:rFonts w:ascii="Times New Roman" w:cs="Times New Roman" w:eastAsia="Times New Roman" w:hAnsi="Times New Roman"/>
          <w:sz w:val="12"/>
          <w:szCs w:val="12"/>
          <w:color w:val="auto"/>
        </w:rPr>
        <w:t>” means the U.S. Internal Revenue Code of 1986, as amended, including any applicable regulations and guidance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(h)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Committee</w:t>
      </w:r>
      <w:r>
        <w:rPr>
          <w:rFonts w:ascii="Times New Roman" w:cs="Times New Roman" w:eastAsia="Times New Roman" w:hAnsi="Times New Roman"/>
          <w:sz w:val="12"/>
          <w:szCs w:val="12"/>
          <w:color w:val="auto"/>
        </w:rPr>
        <w:t>” means a committee of one or more members of the Board to whom authority has been delegated by the Board in accordance with Section 2(c).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Common Stock</w:t>
      </w:r>
      <w:r>
        <w:rPr>
          <w:rFonts w:ascii="Times New Roman" w:cs="Times New Roman" w:eastAsia="Times New Roman" w:hAnsi="Times New Roman"/>
          <w:sz w:val="12"/>
          <w:szCs w:val="12"/>
          <w:color w:val="auto"/>
        </w:rPr>
        <w:t>” means the common stock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(j)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means Alumis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2"/>
          <w:szCs w:val="12"/>
          <w:b w:val="1"/>
          <w:bCs w:val="1"/>
          <w:color w:val="auto"/>
        </w:rPr>
        <w:t>(k)            </w:t>
      </w:r>
      <w:r>
        <w:rPr>
          <w:rFonts w:ascii="Times New Roman" w:cs="Times New Roman" w:eastAsia="Times New Roman" w:hAnsi="Times New Roman"/>
          <w:sz w:val="12"/>
          <w:szCs w:val="12"/>
          <w:b w:val="1"/>
          <w:bCs w:val="1"/>
          <w:i w:val="1"/>
          <w:iCs w:val="1"/>
          <w:color w:val="auto"/>
        </w:rPr>
        <w:t>“Contributions</w:t>
      </w:r>
      <w:r>
        <w:rPr>
          <w:rFonts w:ascii="Times New Roman" w:cs="Times New Roman" w:eastAsia="Times New Roman" w:hAnsi="Times New Roman"/>
          <w:sz w:val="12"/>
          <w:szCs w:val="12"/>
          <w:color w:val="auto"/>
        </w:rPr>
        <w:t>” means the payroll deductions, contributions made by Participants in case payroll deductions are impermissible or problematic under Applicable Law and other additional payments specifically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provided for in the Offering that a Participant contributes to fund the exercise of a Purchase Right. A Participant may make additional payments into the Participant’s account if specifically provided for in the Offering, and then only if the Participant has not already had the maximum permitted amount withheld during the Offering through payroll deductions or other contributions and, with respect to the 423 Component, to the extent permitted by Section 423.  </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(l)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Corporate Transaction</w:t>
      </w:r>
      <w:r>
        <w:rPr>
          <w:rFonts w:ascii="Times New Roman" w:cs="Times New Roman" w:eastAsia="Times New Roman" w:hAnsi="Times New Roman"/>
          <w:sz w:val="12"/>
          <w:szCs w:val="12"/>
          <w:color w:val="auto"/>
        </w:rPr>
        <w:t>” means the consummation, in a single transaction or in a series of related transactions, of any one or more of the following events: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a sale or other disposition of all or substantially all, as determined by the Board in its sole discretion, of the consolidated assets of the Company and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a sale or other disposition of more than 50% of the outstanding securities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(iii)          </w:t>
      </w:r>
      <w:r>
        <w:rPr>
          <w:rFonts w:ascii="Times New Roman" w:cs="Times New Roman" w:eastAsia="Times New Roman" w:hAnsi="Times New Roman"/>
          <w:sz w:val="12"/>
          <w:szCs w:val="12"/>
          <w:color w:val="auto"/>
        </w:rPr>
        <w:t>a merger, consolidation or similar transaction following which the Company is not the surviving corporation;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879"/>
        <w:spacing w:after="0" w:line="269" w:lineRule="auto"/>
        <w:rPr>
          <w:sz w:val="20"/>
          <w:szCs w:val="20"/>
          <w:color w:val="auto"/>
        </w:rPr>
      </w:pPr>
      <w:r>
        <w:rPr>
          <w:rFonts w:ascii="Times New Roman" w:cs="Times New Roman" w:eastAsia="Times New Roman" w:hAnsi="Times New Roman"/>
          <w:sz w:val="12"/>
          <w:szCs w:val="12"/>
          <w:b w:val="1"/>
          <w:bCs w:val="1"/>
          <w:color w:val="auto"/>
        </w:rPr>
        <w:t>(iv)           </w:t>
      </w:r>
      <w:r>
        <w:rPr>
          <w:rFonts w:ascii="Times New Roman" w:cs="Times New Roman" w:eastAsia="Times New Roman" w:hAnsi="Times New Roman"/>
          <w:sz w:val="12"/>
          <w:szCs w:val="12"/>
          <w:color w:val="auto"/>
        </w:rPr>
        <w:t>a merger, consolidation or similar transaction following which the Company is the surviving corporation but the shares of Common Stock outstanding immediately preceding the merger, consolidation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similar transaction are converted or exchanged by virtue of the merger, consolidation or similar transaction into other property, whether in the form of securities, cash or otherwise.  </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(m)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Designated 423 Company</w:t>
      </w:r>
      <w:r>
        <w:rPr>
          <w:rFonts w:ascii="Times New Roman" w:cs="Times New Roman" w:eastAsia="Times New Roman" w:hAnsi="Times New Roman"/>
          <w:sz w:val="12"/>
          <w:szCs w:val="12"/>
          <w:color w:val="auto"/>
        </w:rPr>
        <w:t>” means any Related Corporation selected by the Board as participating in the 423 Component.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(n)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Designated Company</w:t>
      </w:r>
      <w:r>
        <w:rPr>
          <w:rFonts w:ascii="Times New Roman" w:cs="Times New Roman" w:eastAsia="Times New Roman" w:hAnsi="Times New Roman"/>
          <w:sz w:val="12"/>
          <w:szCs w:val="12"/>
          <w:color w:val="auto"/>
        </w:rPr>
        <w:t>” means any Designated Non-423 Company or Designated 423 Company, provided, however, that at any given time, a Related Corporation participating in the 423 Component shall not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Related Corporation participating in the Non-423 Component.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45">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420" w:name="page421"/>
    <w:bookmarkEnd w:id="420"/>
    <w:p>
      <w:pPr>
        <w:ind w:left="440"/>
        <w:spacing w:after="0"/>
        <w:rPr>
          <w:sz w:val="20"/>
          <w:szCs w:val="20"/>
          <w:color w:val="auto"/>
        </w:rPr>
      </w:pPr>
      <w:r>
        <w:rPr>
          <w:rFonts w:ascii="Times New Roman" w:cs="Times New Roman" w:eastAsia="Times New Roman" w:hAnsi="Times New Roman"/>
          <w:sz w:val="12"/>
          <w:szCs w:val="12"/>
          <w:b w:val="1"/>
          <w:bCs w:val="1"/>
          <w:color w:val="auto"/>
        </w:rPr>
        <w:t>(o)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Designated Non-423 Company</w:t>
      </w:r>
      <w:r>
        <w:rPr>
          <w:rFonts w:ascii="Times New Roman" w:cs="Times New Roman" w:eastAsia="Times New Roman" w:hAnsi="Times New Roman"/>
          <w:sz w:val="12"/>
          <w:szCs w:val="12"/>
          <w:color w:val="auto"/>
        </w:rPr>
        <w:t>” means any Related Corporation or Affiliate selected by the Board as participating in the Non-423 Component.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(p)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Director</w:t>
      </w:r>
      <w:r>
        <w:rPr>
          <w:rFonts w:ascii="Times New Roman" w:cs="Times New Roman" w:eastAsia="Times New Roman" w:hAnsi="Times New Roman"/>
          <w:sz w:val="12"/>
          <w:szCs w:val="12"/>
          <w:color w:val="auto"/>
        </w:rPr>
        <w:t>” means a member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(q)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Eligible Employee</w:t>
      </w:r>
      <w:r>
        <w:rPr>
          <w:rFonts w:ascii="Times New Roman" w:cs="Times New Roman" w:eastAsia="Times New Roman" w:hAnsi="Times New Roman"/>
          <w:sz w:val="12"/>
          <w:szCs w:val="12"/>
          <w:color w:val="auto"/>
        </w:rPr>
        <w:t>” means an Employee who meets the requirements set forth in the document(s) governing the Offering for eligibility to participate in the Offering, provided that such Employee also meets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requirements for eligibility to participate set forth in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2"/>
          <w:szCs w:val="12"/>
          <w:b w:val="1"/>
          <w:bCs w:val="1"/>
          <w:color w:val="auto"/>
        </w:rPr>
        <w:t>(r)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Employee</w:t>
      </w:r>
      <w:r>
        <w:rPr>
          <w:rFonts w:ascii="Times New Roman" w:cs="Times New Roman" w:eastAsia="Times New Roman" w:hAnsi="Times New Roman"/>
          <w:sz w:val="12"/>
          <w:szCs w:val="12"/>
          <w:color w:val="auto"/>
        </w:rPr>
        <w:t>” means any person, including an Officer or Director, who is “employed” for purposes of Section 423(b)(4) of the Code by the Company or a Related Corporation or solely with respect to the Non-423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Component, an Affiliate. However, service solely as a Director, or payment of a fee for such services, will not cause a Director to be considered an “Employee” for purposes of the Plan.  </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(s)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Employee Stock Purchase Plan</w:t>
      </w:r>
      <w:r>
        <w:rPr>
          <w:rFonts w:ascii="Times New Roman" w:cs="Times New Roman" w:eastAsia="Times New Roman" w:hAnsi="Times New Roman"/>
          <w:sz w:val="12"/>
          <w:szCs w:val="12"/>
          <w:color w:val="auto"/>
        </w:rPr>
        <w:t>” means a plan that grants Purchase Rights intended to be options issued under an “employee stock purchase plan,” as that term is defined in Section 423(b)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(t)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Exchange Act</w:t>
      </w:r>
      <w:r>
        <w:rPr>
          <w:rFonts w:ascii="Times New Roman" w:cs="Times New Roman" w:eastAsia="Times New Roman" w:hAnsi="Times New Roman"/>
          <w:sz w:val="12"/>
          <w:szCs w:val="12"/>
          <w:color w:val="auto"/>
        </w:rPr>
        <w:t>” means the U.S. Securities Exchange Act of 1934, as amended and the rules and regulations 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(u)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Fair Market Value</w:t>
      </w:r>
      <w:r>
        <w:rPr>
          <w:rFonts w:ascii="Times New Roman" w:cs="Times New Roman" w:eastAsia="Times New Roman" w:hAnsi="Times New Roman"/>
          <w:sz w:val="12"/>
          <w:szCs w:val="12"/>
          <w:color w:val="auto"/>
        </w:rPr>
        <w:t>” means, as of any date, the value of the Common Stock determined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If the Common Stock is listed on any established stock exchange or traded on any established market, the Fair Market Value of a share of Common Stock will be, unless otherwise determined by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b w:val="1"/>
          <w:bCs w:val="1"/>
          <w:u w:val="single" w:color="auto"/>
          <w:color w:val="auto"/>
        </w:rPr>
        <w:t>closing sales price</w:t>
      </w:r>
      <w:r>
        <w:rPr>
          <w:rFonts w:ascii="Times New Roman" w:cs="Times New Roman" w:eastAsia="Times New Roman" w:hAnsi="Times New Roman"/>
          <w:sz w:val="12"/>
          <w:szCs w:val="12"/>
          <w:color w:val="auto"/>
        </w:rPr>
        <w:t xml:space="preserve"> for such stock as quoted on such exchange or market (or the exchange or market with the greatest volume of trading in the Common Stock) </w:t>
      </w:r>
      <w:r>
        <w:rPr>
          <w:rFonts w:ascii="Times New Roman" w:cs="Times New Roman" w:eastAsia="Times New Roman" w:hAnsi="Times New Roman"/>
          <w:sz w:val="12"/>
          <w:szCs w:val="12"/>
          <w:b w:val="1"/>
          <w:bCs w:val="1"/>
          <w:u w:val="single" w:color="auto"/>
          <w:color w:val="auto"/>
        </w:rPr>
        <w:t>on the date of determination</w:t>
      </w:r>
      <w:r>
        <w:rPr>
          <w:rFonts w:ascii="Times New Roman" w:cs="Times New Roman" w:eastAsia="Times New Roman" w:hAnsi="Times New Roman"/>
          <w:sz w:val="12"/>
          <w:szCs w:val="12"/>
          <w:color w:val="auto"/>
        </w:rPr>
        <w:t>, as reported in such source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Board deems reliable. Unless otherwise provided by the Board, if there is no closing sales price for the Common Stock on the date of determination, then the Fair Market Value will be the closing sales price on the last preceding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for which such quotation exists.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In the absence of such markets for the Common Stock, the Fair Market Value will be determined by the Board in good faith in compliance with Applicable Laws and regulations and, to the extent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determined in the sole discretion of the Board, in a manner that complies with Sections 409A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879"/>
        <w:spacing w:after="0" w:line="269" w:lineRule="auto"/>
        <w:rPr>
          <w:sz w:val="20"/>
          <w:szCs w:val="20"/>
          <w:color w:val="auto"/>
        </w:rPr>
      </w:pPr>
      <w:r>
        <w:rPr>
          <w:rFonts w:ascii="Times New Roman" w:cs="Times New Roman" w:eastAsia="Times New Roman" w:hAnsi="Times New Roman"/>
          <w:sz w:val="12"/>
          <w:szCs w:val="12"/>
          <w:b w:val="1"/>
          <w:bCs w:val="1"/>
          <w:color w:val="auto"/>
        </w:rPr>
        <w:t>(iii)         </w:t>
      </w:r>
      <w:r>
        <w:rPr>
          <w:rFonts w:ascii="Times New Roman" w:cs="Times New Roman" w:eastAsia="Times New Roman" w:hAnsi="Times New Roman"/>
          <w:sz w:val="12"/>
          <w:szCs w:val="12"/>
          <w:color w:val="auto"/>
        </w:rPr>
        <w:t>Notwithstanding the foregoing, for any Offering that commences on the IPO Date, the Fair Market Value of the shares of Common Stock on the Offering Date will be the price per share at which shares 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first sold to the public in the Company’s initial public offering as specified in the final prospectus for that initial public offering.  </w:t>
      </w:r>
    </w:p>
    <w:p>
      <w:pPr>
        <w:spacing w:after="0" w:line="130"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2"/>
          <w:szCs w:val="12"/>
          <w:b w:val="1"/>
          <w:bCs w:val="1"/>
          <w:color w:val="auto"/>
        </w:rPr>
        <w:t>(v)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Governmental Body</w:t>
      </w:r>
      <w:r>
        <w:rPr>
          <w:rFonts w:ascii="Times New Roman" w:cs="Times New Roman" w:eastAsia="Times New Roman" w:hAnsi="Times New Roman"/>
          <w:sz w:val="12"/>
          <w:szCs w:val="12"/>
          <w:color w:val="auto"/>
        </w:rPr>
        <w:t>” means any: (i) nation, state, commonwealth, canton, province, territory, county, municipality, district or other jurisdiction of any nature; (ii) U.S. or non-U.S. federal, state, local, municipal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New York Stock Exchange, the NASDAQ Stock Market and the Financial Industry Regulatory Authority).  </w:t>
      </w: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46">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421" w:name="page422"/>
    <w:bookmarkEnd w:id="421"/>
    <w:p>
      <w:pPr>
        <w:ind w:left="440"/>
        <w:spacing w:after="0"/>
        <w:rPr>
          <w:sz w:val="20"/>
          <w:szCs w:val="20"/>
          <w:color w:val="auto"/>
        </w:rPr>
      </w:pPr>
      <w:r>
        <w:rPr>
          <w:rFonts w:ascii="Times New Roman" w:cs="Times New Roman" w:eastAsia="Times New Roman" w:hAnsi="Times New Roman"/>
          <w:sz w:val="12"/>
          <w:szCs w:val="12"/>
          <w:b w:val="1"/>
          <w:bCs w:val="1"/>
          <w:color w:val="auto"/>
        </w:rPr>
        <w:t>(w)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IPO Date</w:t>
      </w:r>
      <w:r>
        <w:rPr>
          <w:rFonts w:ascii="Times New Roman" w:cs="Times New Roman" w:eastAsia="Times New Roman" w:hAnsi="Times New Roman"/>
          <w:sz w:val="12"/>
          <w:szCs w:val="12"/>
          <w:color w:val="auto"/>
        </w:rPr>
        <w:t>” means the date of the underwriting agreement between the Company and the underwriter(s) managing the initial public offering of the Common Stock, pursuant to which the Common Stock is priced for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initial public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(x)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Non-423 Component</w:t>
      </w:r>
      <w:r>
        <w:rPr>
          <w:rFonts w:ascii="Times New Roman" w:cs="Times New Roman" w:eastAsia="Times New Roman" w:hAnsi="Times New Roman"/>
          <w:sz w:val="12"/>
          <w:szCs w:val="12"/>
          <w:color w:val="auto"/>
        </w:rPr>
        <w:t>” means the part of the Plan, which excludes the 423 Component, pursuant to which Purchase Rights that are not intended to satisfy the requirements for an Employee Stock Purchase Plan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be granted to Eligible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(y)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Offering</w:t>
      </w:r>
      <w:r>
        <w:rPr>
          <w:rFonts w:ascii="Times New Roman" w:cs="Times New Roman" w:eastAsia="Times New Roman" w:hAnsi="Times New Roman"/>
          <w:sz w:val="12"/>
          <w:szCs w:val="12"/>
          <w:color w:val="auto"/>
        </w:rPr>
        <w:t>” means the grant to Eligible Employees of Purchase Rights, with the exercise of those Purchase Rights automatically occurring at the end of one or more Purchase Periods. The terms and conditions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Offering will generally be set forth in the “</w:t>
      </w:r>
      <w:r>
        <w:rPr>
          <w:rFonts w:ascii="Times New Roman" w:cs="Times New Roman" w:eastAsia="Times New Roman" w:hAnsi="Times New Roman"/>
          <w:sz w:val="12"/>
          <w:szCs w:val="12"/>
          <w:b w:val="1"/>
          <w:bCs w:val="1"/>
          <w:i w:val="1"/>
          <w:iCs w:val="1"/>
          <w:color w:val="auto"/>
        </w:rPr>
        <w:t>Offering Document</w:t>
      </w:r>
      <w:r>
        <w:rPr>
          <w:rFonts w:ascii="Times New Roman" w:cs="Times New Roman" w:eastAsia="Times New Roman" w:hAnsi="Times New Roman"/>
          <w:sz w:val="12"/>
          <w:szCs w:val="12"/>
          <w:color w:val="auto"/>
        </w:rPr>
        <w:t>” approved by the Board for that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(z)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Offering Date</w:t>
      </w:r>
      <w:r>
        <w:rPr>
          <w:rFonts w:ascii="Times New Roman" w:cs="Times New Roman" w:eastAsia="Times New Roman" w:hAnsi="Times New Roman"/>
          <w:sz w:val="12"/>
          <w:szCs w:val="12"/>
          <w:color w:val="auto"/>
        </w:rPr>
        <w:t>” means a date selected by the Board for an Offering to commence.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(aa)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Officer</w:t>
      </w:r>
      <w:r>
        <w:rPr>
          <w:rFonts w:ascii="Times New Roman" w:cs="Times New Roman" w:eastAsia="Times New Roman" w:hAnsi="Times New Roman"/>
          <w:sz w:val="12"/>
          <w:szCs w:val="12"/>
          <w:color w:val="auto"/>
        </w:rPr>
        <w:t>” means a person who is an officer of the Company or a Related Corporation within the meaning of Section 16 of the Exchange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(bb)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Participant</w:t>
      </w:r>
      <w:r>
        <w:rPr>
          <w:rFonts w:ascii="Times New Roman" w:cs="Times New Roman" w:eastAsia="Times New Roman" w:hAnsi="Times New Roman"/>
          <w:sz w:val="12"/>
          <w:szCs w:val="12"/>
          <w:color w:val="auto"/>
        </w:rPr>
        <w:t>” means an Eligible Employee who holds an outstanding Purchase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(cc)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Plan</w:t>
      </w:r>
      <w:r>
        <w:rPr>
          <w:rFonts w:ascii="Times New Roman" w:cs="Times New Roman" w:eastAsia="Times New Roman" w:hAnsi="Times New Roman"/>
          <w:sz w:val="12"/>
          <w:szCs w:val="12"/>
          <w:color w:val="auto"/>
        </w:rPr>
        <w:t>” means this Alumis Inc. 2024 Employee Stock Purchase Plan, as amended from time to time, including both the 423 Component and the Non-423 Component.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(dd)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Purchase Date</w:t>
      </w:r>
      <w:r>
        <w:rPr>
          <w:rFonts w:ascii="Times New Roman" w:cs="Times New Roman" w:eastAsia="Times New Roman" w:hAnsi="Times New Roman"/>
          <w:sz w:val="12"/>
          <w:szCs w:val="12"/>
          <w:color w:val="auto"/>
        </w:rPr>
        <w:t>” means one or more dates during an Offering selected by the Board on which Purchase Rights will be exercised and on which purchases of shares of Common Stock will be carried out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accordance with such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(ee)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Purchase Period</w:t>
      </w:r>
      <w:r>
        <w:rPr>
          <w:rFonts w:ascii="Times New Roman" w:cs="Times New Roman" w:eastAsia="Times New Roman" w:hAnsi="Times New Roman"/>
          <w:sz w:val="12"/>
          <w:szCs w:val="12"/>
          <w:color w:val="auto"/>
        </w:rPr>
        <w:t>” means a period of time specified within an Offering, generally beginning on the Offering Date or on the first Trading Day following a Purchase Date, and ending on a Purchase Date. An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may consist of one or more Purchase Periods.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(ff)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Purchase Right</w:t>
      </w:r>
      <w:r>
        <w:rPr>
          <w:rFonts w:ascii="Times New Roman" w:cs="Times New Roman" w:eastAsia="Times New Roman" w:hAnsi="Times New Roman"/>
          <w:sz w:val="12"/>
          <w:szCs w:val="12"/>
          <w:color w:val="auto"/>
        </w:rPr>
        <w:t>” means an option to purchase shares of Common Stock granted pursuant to the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(gg)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Related Corporation</w:t>
      </w:r>
      <w:r>
        <w:rPr>
          <w:rFonts w:ascii="Times New Roman" w:cs="Times New Roman" w:eastAsia="Times New Roman" w:hAnsi="Times New Roman"/>
          <w:sz w:val="12"/>
          <w:szCs w:val="12"/>
          <w:color w:val="auto"/>
        </w:rPr>
        <w:t>” means any “parent corporation” or “subsidiary corporation” of the Company whether now or subsequently established, as those terms are defined in Sections 424(e) and (f), respectively,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(hh)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Securities Act</w:t>
      </w:r>
      <w:r>
        <w:rPr>
          <w:rFonts w:ascii="Times New Roman" w:cs="Times New Roman" w:eastAsia="Times New Roman" w:hAnsi="Times New Roman"/>
          <w:sz w:val="12"/>
          <w:szCs w:val="12"/>
          <w:color w:val="auto"/>
        </w:rPr>
        <w:t>” means the U.S. Securities Act of 1933,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Tax-Related Items</w:t>
      </w:r>
      <w:r>
        <w:rPr>
          <w:rFonts w:ascii="Times New Roman" w:cs="Times New Roman" w:eastAsia="Times New Roman" w:hAnsi="Times New Roman"/>
          <w:sz w:val="12"/>
          <w:szCs w:val="12"/>
          <w:color w:val="auto"/>
        </w:rPr>
        <w:t>” means any income tax, social insurance, payroll tax, fringe benefit tax, payment on account or other tax-related items arising out of or in relation to a Participant’s participation in the Plan,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including, but not limited to, the exercise of a Purchase Right and the receipt of shares of Common Stock or the sale or other disposition of shares of Common Stock acquired under the Plan.  </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(jj)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Trading Day</w:t>
      </w:r>
      <w:r>
        <w:rPr>
          <w:rFonts w:ascii="Times New Roman" w:cs="Times New Roman" w:eastAsia="Times New Roman" w:hAnsi="Times New Roman"/>
          <w:sz w:val="12"/>
          <w:szCs w:val="12"/>
          <w:color w:val="auto"/>
        </w:rPr>
        <w:t>” means any day on which the exchange(s) or market(s) on which shares of Common Stock are listed, including but not limited to the New York Stock Exchange, Nasdaq Global Select Market,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Nasdaq Global Market, the Nasdaq Capital Market or any successors thereto, is open for trading.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47">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422" w:name="page423"/>
    <w:bookmarkEnd w:id="422"/>
    <w:p>
      <w:pPr>
        <w:jc w:val="right"/>
        <w:spacing w:after="0"/>
        <w:rPr>
          <w:sz w:val="20"/>
          <w:szCs w:val="20"/>
          <w:color w:val="auto"/>
        </w:rPr>
      </w:pPr>
      <w:r>
        <w:rPr>
          <w:rFonts w:ascii="Times New Roman" w:cs="Times New Roman" w:eastAsia="Times New Roman" w:hAnsi="Times New Roman"/>
          <w:sz w:val="15"/>
          <w:szCs w:val="15"/>
          <w:b w:val="1"/>
          <w:bCs w:val="1"/>
          <w:color w:val="auto"/>
        </w:rPr>
        <w:t>Exhibit 10.9</w:t>
      </w:r>
    </w:p>
    <w:p>
      <w:pPr>
        <w:spacing w:after="0" w:line="16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8"/>
          <w:szCs w:val="8"/>
          <w:b w:val="1"/>
          <w:bCs w:val="1"/>
          <w:color w:val="auto"/>
        </w:rPr>
        <w:t>lumis</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nc</w:t>
      </w:r>
      <w:r>
        <w:rPr>
          <w:rFonts w:ascii="Times New Roman" w:cs="Times New Roman" w:eastAsia="Times New Roman" w:hAnsi="Times New Roman"/>
          <w:sz w:val="12"/>
          <w:szCs w:val="12"/>
          <w:b w:val="1"/>
          <w:bCs w:val="1"/>
          <w:color w:val="auto"/>
        </w:rPr>
        <w:t>.</w:t>
      </w:r>
    </w:p>
    <w:p>
      <w:pPr>
        <w:spacing w:after="0" w:line="2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8"/>
          <w:szCs w:val="8"/>
          <w:b w:val="1"/>
          <w:bCs w:val="1"/>
          <w:color w:val="auto"/>
        </w:rPr>
        <w:t>on</w:t>
      </w:r>
      <w:r>
        <w:rPr>
          <w:rFonts w:ascii="Times New Roman" w:cs="Times New Roman" w:eastAsia="Times New Roman" w:hAnsi="Times New Roman"/>
          <w:sz w:val="12"/>
          <w:szCs w:val="12"/>
          <w:b w:val="1"/>
          <w:bCs w:val="1"/>
          <w:color w:val="auto"/>
        </w:rPr>
        <w:t>-E</w:t>
      </w:r>
      <w:r>
        <w:rPr>
          <w:rFonts w:ascii="Times New Roman" w:cs="Times New Roman" w:eastAsia="Times New Roman" w:hAnsi="Times New Roman"/>
          <w:sz w:val="8"/>
          <w:szCs w:val="8"/>
          <w:b w:val="1"/>
          <w:bCs w:val="1"/>
          <w:color w:val="auto"/>
        </w:rPr>
        <w:t>mployee</w:t>
      </w:r>
      <w:r>
        <w:rPr>
          <w:rFonts w:ascii="Times New Roman" w:cs="Times New Roman" w:eastAsia="Times New Roman" w:hAnsi="Times New Roman"/>
          <w:sz w:val="12"/>
          <w:szCs w:val="12"/>
          <w:b w:val="1"/>
          <w:bCs w:val="1"/>
          <w:color w:val="auto"/>
        </w:rPr>
        <w:t xml:space="preserve"> D</w:t>
      </w:r>
      <w:r>
        <w:rPr>
          <w:rFonts w:ascii="Times New Roman" w:cs="Times New Roman" w:eastAsia="Times New Roman" w:hAnsi="Times New Roman"/>
          <w:sz w:val="8"/>
          <w:szCs w:val="8"/>
          <w:b w:val="1"/>
          <w:bCs w:val="1"/>
          <w:color w:val="auto"/>
        </w:rPr>
        <w:t>irector</w:t>
      </w:r>
      <w:r>
        <w:rPr>
          <w:rFonts w:ascii="Times New Roman" w:cs="Times New Roman" w:eastAsia="Times New Roman" w:hAnsi="Times New Roman"/>
          <w:sz w:val="12"/>
          <w:szCs w:val="12"/>
          <w:b w:val="1"/>
          <w:bCs w:val="1"/>
          <w:color w:val="auto"/>
        </w:rPr>
        <w:t xml:space="preserve"> C</w:t>
      </w:r>
      <w:r>
        <w:rPr>
          <w:rFonts w:ascii="Times New Roman" w:cs="Times New Roman" w:eastAsia="Times New Roman" w:hAnsi="Times New Roman"/>
          <w:sz w:val="8"/>
          <w:szCs w:val="8"/>
          <w:b w:val="1"/>
          <w:bCs w:val="1"/>
          <w:color w:val="auto"/>
        </w:rPr>
        <w:t>ompensation</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8"/>
          <w:szCs w:val="8"/>
          <w:b w:val="1"/>
          <w:bCs w:val="1"/>
          <w:color w:val="auto"/>
        </w:rPr>
        <w:t>olicy</w:t>
      </w:r>
    </w:p>
    <w:p>
      <w:pPr>
        <w:spacing w:after="0" w:line="141" w:lineRule="exact"/>
        <w:rPr>
          <w:sz w:val="20"/>
          <w:szCs w:val="20"/>
          <w:color w:val="auto"/>
        </w:rPr>
      </w:pPr>
    </w:p>
    <w:p>
      <w:pPr>
        <w:jc w:val="both"/>
        <w:ind w:left="7"/>
        <w:spacing w:after="0" w:line="264" w:lineRule="auto"/>
        <w:rPr>
          <w:sz w:val="20"/>
          <w:szCs w:val="20"/>
          <w:color w:val="auto"/>
        </w:rPr>
      </w:pPr>
      <w:r>
        <w:rPr>
          <w:rFonts w:ascii="Times New Roman" w:cs="Times New Roman" w:eastAsia="Times New Roman" w:hAnsi="Times New Roman"/>
          <w:sz w:val="12"/>
          <w:szCs w:val="12"/>
          <w:color w:val="auto"/>
        </w:rPr>
        <w:t>Each member of the Board of Directors (the “</w:t>
      </w:r>
      <w:r>
        <w:rPr>
          <w:rFonts w:ascii="Times New Roman" w:cs="Times New Roman" w:eastAsia="Times New Roman" w:hAnsi="Times New Roman"/>
          <w:sz w:val="12"/>
          <w:szCs w:val="12"/>
          <w:b w:val="1"/>
          <w:bCs w:val="1"/>
          <w:i w:val="1"/>
          <w:iCs w:val="1"/>
          <w:color w:val="auto"/>
        </w:rPr>
        <w:t>Board</w:t>
      </w:r>
      <w:r>
        <w:rPr>
          <w:rFonts w:ascii="Times New Roman" w:cs="Times New Roman" w:eastAsia="Times New Roman" w:hAnsi="Times New Roman"/>
          <w:sz w:val="12"/>
          <w:szCs w:val="12"/>
          <w:color w:val="auto"/>
        </w:rPr>
        <w:t>”) who is not also serving as an employee of or consultant to Alumis Inc.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or any of its subsidiaries (each such member, an “</w:t>
      </w:r>
      <w:r>
        <w:rPr>
          <w:rFonts w:ascii="Times New Roman" w:cs="Times New Roman" w:eastAsia="Times New Roman" w:hAnsi="Times New Roman"/>
          <w:sz w:val="12"/>
          <w:szCs w:val="12"/>
          <w:b w:val="1"/>
          <w:bCs w:val="1"/>
          <w:i w:val="1"/>
          <w:iCs w:val="1"/>
          <w:color w:val="auto"/>
        </w:rPr>
        <w:t>Eligible Director</w:t>
      </w:r>
      <w:r>
        <w:rPr>
          <w:rFonts w:ascii="Times New Roman" w:cs="Times New Roman" w:eastAsia="Times New Roman" w:hAnsi="Times New Roman"/>
          <w:sz w:val="12"/>
          <w:szCs w:val="12"/>
          <w:color w:val="auto"/>
        </w:rPr>
        <w:t>”) will receive the compensation described in this Non-Employee Director Compensation Policy for his or her Board service upon and following the date of the underwriting agreement between the Company and the underwriters managing the initial public offering of the Company’s common stock (the “</w:t>
      </w:r>
      <w:r>
        <w:rPr>
          <w:rFonts w:ascii="Times New Roman" w:cs="Times New Roman" w:eastAsia="Times New Roman" w:hAnsi="Times New Roman"/>
          <w:sz w:val="12"/>
          <w:szCs w:val="12"/>
          <w:b w:val="1"/>
          <w:bCs w:val="1"/>
          <w:i w:val="1"/>
          <w:iCs w:val="1"/>
          <w:color w:val="auto"/>
        </w:rPr>
        <w:t>Common Stock</w:t>
      </w:r>
      <w:r>
        <w:rPr>
          <w:rFonts w:ascii="Times New Roman" w:cs="Times New Roman" w:eastAsia="Times New Roman" w:hAnsi="Times New Roman"/>
          <w:sz w:val="12"/>
          <w:szCs w:val="12"/>
          <w:color w:val="auto"/>
        </w:rPr>
        <w:t>”), pursuant to which the Common Stock is priced in such initial public offering (the “</w:t>
      </w:r>
      <w:r>
        <w:rPr>
          <w:rFonts w:ascii="Times New Roman" w:cs="Times New Roman" w:eastAsia="Times New Roman" w:hAnsi="Times New Roman"/>
          <w:sz w:val="12"/>
          <w:szCs w:val="12"/>
          <w:b w:val="1"/>
          <w:bCs w:val="1"/>
          <w:i w:val="1"/>
          <w:iCs w:val="1"/>
          <w:color w:val="auto"/>
        </w:rPr>
        <w:t>Effective Date</w:t>
      </w:r>
      <w:r>
        <w:rPr>
          <w:rFonts w:ascii="Times New Roman" w:cs="Times New Roman" w:eastAsia="Times New Roman" w:hAnsi="Times New Roman"/>
          <w:sz w:val="12"/>
          <w:szCs w:val="12"/>
          <w:color w:val="auto"/>
        </w:rPr>
        <w:t>”). An Eligible Director may decline all or any portion of his or her compensation by giving notice to the Company prior to the date cash may be paid or equity awards are to be granted, as the case may be. This policy is effective as of the Effective Date and may be amended at any time in the sole discretion of the Board or the Compensation Committee of the Board.</w:t>
      </w:r>
    </w:p>
    <w:p>
      <w:pPr>
        <w:spacing w:after="0" w:line="12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b w:val="1"/>
          <w:bCs w:val="1"/>
          <w:color w:val="auto"/>
        </w:rPr>
        <w:t>Annual Cash Compensation</w:t>
      </w:r>
    </w:p>
    <w:p>
      <w:pPr>
        <w:spacing w:after="0" w:line="157" w:lineRule="exact"/>
        <w:rPr>
          <w:sz w:val="20"/>
          <w:szCs w:val="20"/>
          <w:color w:val="auto"/>
        </w:rPr>
      </w:pPr>
    </w:p>
    <w:p>
      <w:pPr>
        <w:jc w:val="both"/>
        <w:ind w:left="7" w:right="20"/>
        <w:spacing w:after="0" w:line="272" w:lineRule="auto"/>
        <w:rPr>
          <w:sz w:val="20"/>
          <w:szCs w:val="20"/>
          <w:color w:val="auto"/>
        </w:rPr>
      </w:pPr>
      <w:r>
        <w:rPr>
          <w:rFonts w:ascii="Times New Roman" w:cs="Times New Roman" w:eastAsia="Times New Roman" w:hAnsi="Times New Roman"/>
          <w:sz w:val="12"/>
          <w:szCs w:val="12"/>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the last day of the first fiscal quarter in which the Eligible Director provides the service and regular full quarterly payments thereafter. All annual cash fees are vested upon payment.</w:t>
      </w:r>
    </w:p>
    <w:p>
      <w:pPr>
        <w:spacing w:after="0" w:line="117" w:lineRule="exact"/>
        <w:rPr>
          <w:sz w:val="20"/>
          <w:szCs w:val="20"/>
          <w:color w:val="auto"/>
        </w:rPr>
      </w:pPr>
    </w:p>
    <w:p>
      <w:pPr>
        <w:ind w:left="447" w:hanging="447"/>
        <w:spacing w:after="0"/>
        <w:tabs>
          <w:tab w:leader="none" w:pos="447"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Annual Board Service Retainer</w:t>
      </w:r>
      <w:r>
        <w:rPr>
          <w:rFonts w:ascii="Times New Roman" w:cs="Times New Roman" w:eastAsia="Times New Roman" w:hAnsi="Times New Roman"/>
          <w:sz w:val="12"/>
          <w:szCs w:val="12"/>
          <w:color w:val="auto"/>
        </w:rPr>
        <w:t>:</w:t>
      </w:r>
    </w:p>
    <w:p>
      <w:pPr>
        <w:spacing w:after="0" w:line="155" w:lineRule="exact"/>
        <w:rPr>
          <w:rFonts w:ascii="Times New Roman" w:cs="Times New Roman" w:eastAsia="Times New Roman" w:hAnsi="Times New Roman"/>
          <w:sz w:val="12"/>
          <w:szCs w:val="12"/>
          <w:color w:val="auto"/>
        </w:rPr>
      </w:pPr>
    </w:p>
    <w:p>
      <w:pPr>
        <w:ind w:left="887" w:hanging="447"/>
        <w:spacing w:after="0"/>
        <w:tabs>
          <w:tab w:leader="none" w:pos="887" w:val="left"/>
        </w:tabs>
        <w:numPr>
          <w:ilvl w:val="1"/>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Eligible Directors: $40,000</w:t>
      </w:r>
    </w:p>
    <w:p>
      <w:pPr>
        <w:spacing w:after="0" w:line="20" w:lineRule="exact"/>
        <w:rPr>
          <w:rFonts w:ascii="Times New Roman" w:cs="Times New Roman" w:eastAsia="Times New Roman" w:hAnsi="Times New Roman"/>
          <w:sz w:val="12"/>
          <w:szCs w:val="12"/>
          <w:color w:val="auto"/>
        </w:rPr>
      </w:pPr>
    </w:p>
    <w:p>
      <w:pPr>
        <w:ind w:left="887" w:hanging="447"/>
        <w:spacing w:after="0"/>
        <w:tabs>
          <w:tab w:leader="none" w:pos="887" w:val="left"/>
        </w:tabs>
        <w:numPr>
          <w:ilvl w:val="1"/>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Non-Executive Chair of the Board Service Retainer (in addition to Eligible Director Service Retainer): $30,000</w:t>
      </w:r>
    </w:p>
    <w:p>
      <w:pPr>
        <w:spacing w:after="0" w:line="142" w:lineRule="exact"/>
        <w:rPr>
          <w:rFonts w:ascii="Times New Roman" w:cs="Times New Roman" w:eastAsia="Times New Roman" w:hAnsi="Times New Roman"/>
          <w:sz w:val="12"/>
          <w:szCs w:val="12"/>
          <w:color w:val="auto"/>
        </w:rPr>
      </w:pPr>
    </w:p>
    <w:p>
      <w:pPr>
        <w:ind w:left="447" w:hanging="447"/>
        <w:spacing w:after="0"/>
        <w:tabs>
          <w:tab w:leader="none" w:pos="447"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Annual Committee Chair Service Retainer</w:t>
      </w:r>
      <w:r>
        <w:rPr>
          <w:rFonts w:ascii="Times New Roman" w:cs="Times New Roman" w:eastAsia="Times New Roman" w:hAnsi="Times New Roman"/>
          <w:sz w:val="12"/>
          <w:szCs w:val="12"/>
          <w:color w:val="auto"/>
        </w:rPr>
        <w:t>:</w:t>
      </w:r>
    </w:p>
    <w:p>
      <w:pPr>
        <w:spacing w:after="0" w:line="155" w:lineRule="exact"/>
        <w:rPr>
          <w:rFonts w:ascii="Times New Roman" w:cs="Times New Roman" w:eastAsia="Times New Roman" w:hAnsi="Times New Roman"/>
          <w:sz w:val="12"/>
          <w:szCs w:val="12"/>
          <w:color w:val="auto"/>
        </w:rPr>
      </w:pPr>
    </w:p>
    <w:p>
      <w:pPr>
        <w:ind w:left="887" w:hanging="447"/>
        <w:spacing w:after="0"/>
        <w:tabs>
          <w:tab w:leader="none" w:pos="887" w:val="left"/>
        </w:tabs>
        <w:numPr>
          <w:ilvl w:val="1"/>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Chair of the Audit Committee: $20,000</w:t>
      </w:r>
    </w:p>
    <w:p>
      <w:pPr>
        <w:spacing w:after="0" w:line="20" w:lineRule="exact"/>
        <w:rPr>
          <w:rFonts w:ascii="Times New Roman" w:cs="Times New Roman" w:eastAsia="Times New Roman" w:hAnsi="Times New Roman"/>
          <w:sz w:val="12"/>
          <w:szCs w:val="12"/>
          <w:color w:val="auto"/>
        </w:rPr>
      </w:pPr>
    </w:p>
    <w:p>
      <w:pPr>
        <w:ind w:left="887" w:hanging="447"/>
        <w:spacing w:after="0"/>
        <w:tabs>
          <w:tab w:leader="none" w:pos="887" w:val="left"/>
        </w:tabs>
        <w:numPr>
          <w:ilvl w:val="1"/>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Chair of the Compensation Committee: $15,000</w:t>
      </w:r>
    </w:p>
    <w:p>
      <w:pPr>
        <w:spacing w:after="0" w:line="8" w:lineRule="exact"/>
        <w:rPr>
          <w:rFonts w:ascii="Times New Roman" w:cs="Times New Roman" w:eastAsia="Times New Roman" w:hAnsi="Times New Roman"/>
          <w:sz w:val="12"/>
          <w:szCs w:val="12"/>
          <w:color w:val="auto"/>
        </w:rPr>
      </w:pPr>
    </w:p>
    <w:p>
      <w:pPr>
        <w:ind w:left="887" w:hanging="447"/>
        <w:spacing w:after="0"/>
        <w:tabs>
          <w:tab w:leader="none" w:pos="887" w:val="left"/>
        </w:tabs>
        <w:numPr>
          <w:ilvl w:val="1"/>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Chair of the Nominating and Corporate Governance Committee: $10,000</w:t>
      </w:r>
    </w:p>
    <w:p>
      <w:pPr>
        <w:spacing w:after="0" w:line="142" w:lineRule="exact"/>
        <w:rPr>
          <w:rFonts w:ascii="Times New Roman" w:cs="Times New Roman" w:eastAsia="Times New Roman" w:hAnsi="Times New Roman"/>
          <w:sz w:val="12"/>
          <w:szCs w:val="12"/>
          <w:color w:val="auto"/>
        </w:rPr>
      </w:pPr>
    </w:p>
    <w:p>
      <w:pPr>
        <w:ind w:left="447" w:hanging="447"/>
        <w:spacing w:after="0"/>
        <w:tabs>
          <w:tab w:leader="none" w:pos="447"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Annual Committee Member Service Retainer (not applicable to Committee Chairs)</w:t>
      </w:r>
      <w:r>
        <w:rPr>
          <w:rFonts w:ascii="Times New Roman" w:cs="Times New Roman" w:eastAsia="Times New Roman" w:hAnsi="Times New Roman"/>
          <w:sz w:val="12"/>
          <w:szCs w:val="12"/>
          <w:color w:val="auto"/>
        </w:rPr>
        <w:t>:</w:t>
      </w:r>
    </w:p>
    <w:p>
      <w:pPr>
        <w:spacing w:after="0" w:line="155" w:lineRule="exact"/>
        <w:rPr>
          <w:rFonts w:ascii="Times New Roman" w:cs="Times New Roman" w:eastAsia="Times New Roman" w:hAnsi="Times New Roman"/>
          <w:sz w:val="12"/>
          <w:szCs w:val="12"/>
          <w:color w:val="auto"/>
        </w:rPr>
      </w:pPr>
    </w:p>
    <w:p>
      <w:pPr>
        <w:ind w:left="887" w:hanging="447"/>
        <w:spacing w:after="0"/>
        <w:tabs>
          <w:tab w:leader="none" w:pos="887" w:val="left"/>
        </w:tabs>
        <w:numPr>
          <w:ilvl w:val="1"/>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the Audit Committee: $10,000</w:t>
      </w:r>
    </w:p>
    <w:p>
      <w:pPr>
        <w:spacing w:after="0" w:line="20" w:lineRule="exact"/>
        <w:rPr>
          <w:rFonts w:ascii="Times New Roman" w:cs="Times New Roman" w:eastAsia="Times New Roman" w:hAnsi="Times New Roman"/>
          <w:sz w:val="12"/>
          <w:szCs w:val="12"/>
          <w:color w:val="auto"/>
        </w:rPr>
      </w:pPr>
    </w:p>
    <w:p>
      <w:pPr>
        <w:ind w:left="887" w:hanging="447"/>
        <w:spacing w:after="0"/>
        <w:tabs>
          <w:tab w:leader="none" w:pos="887" w:val="left"/>
        </w:tabs>
        <w:numPr>
          <w:ilvl w:val="1"/>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the Compensation Committee: $7,500</w:t>
      </w:r>
    </w:p>
    <w:p>
      <w:pPr>
        <w:spacing w:after="0" w:line="8" w:lineRule="exact"/>
        <w:rPr>
          <w:rFonts w:ascii="Times New Roman" w:cs="Times New Roman" w:eastAsia="Times New Roman" w:hAnsi="Times New Roman"/>
          <w:sz w:val="12"/>
          <w:szCs w:val="12"/>
          <w:color w:val="auto"/>
        </w:rPr>
      </w:pPr>
    </w:p>
    <w:p>
      <w:pPr>
        <w:ind w:left="887" w:hanging="447"/>
        <w:spacing w:after="0"/>
        <w:tabs>
          <w:tab w:leader="none" w:pos="887" w:val="left"/>
        </w:tabs>
        <w:numPr>
          <w:ilvl w:val="1"/>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the Nominating and Corporate Governance Committee: $5,000</w:t>
      </w:r>
    </w:p>
    <w:p>
      <w:pPr>
        <w:spacing w:after="0" w:line="14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b w:val="1"/>
          <w:bCs w:val="1"/>
          <w:color w:val="auto"/>
        </w:rPr>
        <w:t>Expenses</w:t>
      </w:r>
    </w:p>
    <w:p>
      <w:pPr>
        <w:spacing w:after="0" w:line="157" w:lineRule="exact"/>
        <w:rPr>
          <w:sz w:val="20"/>
          <w:szCs w:val="20"/>
          <w:color w:val="auto"/>
        </w:rPr>
      </w:pPr>
    </w:p>
    <w:p>
      <w:pPr>
        <w:ind w:left="7" w:right="20"/>
        <w:spacing w:after="0" w:line="291" w:lineRule="auto"/>
        <w:rPr>
          <w:sz w:val="20"/>
          <w:szCs w:val="20"/>
          <w:color w:val="auto"/>
        </w:rPr>
      </w:pPr>
      <w:r>
        <w:rPr>
          <w:rFonts w:ascii="Times New Roman" w:cs="Times New Roman" w:eastAsia="Times New Roman" w:hAnsi="Times New Roman"/>
          <w:sz w:val="12"/>
          <w:szCs w:val="12"/>
          <w:color w:val="auto"/>
        </w:rPr>
        <w:t>The Company will reimburse Eligible Directors for ordinary, necessary and reasonable out-of-pocket travel expenses to cover in-person attendance at and participation in Board and committee meetings; provided, that the Eligible Director timely submit to the Company appropriate documentation substantiating such expenses in accordance with the Company’s travel and expense policy,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7176135" cy="571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48">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7"/>
          </w:cols>
          <w:pgMar w:left="293" w:top="284" w:right="29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2"/>
          <w:szCs w:val="12"/>
          <w:b w:val="1"/>
          <w:bCs w:val="1"/>
          <w:color w:val="auto"/>
        </w:rPr>
        <w:t>Equity Compensation</w:t>
      </w:r>
    </w:p>
    <w:p>
      <w:pPr>
        <w:spacing w:after="0" w:line="1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2"/>
          <w:szCs w:val="12"/>
          <w:color w:val="auto"/>
        </w:rPr>
        <w:t>The equity compensation set forth below will be granted under the Company’s 2024 Equity Incentive Plan (the “</w:t>
      </w:r>
      <w:r>
        <w:rPr>
          <w:rFonts w:ascii="Times New Roman" w:cs="Times New Roman" w:eastAsia="Times New Roman" w:hAnsi="Times New Roman"/>
          <w:sz w:val="12"/>
          <w:szCs w:val="12"/>
          <w:b w:val="1"/>
          <w:bCs w:val="1"/>
          <w:i w:val="1"/>
          <w:iCs w:val="1"/>
          <w:color w:val="auto"/>
        </w:rPr>
        <w:t>Plan</w:t>
      </w:r>
      <w:r>
        <w:rPr>
          <w:rFonts w:ascii="Times New Roman" w:cs="Times New Roman" w:eastAsia="Times New Roman" w:hAnsi="Times New Roman"/>
          <w:sz w:val="12"/>
          <w:szCs w:val="12"/>
          <w:color w:val="auto"/>
        </w:rPr>
        <w:t>”), subject to the approval of the Plan by the Company’s stockholders. All stock options granted under this policy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w:t>
      </w:r>
    </w:p>
    <w:p>
      <w:pPr>
        <w:spacing w:after="0" w:line="11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1.          </w:t>
      </w:r>
      <w:r>
        <w:rPr>
          <w:rFonts w:ascii="Times New Roman" w:cs="Times New Roman" w:eastAsia="Times New Roman" w:hAnsi="Times New Roman"/>
          <w:sz w:val="12"/>
          <w:szCs w:val="12"/>
          <w:u w:val="single" w:color="auto"/>
          <w:color w:val="auto"/>
        </w:rPr>
        <w:t>  Initial Grants</w:t>
      </w:r>
      <w:r>
        <w:rPr>
          <w:rFonts w:ascii="Times New Roman" w:cs="Times New Roman" w:eastAsia="Times New Roman" w:hAnsi="Times New Roman"/>
          <w:sz w:val="12"/>
          <w:szCs w:val="12"/>
          <w:color w:val="auto"/>
        </w:rPr>
        <w:t>: For each Eligible Director who is first elected or appointed to the Board following the Effective Date, on the date of such Eligible Director’s initial election or appointment to the Board (or, if such date is not a market trading day, the first market trading day thereafter), the Eligible Director will automatically, and without further action by the Board or the Compensation Committee of the Board, be granted a stock option to purchase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2"/>
          <w:szCs w:val="12"/>
          <w:color w:val="auto"/>
        </w:rPr>
        <w:t>38,000 shares of Common Stock (the “</w:t>
      </w:r>
      <w:r>
        <w:rPr>
          <w:rFonts w:ascii="Times New Roman" w:cs="Times New Roman" w:eastAsia="Times New Roman" w:hAnsi="Times New Roman"/>
          <w:sz w:val="12"/>
          <w:szCs w:val="12"/>
          <w:b w:val="1"/>
          <w:bCs w:val="1"/>
          <w:i w:val="1"/>
          <w:iCs w:val="1"/>
          <w:color w:val="auto"/>
        </w:rPr>
        <w:t>Initial Grant</w:t>
      </w:r>
      <w:r>
        <w:rPr>
          <w:rFonts w:ascii="Times New Roman" w:cs="Times New Roman" w:eastAsia="Times New Roman" w:hAnsi="Times New Roman"/>
          <w:sz w:val="12"/>
          <w:szCs w:val="12"/>
          <w:color w:val="auto"/>
        </w:rPr>
        <w:t>”). The shares subject to each Initial Grant will vest over a three-year period, with 1/36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2"/>
          <w:szCs w:val="12"/>
          <w:color w:val="auto"/>
        </w:rPr>
        <w:t xml:space="preserve"> of the shares subject to the Initial Grant vesting in equal monthly installments following the date of grant, such that the option is fully vested on the third anniversary of the date of grant, subject to the Eligible Director’s Continuous Service (as defined in the Plan) through each such vesting date, and will vest in full upon a Change in Control (as defined in the Plan), subject to the Eligible Director’s Continuous Service through such date.</w:t>
      </w:r>
    </w:p>
    <w:p>
      <w:pPr>
        <w:spacing w:after="0" w:line="13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2.           </w:t>
      </w:r>
      <w:r>
        <w:rPr>
          <w:rFonts w:ascii="Times New Roman" w:cs="Times New Roman" w:eastAsia="Times New Roman" w:hAnsi="Times New Roman"/>
          <w:sz w:val="12"/>
          <w:szCs w:val="12"/>
          <w:u w:val="single" w:color="auto"/>
          <w:color w:val="auto"/>
        </w:rPr>
        <w:t>  Annual Grants</w:t>
      </w:r>
      <w:r>
        <w:rPr>
          <w:rFonts w:ascii="Times New Roman" w:cs="Times New Roman" w:eastAsia="Times New Roman" w:hAnsi="Times New Roman"/>
          <w:sz w:val="12"/>
          <w:szCs w:val="12"/>
          <w:color w:val="auto"/>
        </w:rPr>
        <w:t>: On the date of each annual stockholder meeting of the Company held after the Effective Date, each Eligible Director who continues to serve as a non-employee member of the Board following such stockholder meeting (excluding any Eligible Director who is first appointed or elected by the Board at such meeting) will automatically, and without further action by the Board or the Compensation Committee of the Board, be granted a stock option to purchase 19,500 shares of Common Stock (the “</w:t>
      </w:r>
      <w:r>
        <w:rPr>
          <w:rFonts w:ascii="Times New Roman" w:cs="Times New Roman" w:eastAsia="Times New Roman" w:hAnsi="Times New Roman"/>
          <w:sz w:val="12"/>
          <w:szCs w:val="12"/>
          <w:b w:val="1"/>
          <w:bCs w:val="1"/>
          <w:i w:val="1"/>
          <w:iCs w:val="1"/>
          <w:color w:val="auto"/>
        </w:rPr>
        <w:t>Annual Grant</w:t>
      </w:r>
      <w:r>
        <w:rPr>
          <w:rFonts w:ascii="Times New Roman" w:cs="Times New Roman" w:eastAsia="Times New Roman" w:hAnsi="Times New Roman"/>
          <w:sz w:val="12"/>
          <w:szCs w:val="12"/>
          <w:color w:val="auto"/>
        </w:rPr>
        <w:t>”). The shares subject to the Annual Grant will vest in full on the first anniversary of the date of grant, subject to the Eligible Director’s Continuous Service through such vesting date; provided, that the Annual Grant will in any case be fully vested on the date of Company’s next annual stockholder meeting, subject to the Eligible Director’s Continuous Service through such vesting date; provided, further, that the Annual Grant will vest in full upon a Change in Control, subject to the Eligible Director’s Continuous Service through such date. With respect to an Eligible Director who, following the Effective Date, was first elected or appointed to the Board on a date other than the date of the Company’s annual stockholder meeting, upon the Company’s first annual stockholder meeting following such Eligible Director’s first joining the Board, such Eligible Director’s first Annual Grant will be pro-rated to reflect the time between such Eligible Director’s election or appointment date and the date of such first annual stockholder meeting.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Non-Employee Director Compensation Limit</w:t>
      </w:r>
    </w:p>
    <w:p>
      <w:pPr>
        <w:spacing w:after="0" w:line="157"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2"/>
          <w:szCs w:val="12"/>
          <w:color w:val="auto"/>
        </w:rPr>
        <w:t>Notwithstanding the foregoing, the aggregate value of all compensation granted or paid, as applicable, to any individual for service as a Non-Employee Director (as defined in the Plan) shall in no event exceed the limits set forth in Section 3(d) of the Plan.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9">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424" w:name="page425"/>
    <w:bookmarkEnd w:id="424"/>
    <w:p>
      <w:pPr>
        <w:jc w:val="center"/>
        <w:spacing w:after="0"/>
        <w:rPr>
          <w:sz w:val="20"/>
          <w:szCs w:val="20"/>
          <w:color w:val="auto"/>
        </w:rPr>
      </w:pPr>
      <w:r>
        <w:rPr>
          <w:rFonts w:ascii="Times New Roman" w:cs="Times New Roman" w:eastAsia="Times New Roman" w:hAnsi="Times New Roman"/>
          <w:sz w:val="12"/>
          <w:szCs w:val="12"/>
          <w:color w:val="auto"/>
        </w:rPr>
        <w:t> </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Exhibit 10.10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INDEMNIFICATION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This Indemnification Agreement (this “</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xml:space="preserve">”) is dated as of __________, and is between </w:t>
      </w:r>
      <w:r>
        <w:rPr>
          <w:rFonts w:ascii="Times New Roman" w:cs="Times New Roman" w:eastAsia="Times New Roman" w:hAnsi="Times New Roman"/>
          <w:sz w:val="12"/>
          <w:szCs w:val="12"/>
          <w:b w:val="1"/>
          <w:bCs w:val="1"/>
          <w:color w:val="auto"/>
        </w:rPr>
        <w:t>Alumis Inc.</w:t>
      </w:r>
      <w:r>
        <w:rPr>
          <w:rFonts w:ascii="Times New Roman" w:cs="Times New Roman" w:eastAsia="Times New Roman" w:hAnsi="Times New Roman"/>
          <w:sz w:val="12"/>
          <w:szCs w:val="12"/>
          <w:color w:val="auto"/>
        </w:rPr>
        <w:t>, a Delaware corporation (together with its subsidiaries,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and __________ (“</w:t>
      </w:r>
      <w:r>
        <w:rPr>
          <w:rFonts w:ascii="Times New Roman" w:cs="Times New Roman" w:eastAsia="Times New Roman" w:hAnsi="Times New Roman"/>
          <w:sz w:val="12"/>
          <w:szCs w:val="12"/>
          <w:b w:val="1"/>
          <w:bCs w:val="1"/>
          <w:i w:val="1"/>
          <w:iCs w:val="1"/>
          <w:color w:val="auto"/>
        </w:rPr>
        <w:t>Indemnitee</w:t>
      </w:r>
      <w:r>
        <w:rPr>
          <w:rFonts w:ascii="Times New Roman" w:cs="Times New Roman" w:eastAsia="Times New Roman" w:hAnsi="Times New Roman"/>
          <w:sz w:val="12"/>
          <w:szCs w:val="12"/>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12"/>
          <w:szCs w:val="12"/>
          <w:color w:val="auto"/>
        </w:rPr>
        <w:t>            Indemnitee’s service to the Company substantially benefits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B.</w:t>
      </w:r>
      <w:r>
        <w:rPr>
          <w:rFonts w:ascii="Times New Roman" w:cs="Times New Roman" w:eastAsia="Times New Roman" w:hAnsi="Times New Roman"/>
          <w:sz w:val="12"/>
          <w:szCs w:val="12"/>
          <w:color w:val="auto"/>
        </w:rPr>
        <w:t>            Individuals are reluctant to serve as directors or officers of corporations or in certain other capacities unless they are provided with adequate protection through insurance or indemnification against the risks of claims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actions against them arising out of such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C.</w:t>
      </w:r>
      <w:r>
        <w:rPr>
          <w:rFonts w:ascii="Times New Roman" w:cs="Times New Roman" w:eastAsia="Times New Roman" w:hAnsi="Times New Roman"/>
          <w:sz w:val="12"/>
          <w:szCs w:val="12"/>
          <w:color w:val="auto"/>
        </w:rPr>
        <w:t>            Indemnitee does not regard the protection currently provided by applicable law, the Company’s certificate of incorporation and bylaws, and any insurance as adequate under the present circumstances, and Indemnitee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may not be willing to serve as a director or officer without additional protection.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D.</w:t>
      </w:r>
      <w:r>
        <w:rPr>
          <w:rFonts w:ascii="Times New Roman" w:cs="Times New Roman" w:eastAsia="Times New Roman" w:hAnsi="Times New Roman"/>
          <w:sz w:val="12"/>
          <w:szCs w:val="12"/>
          <w:color w:val="auto"/>
        </w:rPr>
        <w:t>            In order to induce Indemnitee to continue to provide services to the Company, it is reasonable, prudent and necessary for the Company to contractually obligate itself to indemnify, and to advance expenses on behalf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Indemnitee as permitted by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2"/>
          <w:szCs w:val="12"/>
          <w:b w:val="1"/>
          <w:bCs w:val="1"/>
          <w:color w:val="auto"/>
        </w:rPr>
        <w:t>E.</w:t>
      </w:r>
      <w:r>
        <w:rPr>
          <w:rFonts w:ascii="Times New Roman" w:cs="Times New Roman" w:eastAsia="Times New Roman" w:hAnsi="Times New Roman"/>
          <w:sz w:val="12"/>
          <w:szCs w:val="12"/>
          <w:color w:val="auto"/>
        </w:rPr>
        <w:t>             This Agreement is a supplement to and in furtherance of the indemnification provided in the Company’s certificate of incorporation and bylaws, and any resolutions adopted pursuant thereto, and this Agreement shall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not be deemed a substitute therefor, nor shall this Agreement be deemed to limit, diminish or abrogate, any rights of Indemnitee thereunder.  </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parties therefore agree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1.            Definitions</w:t>
      </w:r>
      <w:r>
        <w:rPr>
          <w:rFonts w:ascii="Times New Roman" w:cs="Times New Roman" w:eastAsia="Times New Roman" w:hAnsi="Times New Roman"/>
          <w:sz w:val="12"/>
          <w:szCs w:val="12"/>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i w:val="1"/>
          <w:iCs w:val="1"/>
          <w:color w:val="auto"/>
        </w:rPr>
        <w:t>Change in Control</w:t>
      </w:r>
      <w:r>
        <w:rPr>
          <w:rFonts w:ascii="Times New Roman" w:cs="Times New Roman" w:eastAsia="Times New Roman" w:hAnsi="Times New Roman"/>
          <w:sz w:val="12"/>
          <w:szCs w:val="12"/>
          <w:color w:val="auto"/>
        </w:rPr>
        <w:t>” shall be deemed to occur upon the earliest to occur after the date of this Agreement of any of the following events: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i w:val="1"/>
          <w:iCs w:val="1"/>
          <w:color w:val="auto"/>
        </w:rPr>
        <w:t>Acquisition of Stock by Third Party.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Person (as defined below) becomes the Beneficial Owner (as defined below), directly or indirectly, of securities of the Company representing 15% or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the combined voting power of the Company’s then outstanding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i w:val="1"/>
          <w:iCs w:val="1"/>
          <w:color w:val="auto"/>
        </w:rPr>
        <w:t>Change in Board Composition.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During any period of two consecutive years (not including any period prior to the execution of this Agreement), individuals who at the beginning of such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constituted the Company’s board of directors and any Approved Directors cease for any reason to constitute at least a majority of the members of the Company’s board of directors. “</w:t>
      </w:r>
      <w:r>
        <w:rPr>
          <w:rFonts w:ascii="Times New Roman" w:cs="Times New Roman" w:eastAsia="Times New Roman" w:hAnsi="Times New Roman"/>
          <w:sz w:val="12"/>
          <w:szCs w:val="12"/>
          <w:b w:val="1"/>
          <w:bCs w:val="1"/>
          <w:i w:val="1"/>
          <w:iCs w:val="1"/>
          <w:color w:val="auto"/>
        </w:rPr>
        <w:t>Approved Directors</w:t>
      </w:r>
      <w:r>
        <w:rPr>
          <w:rFonts w:ascii="Times New Roman" w:cs="Times New Roman" w:eastAsia="Times New Roman" w:hAnsi="Times New Roman"/>
          <w:sz w:val="12"/>
          <w:szCs w:val="12"/>
          <w:color w:val="auto"/>
        </w:rPr>
        <w:t>” means new directors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than a director designated by a person who has entered into an agreement with the Company to effect a transaction described in </w:t>
      </w:r>
      <w:r>
        <w:rPr>
          <w:rFonts w:ascii="Times New Roman" w:cs="Times New Roman" w:eastAsia="Times New Roman" w:hAnsi="Times New Roman"/>
          <w:sz w:val="12"/>
          <w:szCs w:val="12"/>
          <w:u w:val="single" w:color="auto"/>
          <w:color w:val="auto"/>
        </w:rPr>
        <w:t>Section 1(a)(i)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1(a)(iii) </w:t>
      </w:r>
      <w:r>
        <w:rPr>
          <w:rFonts w:ascii="Times New Roman" w:cs="Times New Roman" w:eastAsia="Times New Roman" w:hAnsi="Times New Roman"/>
          <w:sz w:val="12"/>
          <w:szCs w:val="12"/>
          <w:color w:val="auto"/>
        </w:rPr>
        <w:t xml:space="preserve">or </w:t>
      </w:r>
      <w:r>
        <w:rPr>
          <w:rFonts w:ascii="Times New Roman" w:cs="Times New Roman" w:eastAsia="Times New Roman" w:hAnsi="Times New Roman"/>
          <w:sz w:val="12"/>
          <w:szCs w:val="12"/>
          <w:u w:val="single" w:color="auto"/>
          <w:color w:val="auto"/>
        </w:rPr>
        <w:t>1(a)(iv) </w:t>
      </w:r>
      <w:r>
        <w:rPr>
          <w:rFonts w:ascii="Times New Roman" w:cs="Times New Roman" w:eastAsia="Times New Roman" w:hAnsi="Times New Roman"/>
          <w:sz w:val="12"/>
          <w:szCs w:val="12"/>
          <w:color w:val="auto"/>
        </w:rPr>
        <w:t>hereof) whose election or nomination by the Company’s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directors (or, if applicable, by the Company’s stockholders) was approved by a vote of at least two-thirds of the directors then still in office who either were directors at the beginning of such two-year period or whose election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nomination for election was previously so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50">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5"/>
          <w:szCs w:val="15"/>
          <w:color w:val="auto"/>
        </w:rPr>
        <w:t>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b w:val="1"/>
          <w:bCs w:val="1"/>
          <w:color w:val="auto"/>
        </w:rPr>
        <w:t>(iii)            </w:t>
      </w:r>
      <w:r>
        <w:rPr>
          <w:rFonts w:ascii="Times New Roman" w:cs="Times New Roman" w:eastAsia="Times New Roman" w:hAnsi="Times New Roman"/>
          <w:sz w:val="12"/>
          <w:szCs w:val="12"/>
          <w:i w:val="1"/>
          <w:iCs w:val="1"/>
          <w:color w:val="auto"/>
        </w:rPr>
        <w:t>Corporate Transactions.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effective date of a merger or consolidation of the Company with any other entity, other than a merger or consolidation which would result in the voting securities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outstanding immediately prior to such merger or consolidation continuing to represent (either by remaining outstanding or by being converted into voting securities of the surviving entity) more than 50%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combined voting power of the voting securities of the surviving entity outstanding immediately after such merger or consolidation and with the power to elect at least a majority of the board of directors or other governing body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such surviving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b w:val="1"/>
          <w:bCs w:val="1"/>
          <w:color w:val="auto"/>
        </w:rPr>
        <w:t>(iv)            </w:t>
      </w:r>
      <w:r>
        <w:rPr>
          <w:rFonts w:ascii="Times New Roman" w:cs="Times New Roman" w:eastAsia="Times New Roman" w:hAnsi="Times New Roman"/>
          <w:sz w:val="12"/>
          <w:szCs w:val="12"/>
          <w:i w:val="1"/>
          <w:iCs w:val="1"/>
          <w:color w:val="auto"/>
        </w:rPr>
        <w:t>Liquidation.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approval by the Company’s stockholders of a complete liquidation or the dissolution of the Company or an agreement for the sale, lease or disposition by the Company of (in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transaction or a series of transactions) all or substantially all of the Company’s assets;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b w:val="1"/>
          <w:bCs w:val="1"/>
          <w:color w:val="auto"/>
        </w:rPr>
        <w:t>(v)            </w:t>
      </w:r>
      <w:r>
        <w:rPr>
          <w:rFonts w:ascii="Times New Roman" w:cs="Times New Roman" w:eastAsia="Times New Roman" w:hAnsi="Times New Roman"/>
          <w:sz w:val="12"/>
          <w:szCs w:val="12"/>
          <w:i w:val="1"/>
          <w:iCs w:val="1"/>
          <w:color w:val="auto"/>
        </w:rPr>
        <w:t>Other Events.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other event of a nature that would be required to be reported in response to Item 6(e) of Schedule 14A of Regulation 14A (or in response to any similar item on any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schedule or form) promulgated under the Exchange Act (as defined below), whether or not the Company is then subject to such reporting requirement, </w:t>
      </w:r>
      <w:r>
        <w:rPr>
          <w:rFonts w:ascii="Times New Roman" w:cs="Times New Roman" w:eastAsia="Times New Roman" w:hAnsi="Times New Roman"/>
          <w:sz w:val="12"/>
          <w:szCs w:val="12"/>
          <w:i w:val="1"/>
          <w:iCs w:val="1"/>
          <w:color w:val="auto"/>
        </w:rPr>
        <w:t>except</w:t>
      </w:r>
      <w:r>
        <w:rPr>
          <w:rFonts w:ascii="Times New Roman" w:cs="Times New Roman" w:eastAsia="Times New Roman" w:hAnsi="Times New Roman"/>
          <w:sz w:val="12"/>
          <w:szCs w:val="12"/>
          <w:color w:val="auto"/>
        </w:rPr>
        <w:t xml:space="preserve"> the completion of the Company’s initial public offering shall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considered a Change in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 xml:space="preserve">For purposes of this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the following terms shall have the following meanings: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2"/>
          <w:szCs w:val="12"/>
          <w:b w:val="1"/>
          <w:bCs w:val="1"/>
          <w:color w:val="auto"/>
        </w:rPr>
        <w:t>(1)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Person</w:t>
      </w:r>
      <w:r>
        <w:rPr>
          <w:rFonts w:ascii="Times New Roman" w:cs="Times New Roman" w:eastAsia="Times New Roman" w:hAnsi="Times New Roman"/>
          <w:sz w:val="12"/>
          <w:szCs w:val="12"/>
          <w:color w:val="auto"/>
        </w:rPr>
        <w:t>” shall have the meaning as set forth in Sections 13(d) and 14(d) of the Exchange Act;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w:t>
      </w:r>
      <w:r>
        <w:rPr>
          <w:rFonts w:ascii="Times New Roman" w:cs="Times New Roman" w:eastAsia="Times New Roman" w:hAnsi="Times New Roman"/>
          <w:sz w:val="12"/>
          <w:szCs w:val="12"/>
          <w:b w:val="1"/>
          <w:bCs w:val="1"/>
          <w:i w:val="1"/>
          <w:iCs w:val="1"/>
          <w:color w:val="auto"/>
        </w:rPr>
        <w:t>Person</w:t>
      </w:r>
      <w:r>
        <w:rPr>
          <w:rFonts w:ascii="Times New Roman" w:cs="Times New Roman" w:eastAsia="Times New Roman" w:hAnsi="Times New Roman"/>
          <w:sz w:val="12"/>
          <w:szCs w:val="12"/>
          <w:color w:val="auto"/>
        </w:rPr>
        <w:t>” shall exclude (i) the Company, (ii) any trustee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fiduciary holding securities under an employee benefit plan of the Company, and (iii) any corporation owned, directly or indirectly, by the stockholders of the Company in substantially the same proportions as their ownership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stock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2"/>
          <w:szCs w:val="12"/>
          <w:b w:val="1"/>
          <w:bCs w:val="1"/>
          <w:color w:val="auto"/>
        </w:rPr>
        <w:t>(2)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Beneficial Owner</w:t>
      </w:r>
      <w:r>
        <w:rPr>
          <w:rFonts w:ascii="Times New Roman" w:cs="Times New Roman" w:eastAsia="Times New Roman" w:hAnsi="Times New Roman"/>
          <w:sz w:val="12"/>
          <w:szCs w:val="12"/>
          <w:color w:val="auto"/>
        </w:rPr>
        <w:t>” shall have the meaning given to such term in Rule 13d-3 under the Exchange Act;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w:t>
      </w:r>
      <w:r>
        <w:rPr>
          <w:rFonts w:ascii="Times New Roman" w:cs="Times New Roman" w:eastAsia="Times New Roman" w:hAnsi="Times New Roman"/>
          <w:sz w:val="12"/>
          <w:szCs w:val="12"/>
          <w:b w:val="1"/>
          <w:bCs w:val="1"/>
          <w:i w:val="1"/>
          <w:iCs w:val="1"/>
          <w:color w:val="auto"/>
        </w:rPr>
        <w:t>Beneficial Owner</w:t>
      </w:r>
      <w:r>
        <w:rPr>
          <w:rFonts w:ascii="Times New Roman" w:cs="Times New Roman" w:eastAsia="Times New Roman" w:hAnsi="Times New Roman"/>
          <w:sz w:val="12"/>
          <w:szCs w:val="12"/>
          <w:color w:val="auto"/>
        </w:rPr>
        <w:t>” shall exclude any Person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becoming a Beneficial Owner by reason of (i) the Company’s stockholders approving a merger of the Company with another entity or (ii) the Company’s board of directors approving a sale of securities by the Company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Corporate Status</w:t>
      </w:r>
      <w:r>
        <w:rPr>
          <w:rFonts w:ascii="Times New Roman" w:cs="Times New Roman" w:eastAsia="Times New Roman" w:hAnsi="Times New Roman"/>
          <w:sz w:val="12"/>
          <w:szCs w:val="12"/>
          <w:color w:val="auto"/>
        </w:rPr>
        <w:t>” describes the status of a person who is or was a director, trustee, general partner, managing member, officer, employee, agent or fiduciary of the Company or any other Enterprise,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including as a deemed fiduciary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DGCL</w:t>
      </w:r>
      <w:r>
        <w:rPr>
          <w:rFonts w:ascii="Times New Roman" w:cs="Times New Roman" w:eastAsia="Times New Roman" w:hAnsi="Times New Roman"/>
          <w:sz w:val="12"/>
          <w:szCs w:val="12"/>
          <w:color w:val="auto"/>
        </w:rPr>
        <w:t>” means the General Corporation Law of the State of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Disinterested Director</w:t>
      </w:r>
      <w:r>
        <w:rPr>
          <w:rFonts w:ascii="Times New Roman" w:cs="Times New Roman" w:eastAsia="Times New Roman" w:hAnsi="Times New Roman"/>
          <w:sz w:val="12"/>
          <w:szCs w:val="12"/>
          <w:color w:val="auto"/>
        </w:rPr>
        <w:t>” means a director of the Company who is not and was not a party to the Proceeding in respect of which indemnification is sought by Indemnitee.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879"/>
        <w:spacing w:after="0" w:line="269" w:lineRule="auto"/>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Enterprise</w:t>
      </w:r>
      <w:r>
        <w:rPr>
          <w:rFonts w:ascii="Times New Roman" w:cs="Times New Roman" w:eastAsia="Times New Roman" w:hAnsi="Times New Roman"/>
          <w:sz w:val="12"/>
          <w:szCs w:val="12"/>
          <w:color w:val="auto"/>
        </w:rPr>
        <w:t>” means the Company and any other corporation, partnership, limited liability company, joint venture, trust, employee benefit plan or other enterprise of which Indemnitee is or was serving at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request of the Company as a director, trustee, general partner, managing member, officer, employee, agent or fiduciary.  </w:t>
      </w:r>
    </w:p>
    <w:p>
      <w:pPr>
        <w:spacing w:after="0" w:line="130" w:lineRule="exact"/>
        <w:rPr>
          <w:sz w:val="20"/>
          <w:szCs w:val="20"/>
          <w:color w:val="auto"/>
        </w:rPr>
      </w:pPr>
    </w:p>
    <w:p>
      <w:pPr>
        <w:ind w:firstLine="879"/>
        <w:spacing w:after="0" w:line="257" w:lineRule="auto"/>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Expenses</w:t>
      </w:r>
      <w:r>
        <w:rPr>
          <w:rFonts w:ascii="Times New Roman" w:cs="Times New Roman" w:eastAsia="Times New Roman" w:hAnsi="Times New Roman"/>
          <w:sz w:val="12"/>
          <w:szCs w:val="12"/>
          <w:color w:val="auto"/>
        </w:rPr>
        <w:t>” include all reasonable and actually incurred attorneys’ fees, retainers, court costs, transcript costs, fees and costs of experts, witness fees, travel expenses, duplicating costs, printing and binding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 as bond or other appeal bond or their equivalent, and (ii) for purposes of </w:t>
      </w:r>
      <w:r>
        <w:rPr>
          <w:rFonts w:ascii="Times New Roman" w:cs="Times New Roman" w:eastAsia="Times New Roman" w:hAnsi="Times New Roman"/>
          <w:sz w:val="12"/>
          <w:szCs w:val="12"/>
          <w:u w:val="single" w:color="auto"/>
          <w:color w:val="auto"/>
        </w:rPr>
        <w:t>Section 12(d) </w:t>
      </w:r>
      <w:r>
        <w:rPr>
          <w:rFonts w:ascii="Times New Roman" w:cs="Times New Roman" w:eastAsia="Times New Roman" w:hAnsi="Times New Roman"/>
          <w:sz w:val="12"/>
          <w:szCs w:val="12"/>
          <w:color w:val="auto"/>
        </w:rPr>
        <w:t>hereof, Expenses incurred by Indemnitee in connection with the interpretation, enforcement or defense of Indemnitee’s rights under this Agreement, by litigation, arbitration or in connection with other dispute resolution, or under any directors’ and officers’ liability insurance policies maintained by the Company. Expenses, however, shall not include amounts paid in settlement by Indemnitee or the amount of judgments or fines against Indemnitee.  </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51">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194" w:right="29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5"/>
          <w:szCs w:val="15"/>
          <w:color w:val="auto"/>
        </w:rPr>
        <w:t>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(g)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Exchange Act</w:t>
      </w:r>
      <w:r>
        <w:rPr>
          <w:rFonts w:ascii="Times New Roman" w:cs="Times New Roman" w:eastAsia="Times New Roman" w:hAnsi="Times New Roman"/>
          <w:sz w:val="12"/>
          <w:szCs w:val="12"/>
          <w:color w:val="auto"/>
        </w:rPr>
        <w:t>” means the Securities 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879"/>
        <w:spacing w:after="0" w:line="259" w:lineRule="auto"/>
        <w:rPr>
          <w:sz w:val="20"/>
          <w:szCs w:val="20"/>
          <w:color w:val="auto"/>
        </w:rPr>
      </w:pPr>
      <w:r>
        <w:rPr>
          <w:rFonts w:ascii="Times New Roman" w:cs="Times New Roman" w:eastAsia="Times New Roman" w:hAnsi="Times New Roman"/>
          <w:sz w:val="12"/>
          <w:szCs w:val="12"/>
          <w:b w:val="1"/>
          <w:bCs w:val="1"/>
          <w:color w:val="auto"/>
        </w:rPr>
        <w:t>(h)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Independent Counsel</w:t>
      </w:r>
      <w:r>
        <w:rPr>
          <w:rFonts w:ascii="Times New Roman" w:cs="Times New Roman" w:eastAsia="Times New Roman" w:hAnsi="Times New Roman"/>
          <w:sz w:val="12"/>
          <w:szCs w:val="12"/>
          <w:color w:val="auto"/>
        </w:rPr>
        <w:t>” means a law firm, or a partner or member of a law firm, that is experienced in matters of corporation law and neither presently is, nor in the past five years has been, retained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represent (i) the Company, any Enterprise or Indemnitee in any matter material to any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w:t>
      </w:r>
      <w:r>
        <w:rPr>
          <w:rFonts w:ascii="Times New Roman" w:cs="Times New Roman" w:eastAsia="Times New Roman" w:hAnsi="Times New Roman"/>
          <w:sz w:val="12"/>
          <w:szCs w:val="12"/>
          <w:b w:val="1"/>
          <w:bCs w:val="1"/>
          <w:i w:val="1"/>
          <w:iCs w:val="1"/>
          <w:color w:val="auto"/>
        </w:rPr>
        <w:t>Independent Counsel</w:t>
      </w:r>
      <w:r>
        <w:rPr>
          <w:rFonts w:ascii="Times New Roman" w:cs="Times New Roman" w:eastAsia="Times New Roman" w:hAnsi="Times New Roman"/>
          <w:sz w:val="12"/>
          <w:szCs w:val="12"/>
          <w:color w:val="auto"/>
        </w:rPr>
        <w:t>” shall not include any person who, under the applicable standards of professional conduct then prevailing, would have a conflict of interest in representing either the Company or Indemnitee in an action to determine Indemnitee’s rights under this Agreement.  </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Proceeding</w:t>
      </w:r>
      <w:r>
        <w:rPr>
          <w:rFonts w:ascii="Times New Roman" w:cs="Times New Roman" w:eastAsia="Times New Roman" w:hAnsi="Times New Roman"/>
          <w:sz w:val="12"/>
          <w:szCs w:val="12"/>
          <w:color w:val="auto"/>
        </w:rPr>
        <w:t>” means any threatened, pending or completed action, suit, arbitration, mediation, alternate dispute resolution mechanism, investigation, inquiry, administrative hearing or proceeding, whether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brought in the right of the Company or otherwise and whether of a civil, criminal, administrative or investigative nature, whether formal or informal, including any appeal therefrom and including without limitation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Proceeding pending as of the date of this Agreement, in which Indemnitee was, is or will be involved as a party, a potential party, a non-party witness or otherwise by reason of (i) the fact that Indemnitee is or was a director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officer of the Company, (ii) any action taken by Indemnitee or any action or inaction on Indemnitee’s part while acting as a director or officer of the Company or (iii) the fact that Indemnitee is or was serving at the request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as a director, trustee, general partner, managing member, officer, employee, agent or fiduciary of the Company or any other Enterprise, in each case whether or not serving in such capacity at the time any liability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Expense is incurred for which indemnification or advancement of expenses can be provided 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(j)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Sarbanes-Oxley Act</w:t>
      </w:r>
      <w:r>
        <w:rPr>
          <w:rFonts w:ascii="Times New Roman" w:cs="Times New Roman" w:eastAsia="Times New Roman" w:hAnsi="Times New Roman"/>
          <w:sz w:val="12"/>
          <w:szCs w:val="12"/>
          <w:color w:val="auto"/>
        </w:rPr>
        <w:t>” means the Sarbanes-Oxley Act of 2002,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(k)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fines</w:t>
      </w:r>
      <w:r>
        <w:rPr>
          <w:rFonts w:ascii="Times New Roman" w:cs="Times New Roman" w:eastAsia="Times New Roman" w:hAnsi="Times New Roman"/>
          <w:sz w:val="12"/>
          <w:szCs w:val="12"/>
          <w:color w:val="auto"/>
        </w:rPr>
        <w:t>” shall include any excise taxes assessed on a person with respect to any employee benefit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firstLine="879"/>
        <w:spacing w:after="0" w:line="262" w:lineRule="auto"/>
        <w:rPr>
          <w:sz w:val="20"/>
          <w:szCs w:val="20"/>
          <w:color w:val="auto"/>
        </w:rPr>
      </w:pPr>
      <w:r>
        <w:rPr>
          <w:rFonts w:ascii="Times New Roman" w:cs="Times New Roman" w:eastAsia="Times New Roman" w:hAnsi="Times New Roman"/>
          <w:sz w:val="12"/>
          <w:szCs w:val="12"/>
          <w:b w:val="1"/>
          <w:bCs w:val="1"/>
          <w:color w:val="auto"/>
        </w:rPr>
        <w:t>(l)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serving at the request of the Company</w:t>
      </w:r>
      <w:r>
        <w:rPr>
          <w:rFonts w:ascii="Times New Roman" w:cs="Times New Roman" w:eastAsia="Times New Roman" w:hAnsi="Times New Roman"/>
          <w:sz w:val="12"/>
          <w:szCs w:val="12"/>
          <w:color w:val="auto"/>
        </w:rPr>
        <w:t>” shall include, without limitation, any service as a director, officer, employee or agent of the Company which imposes duties on, or involves services by, such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director, officer, employee or agent with respect to an employee benefit plan, its participants or beneficiaries, including as a deemed fiduciary thereto; and a person who acted in good faith and in a manner he or she reasonably believed to be in the best interests of the participants and beneficiaries of an employee benefit plan shall be deemed to have acted in a manner “</w:t>
      </w:r>
      <w:r>
        <w:rPr>
          <w:rFonts w:ascii="Times New Roman" w:cs="Times New Roman" w:eastAsia="Times New Roman" w:hAnsi="Times New Roman"/>
          <w:sz w:val="12"/>
          <w:szCs w:val="12"/>
          <w:b w:val="1"/>
          <w:bCs w:val="1"/>
          <w:i w:val="1"/>
          <w:iCs w:val="1"/>
          <w:color w:val="auto"/>
        </w:rPr>
        <w:t>not opposed to the best interests of the Company</w:t>
      </w:r>
      <w:r>
        <w:rPr>
          <w:rFonts w:ascii="Times New Roman" w:cs="Times New Roman" w:eastAsia="Times New Roman" w:hAnsi="Times New Roman"/>
          <w:sz w:val="12"/>
          <w:szCs w:val="12"/>
          <w:color w:val="auto"/>
        </w:rPr>
        <w:t>.”  </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2.            Indemnity in Third-Party Proceedings</w:t>
      </w:r>
      <w:r>
        <w:rPr>
          <w:rFonts w:ascii="Times New Roman" w:cs="Times New Roman" w:eastAsia="Times New Roman" w:hAnsi="Times New Roman"/>
          <w:sz w:val="12"/>
          <w:szCs w:val="12"/>
          <w:color w:val="auto"/>
        </w:rPr>
        <w:t>. The Company shall indemnify Indemnitee in accordance with the provisions of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if Indemnitee is, or is threatened to be made, a party to or a participant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Proceeding, other than a Proceeding by or in the right of the Company to procure a judgment in its favor. Pursuant to this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Indemnitee shall be indemnified to the fullest extent permitted by applicable law against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Expenses, judgments, fines and settlement amounts actually and reasonably incurred by Indemnitee or on his or her behalf in connection with such Proceeding or any claim, issue or matter therein, if Indemnitee acted in good faith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in a manner he or she reasonably believed to be in or not opposed to the best interests of the Company and, with respect to any criminal action or Proceeding, had no reasonable cause to believe that his or her conduct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unlawful.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52">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194" w:right="29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5"/>
          <w:szCs w:val="15"/>
          <w:color w:val="auto"/>
        </w:rPr>
        <w:t>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2"/>
          <w:szCs w:val="12"/>
          <w:b w:val="1"/>
          <w:bCs w:val="1"/>
          <w:color w:val="auto"/>
        </w:rPr>
        <w:t>3.            Indemnity in Proceedings by or in the Right of the Company</w:t>
      </w:r>
      <w:r>
        <w:rPr>
          <w:rFonts w:ascii="Times New Roman" w:cs="Times New Roman" w:eastAsia="Times New Roman" w:hAnsi="Times New Roman"/>
          <w:sz w:val="12"/>
          <w:szCs w:val="12"/>
          <w:color w:val="auto"/>
        </w:rPr>
        <w:t>. The Company shall indemnify Indemnitee in accordance with the provisions of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if Indemnitee is, or is threatened to be made, a party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or a participant in any Proceeding by or in the right of the Company to procure a judgment in its favor. Pursuant to this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Indemnitee shall be indemnified to the fullest extent permitted by applicable law against all Expenses actually and reasonably incurred by Indemnitee or on Indemnitee’s behalf in connection with such Proceeding or any claim, issue or matter therein, if Indemnitee acted in good faith and in a manner he or she reasonably believed to be in or not opposed to the best interests of the Company. No indemnification for Expenses shall be made under this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in respect of any claim, issue or matter as to which Indemnitee shall have been finally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  </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4.            Indemnification for Expenses of a Party Who is Wholly or Partly Successful</w:t>
      </w:r>
      <w:r>
        <w:rPr>
          <w:rFonts w:ascii="Times New Roman" w:cs="Times New Roman" w:eastAsia="Times New Roman" w:hAnsi="Times New Roman"/>
          <w:sz w:val="12"/>
          <w:szCs w:val="12"/>
          <w:color w:val="auto"/>
        </w:rPr>
        <w:t>. To the extent that Indemnitee is a party to or a participant in and is successful (on the merits or otherwise) in defense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Proceeding or any claim, issue or matter therein, the Company shall indemnify Indemnitee against all Expenses actually and reasonably incurred by Indemnitee or on Indemnitee’s behalf in connection therewith. If Indemnitee is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wholly successful in such Proceeding but is successful, on the merits or otherwise, as to one or more but less than all claims, issues or matters in such Proceeding, the Company shall indemnify Indemnitee against all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actually and reasonably incurred by him or her or on his or her behalf in connection with each successfully resolved claim, issue or matter. For purposes of this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the termination of any claim, issue or matter in such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Proceeding by dismissal, with or without prejudice), motion for summary judgment, settlement (with or without court approval), or upon a plea of </w:t>
      </w:r>
      <w:r>
        <w:rPr>
          <w:rFonts w:ascii="Times New Roman" w:cs="Times New Roman" w:eastAsia="Times New Roman" w:hAnsi="Times New Roman"/>
          <w:sz w:val="12"/>
          <w:szCs w:val="12"/>
          <w:i w:val="1"/>
          <w:iCs w:val="1"/>
          <w:color w:val="auto"/>
        </w:rPr>
        <w:t>nolo contendere</w:t>
      </w:r>
      <w:r>
        <w:rPr>
          <w:rFonts w:ascii="Times New Roman" w:cs="Times New Roman" w:eastAsia="Times New Roman" w:hAnsi="Times New Roman"/>
          <w:sz w:val="12"/>
          <w:szCs w:val="12"/>
          <w:color w:val="auto"/>
        </w:rPr>
        <w:t xml:space="preserve"> or its equivalent, shall be deemed to be a successful result as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such claim, issue or matter.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5.            Indemnification for Expenses of a Witness or in Response to a Subpoena</w:t>
      </w:r>
      <w:r>
        <w:rPr>
          <w:rFonts w:ascii="Times New Roman" w:cs="Times New Roman" w:eastAsia="Times New Roman" w:hAnsi="Times New Roman"/>
          <w:sz w:val="12"/>
          <w:szCs w:val="12"/>
          <w:color w:val="auto"/>
        </w:rPr>
        <w:t>. To the extent that Indemnitee is, by reason of his or her Corporate Status, (i) a witness in any Proceeding to which Indemnitee is not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party or (ii) receives a subpoena with respect to any Proceeding to which Indemnitee is not a party and is not threatened to be made a party, Indemnitee shall be indemnified against all Expenses actually and reasonably incurred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Indemnitee or on Indemnitee’s behalf in connection therewith.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6.            Additional Indemnification</w:t>
      </w:r>
      <w:r>
        <w:rPr>
          <w:rFonts w:ascii="Times New Roman" w:cs="Times New Roman" w:eastAsia="Times New Roman" w:hAnsi="Times New Roman"/>
          <w:sz w:val="12"/>
          <w:szCs w:val="12"/>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right="20" w:firstLine="879"/>
        <w:spacing w:after="0" w:line="262"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Except as provided for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hereof, notwithstanding any limitation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4</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hereof, the Company shall indemnify Indemnitee to the fullest extent permitted by applicable law if Indemnitee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  </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53">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194" w:right="29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5"/>
          <w:szCs w:val="15"/>
          <w:color w:val="auto"/>
        </w:rPr>
        <w:t>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For purposes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6(a) </w:t>
      </w:r>
      <w:r>
        <w:rPr>
          <w:rFonts w:ascii="Times New Roman" w:cs="Times New Roman" w:eastAsia="Times New Roman" w:hAnsi="Times New Roman"/>
          <w:sz w:val="12"/>
          <w:szCs w:val="12"/>
          <w:color w:val="auto"/>
        </w:rPr>
        <w:t>hereof, the meaning of the phrase “</w:t>
      </w:r>
      <w:r>
        <w:rPr>
          <w:rFonts w:ascii="Times New Roman" w:cs="Times New Roman" w:eastAsia="Times New Roman" w:hAnsi="Times New Roman"/>
          <w:sz w:val="12"/>
          <w:szCs w:val="12"/>
          <w:b w:val="1"/>
          <w:bCs w:val="1"/>
          <w:i w:val="1"/>
          <w:iCs w:val="1"/>
          <w:color w:val="auto"/>
        </w:rPr>
        <w:t>to the fullest extent permitted by applicable law</w:t>
      </w:r>
      <w:r>
        <w:rPr>
          <w:rFonts w:ascii="Times New Roman" w:cs="Times New Roman" w:eastAsia="Times New Roman" w:hAnsi="Times New Roman"/>
          <w:sz w:val="12"/>
          <w:szCs w:val="12"/>
          <w:color w:val="auto"/>
        </w:rPr>
        <w:t>” shall include, but not be limited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b w:val="1"/>
          <w:bCs w:val="1"/>
          <w:color w:val="auto"/>
        </w:rPr>
        <w:t>(i)            </w:t>
      </w:r>
      <w:r>
        <w:rPr>
          <w:rFonts w:ascii="Times New Roman" w:cs="Times New Roman" w:eastAsia="Times New Roman" w:hAnsi="Times New Roman"/>
          <w:sz w:val="12"/>
          <w:szCs w:val="12"/>
          <w:color w:val="auto"/>
        </w:rPr>
        <w:t>the fullest extent permitted by the provision of the DGCL that authorizes or contemplates additional indemnification by agreement, or the corresponding provision of any amendment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replacement of the DGCL;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b w:val="1"/>
          <w:bCs w:val="1"/>
          <w:color w:val="auto"/>
        </w:rPr>
        <w:t>(ii)            </w:t>
      </w:r>
      <w:r>
        <w:rPr>
          <w:rFonts w:ascii="Times New Roman" w:cs="Times New Roman" w:eastAsia="Times New Roman" w:hAnsi="Times New Roman"/>
          <w:sz w:val="12"/>
          <w:szCs w:val="12"/>
          <w:color w:val="auto"/>
        </w:rPr>
        <w:t>the fullest extent authorized or permitted by any amendments to or replacements of the DGCL adopted after the date of this Agreement that increase the extent to which a corporation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indemnify its officers and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7.            Exclusions</w:t>
      </w:r>
      <w:r>
        <w:rPr>
          <w:rFonts w:ascii="Times New Roman" w:cs="Times New Roman" w:eastAsia="Times New Roman" w:hAnsi="Times New Roman"/>
          <w:sz w:val="12"/>
          <w:szCs w:val="12"/>
          <w:color w:val="auto"/>
        </w:rPr>
        <w:t>. Notwithstanding any provision in this Agreement, the Company shall not be obligated under this Agreement to make any indemnity in connection with any Proceeding (or any part of any Proceeding):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firstLine="879"/>
        <w:spacing w:after="0" w:line="262"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Except as provided for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19</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hereof, for which payment has actually been made to or on behalf of Indemnitee under any statute, insurance policy, indemnity provision, vote or otherwise, except with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respect to any excess beyond the amount paid; provided, however, that payment made to Indemnitee pursuant to an insurance policy purchased and maintained by Indemnitee at his or her own expense of any amounts otherwise indemnifiable or obligated to be made pursuant to this Agreement shall not reduce the Company’s obligations to Indemnitee pursuant to this Agreement.  </w:t>
      </w:r>
    </w:p>
    <w:p>
      <w:pPr>
        <w:spacing w:after="0" w:line="1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for an accounting or disgorgement of profits pursuant to Section 16(b) of the Exchange Act or similar provisions of federal, state or local statutory law or common law, if Indemnitee is held liable therefor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(including pursuant to any settlement arrangements);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firstLine="879"/>
        <w:spacing w:after="0" w:line="262"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for any reimbursement of the Company by Indemnitee of any bonus or other incentive-based or equity-based compensation or of any profits realized by Indemnitee from the sale of securities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as required in each case under the Exchange Act (including any such reimbursements that arise from an accounting restatement of the Company pursuant to Section 304 of the Sarbanes-Oxley Act or the payment to the Company of profits arising from the purchase and sale by Indemnitee of securities in violation of Section 306 of the Sarbanes-Oxley Act), if Indemnitee is held liable therefor (including pursuant to any settlement arrangements);  </w:t>
      </w:r>
    </w:p>
    <w:p>
      <w:pPr>
        <w:spacing w:after="0" w:line="1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initiated by Indemnitee, including any Proceeding (or any part of any Proceeding) initiated by Indemnitee against the Company or its directors, officers, employees, agents or other indemnitees, unless (i)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Company’s board of directors authorized the Proceeding (or the relevant part of the Proceeding) prior to its initiation, (ii) the Company provides the indemnification, in its sole discretion, pursuant to the powers vested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Company under applicable law, (iii) otherwise authorized in </w:t>
      </w:r>
      <w:r>
        <w:rPr>
          <w:rFonts w:ascii="Times New Roman" w:cs="Times New Roman" w:eastAsia="Times New Roman" w:hAnsi="Times New Roman"/>
          <w:sz w:val="12"/>
          <w:szCs w:val="12"/>
          <w:u w:val="single" w:color="auto"/>
          <w:color w:val="auto"/>
        </w:rPr>
        <w:t>Section 12 (a) </w:t>
      </w:r>
      <w:r>
        <w:rPr>
          <w:rFonts w:ascii="Times New Roman" w:cs="Times New Roman" w:eastAsia="Times New Roman" w:hAnsi="Times New Roman"/>
          <w:sz w:val="12"/>
          <w:szCs w:val="12"/>
          <w:color w:val="auto"/>
        </w:rPr>
        <w:t xml:space="preserve">or </w:t>
      </w:r>
      <w:r>
        <w:rPr>
          <w:rFonts w:ascii="Times New Roman" w:cs="Times New Roman" w:eastAsia="Times New Roman" w:hAnsi="Times New Roman"/>
          <w:sz w:val="12"/>
          <w:szCs w:val="12"/>
          <w:u w:val="single" w:color="auto"/>
          <w:color w:val="auto"/>
        </w:rPr>
        <w:t>12(d) </w:t>
      </w:r>
      <w:r>
        <w:rPr>
          <w:rFonts w:ascii="Times New Roman" w:cs="Times New Roman" w:eastAsia="Times New Roman" w:hAnsi="Times New Roman"/>
          <w:sz w:val="12"/>
          <w:szCs w:val="12"/>
          <w:color w:val="auto"/>
        </w:rPr>
        <w:t xml:space="preserve">hereof or (iv) otherwise required by applicable law;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for the avoidance of doubt, Indemnitee shall not be deemed for purposes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7(d) </w:t>
      </w:r>
      <w:r>
        <w:rPr>
          <w:rFonts w:ascii="Times New Roman" w:cs="Times New Roman" w:eastAsia="Times New Roman" w:hAnsi="Times New Roman"/>
          <w:sz w:val="12"/>
          <w:szCs w:val="12"/>
          <w:color w:val="auto"/>
        </w:rPr>
        <w:t>to have initiated any Proceeding (or any part of a Proceeding) by reason of (i) having asserted any affirmative defenses in connection with a claim not initiated by Indemnitee or (ii) having made any counterclaim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(whether permissive or mandatory) in connection with any claim not initiated by Indemnitee;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if prohibited by applicable law as determined by a court of competent jurisdiction in a final adjudication not subject to further appeal.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54">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194" w:right="29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5"/>
          <w:szCs w:val="15"/>
          <w:color w:val="auto"/>
        </w:rPr>
        <w:t>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8.            Advances of Expenses</w:t>
      </w:r>
      <w:r>
        <w:rPr>
          <w:rFonts w:ascii="Times New Roman" w:cs="Times New Roman" w:eastAsia="Times New Roman" w:hAnsi="Times New Roman"/>
          <w:sz w:val="12"/>
          <w:szCs w:val="12"/>
          <w:color w:val="auto"/>
        </w:rPr>
        <w:t>. The Company shall advance the Expenses incurred by Indemnitee in connection with any Proceeding whether prior to or after its final disposition, and such advancement shall be made as soon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reasonably practicable, but in any event no later than thirty days, after the receipt by the Company of a written statement or statements requesting such advances from time to time (which shall include invoices received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Indemnitee in connection with such Expenses but, in the case of invoices in connection with legal services, any references to legal work performed or to expenditure made that would cause Indemnitee to waive any privilege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accorded by applicable law are not required to be included with the invoice). Advances shall be unsecured and interest free and made without regard to Indemnitee’s ability to repay such advances and without regard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entitlement to and the availability of insurance coverage, including advancement, payment or reimbursement of defense costs, expenses of covered loss under the provisions of any applicable insurance policy (including,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limitation, whether such advancement, payment or reimbursement is withheld, conditioned or delayed by the insurer(s)). Indemnitee’s right to such advancement is not subject to the satisfaction of any standard of conduct.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limiting the generality or effect of the foregoing, within thirty days after any request by Indemnitee, the Company shall, in accordance with such request (but without duplication), (a) pay such Expenses on behalf of Indemnitee,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(b) advance to Indemnitee funds in an amount sufficient to pay such Expenses, or (c) reimburse Indemnitee for such Expenses. The right to advances under this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 xml:space="preserve"> shall in all events continue until final disposition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Proceeding, including any appeal therein. The Indemnitee shall qualify for advances upon the execution and delivery to the Company of this Agreement, which shall constitute an undertaking providing that the Indemnitee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undertakes to the fullest extent permitted by law to repay any advance if and to the extent that it is ultimately determined by a court of competent jurisdiction in a final judgment, not subject to appeal, that Indemnitee is not entitled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to be indemnified by the Company. No other form of undertaking shall be required other than the execution of this Agreement. This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 xml:space="preserve"> shall apply to any Proceeding (or any part of any Proceeding) referenced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7(b) </w:t>
      </w:r>
      <w:r>
        <w:rPr>
          <w:rFonts w:ascii="Times New Roman" w:cs="Times New Roman" w:eastAsia="Times New Roman" w:hAnsi="Times New Roman"/>
          <w:sz w:val="12"/>
          <w:szCs w:val="12"/>
          <w:color w:val="auto"/>
        </w:rPr>
        <w:t xml:space="preserve">or </w:t>
      </w:r>
      <w:r>
        <w:rPr>
          <w:rFonts w:ascii="Times New Roman" w:cs="Times New Roman" w:eastAsia="Times New Roman" w:hAnsi="Times New Roman"/>
          <w:sz w:val="12"/>
          <w:szCs w:val="12"/>
          <w:u w:val="single" w:color="auto"/>
          <w:color w:val="auto"/>
        </w:rPr>
        <w:t>7(c) </w:t>
      </w:r>
      <w:r>
        <w:rPr>
          <w:rFonts w:ascii="Times New Roman" w:cs="Times New Roman" w:eastAsia="Times New Roman" w:hAnsi="Times New Roman"/>
          <w:sz w:val="12"/>
          <w:szCs w:val="12"/>
          <w:color w:val="auto"/>
        </w:rPr>
        <w:t>hereof prior to a determination that Indemnitee is not entitled to be indemnified by the Company. The Company shall not seek, or assist any other party to seek, from a court a “bar order” which would have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effect of prohibiting or limiting the Indemnitee's rights to receive advancement of expenses 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9.            Procedures for Notification and Defense of Claim</w:t>
      </w:r>
      <w:r>
        <w:rPr>
          <w:rFonts w:ascii="Times New Roman" w:cs="Times New Roman" w:eastAsia="Times New Roman" w:hAnsi="Times New Roman"/>
          <w:sz w:val="12"/>
          <w:szCs w:val="12"/>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Unless the Company is a co-defendant with Indemnitee, Indemnitee shall notify the Company in writing of any matter with respect to which Indemnitee intends to seek indemnification or advancement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Expenses as soon as reasonably practicable following the receipt by Indemnitee of notice thereof. The failure by Indemnitee to notify the Company will not relieve the Company from any liability which it may have to Indemnitee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hereunder or otherwise than under this Agreement, and any delay in so notifying the Company shall not constitute a waiver by Indemnitee of any rights, except to the extent that such failure or delay materially prejudices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firstLine="879"/>
        <w:spacing w:after="0" w:line="262"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If, at the time of the receipt of a notice of a Proceeding pursuant to the terms hereof, the Company has directors’ and officers’ liability insurance in effect that may be applicable to the Proceeding,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shall give prompt notice of the commencement of the Proceeding to the insurers in accordance with the procedures set forth in the applicable policies. The Company shall thereafter take all commercially reasonable action to cause such insurers to pay, on behalf of Indemnitee, all amounts payable as a result of such Proceeding in accordance with the terms of such policies.  </w:t>
      </w:r>
    </w:p>
    <w:p>
      <w:pPr>
        <w:spacing w:after="0" w:line="1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In the event the Company may be obligated to make any indemnity in connection with a Proceeding, the Company shall be entitled to assume the defense of such Proceeding with counsel approved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Indemnitee, which approval shall not be unreasonably withheld, conditioned or delayed, upon the delivery to Indemnitee of written notice of its election to do so. After delivery of such notice, approval of such counsel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Indemnitee and the retention of such counsel by the Company, the Company will not be liable to Indemnitee for any fees or expenses of counsel subsequently incurred by Indemnitee with respect to the same Proceeding.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Notwithstanding the Company’s assumption of the defense of any such Proceeding, the Company shall be obligated to pay the fees and expenses of Indemnitee’s separate counsel to the extent (i) the employment of separate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Indemnitee is authorized by the Company, (ii) counsel for the Company or Indemnitee shall have reasonably concluded that there may be a conflict of interest between the Company and Indemnitee in the conduct of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defense such that Indemnitee needs to be separately represented, (iii) the Company is not financially or legally able to perform its indemnification obligations or (iv) the Company shall not within sixty days of receipt of notice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Indemnitee in fact have retained, or shall not continue to retain, counsel to assume the defense of the Proceeding. Indemnitee agrees that any such separate counsel retained by Indemnitee shall be a member of any approved list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panel counsel under the Company’s applicable directors’ and officers’ liability insurance policy, should the applicable policy provide for a panel of approved counsel and should such approved panel list comprise law firms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well-established reputations in the type of litigation at issue. (For clarity, the fact of a firm’s being part of a panel shall not be evidence of a firm’s having a well-established national reputation for the type of litigation at issue).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Regardless of any provision of this Agreement, Indemnitee shall have the right to employ counsel in any Proceeding at Indemnitee’s personal expense. The Company shall not be entitled, without the consent of Indemnitee,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assume the defense of any claim brought by or in the right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55">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194" w:right="299" w:bottom="1440" w:gutter="0" w:footer="0" w:header="0"/>
        </w:sectPr>
      </w:pPr>
    </w:p>
    <w:bookmarkStart w:id="430" w:name="page431"/>
    <w:bookmarkEnd w:id="430"/>
    <w:p>
      <w:pPr>
        <w:spacing w:after="0"/>
        <w:rPr>
          <w:sz w:val="20"/>
          <w:szCs w:val="20"/>
          <w:color w:val="auto"/>
        </w:rPr>
      </w:pPr>
      <w:r>
        <w:rPr>
          <w:rFonts w:ascii="Times New Roman" w:cs="Times New Roman" w:eastAsia="Times New Roman" w:hAnsi="Times New Roman"/>
          <w:sz w:val="15"/>
          <w:szCs w:val="15"/>
          <w:color w:val="auto"/>
        </w:rPr>
        <w:t>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Indemnitee shall give the Company such information and cooperation in connection with the Proceeding as may be reasonably appropriate; provided, however, that in no case shall Indemnitee be required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convey any information that would cause Indemnitee to waive any privilege accorded by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The Company shall not be liable to indemnify Indemnitee for any settlement of any Proceeding (or any part thereof) without the Company’s prior written consent, which shall not be unreasonably withheld,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conditioned or delayed. The Company acknowledges that a settlement or other disposition short of final judgment may be successful if it permits a party to avoid expense, delay, distraction, disruption and uncertainty. In the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that any action, claim or proceeding to which Indemnitee is a party is resolved in a settlement to which the Company has given its prior written consent, such settlement shall be treated as a success on the merits in the settled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suit or proceeding.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right="20" w:firstLine="879"/>
        <w:spacing w:after="0" w:line="259" w:lineRule="auto"/>
        <w:rPr>
          <w:sz w:val="20"/>
          <w:szCs w:val="20"/>
          <w:color w:val="auto"/>
        </w:rPr>
      </w:pPr>
      <w:r>
        <w:rPr>
          <w:rFonts w:ascii="Times New Roman" w:cs="Times New Roman" w:eastAsia="Times New Roman" w:hAnsi="Times New Roman"/>
          <w:sz w:val="12"/>
          <w:szCs w:val="12"/>
          <w:b w:val="1"/>
          <w:bCs w:val="1"/>
          <w:color w:val="auto"/>
        </w:rPr>
        <w:t>(f)            </w:t>
      </w:r>
      <w:r>
        <w:rPr>
          <w:rFonts w:ascii="Times New Roman" w:cs="Times New Roman" w:eastAsia="Times New Roman" w:hAnsi="Times New Roman"/>
          <w:sz w:val="12"/>
          <w:szCs w:val="12"/>
          <w:color w:val="auto"/>
        </w:rPr>
        <w:t>The Company shall not settle any Proceeding (or any part thereof) in a manner that would impose any penalty or liability on Indemnitee without Indemnitee’s prior written consent, which shall not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unreasonably withheld, conditioned or delayed; provided, however, that, with respect to settlements requiring solely the payment of money either by the Company or by Indemnitee for which the Company is obligated to reimburse Indemnitee promptly and completely, in either case without recourse to Indemnitee, no such consent of Indemnitee shall be required. Indemnitee shall not settle any Proceeding or claim (or any part thereof) that would impose any penalty, liability, or limitation on the Company without the Company’s prior written consent, such consent not to be unreasonably withheld.  </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10.            Procedures upon Application for Indemnification</w:t>
      </w:r>
      <w:r>
        <w:rPr>
          <w:rFonts w:ascii="Times New Roman" w:cs="Times New Roman" w:eastAsia="Times New Roman" w:hAnsi="Times New Roman"/>
          <w:sz w:val="12"/>
          <w:szCs w:val="12"/>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firstLine="879"/>
        <w:spacing w:after="0" w:line="262"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To obtain indemnification, Indemnitee shall submit to the Company a written request, including therein or therewith such documentation and information as is reasonably available to Indemnitee, not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otherwise available to the Company, and as is reasonably necessary to determine whether and to what extent Indemnitee is entitled to indemnification following the final disposition of the Proceeding. Any delay in providing the request will not relieve the Company from its obligations under this Agreement, except to the extent such failure is prejudicial.  </w:t>
      </w:r>
    </w:p>
    <w:p>
      <w:pPr>
        <w:spacing w:after="0" w:line="134" w:lineRule="exact"/>
        <w:rPr>
          <w:sz w:val="20"/>
          <w:szCs w:val="20"/>
          <w:color w:val="auto"/>
        </w:rPr>
      </w:pPr>
    </w:p>
    <w:p>
      <w:pPr>
        <w:ind w:firstLine="879"/>
        <w:spacing w:after="0" w:line="256"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Upon written request by Indemnitee for indemnification pursuant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10(a) </w:t>
      </w:r>
      <w:r>
        <w:rPr>
          <w:rFonts w:ascii="Times New Roman" w:cs="Times New Roman" w:eastAsia="Times New Roman" w:hAnsi="Times New Roman"/>
          <w:sz w:val="12"/>
          <w:szCs w:val="12"/>
          <w:color w:val="auto"/>
        </w:rPr>
        <w:t>hereof, a determination with respect to Indemnitee’s entitlement thereto shall be made as follows, provided that a Change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Control shall not have occurred: (i) by a majority vote of the Disinterested Directors, even though less than a quorum of the Company’s board of directors; (ii) by a committee of Disinterested Directors designated by a majority vote of the Disinterested Directors, even though less than a quorum of the Company’s board of directors; (iii) if there are no such Disinterested Directors or, if such Disinterested Directors so direct, by Independent Counsel in a written opinion to the Company’s board of directors, a copy of which shall be delivered to Indemnitee; or (iv) if so directed by the Company’s board of directors, by the Company’s stockholders. If a Change in Control shall have occurred, a determination with respect to Indemnitee’s entitlement to indemnification shall be made by Independent Counsel in a written opinion to the Company’s board of directors, a copy of which shall be delivered to Indemnitee. If it is determined that Indemnitee is entitled to indemnification, payment to Indemnitee shall be made within thirty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actually and reasonably incurred by Indemnitee in so cooperating with the person, persons or entity making such determination shall be borne by the Company, to the extent permitted by applicable law. The Company will advance and pay any Expenses actually and reasonably incurred by Indemnitee in so cooperating with the person, persons or entity making the indemnification determination irrespective of the determination as to Indemnitee’s entitlement to indemnification.  </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56">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194" w:right="299" w:bottom="1440" w:gutter="0" w:footer="0" w:header="0"/>
        </w:sectPr>
      </w:pPr>
    </w:p>
    <w:bookmarkStart w:id="431" w:name="page432"/>
    <w:bookmarkEnd w:id="431"/>
    <w:p>
      <w:pPr>
        <w:spacing w:after="0"/>
        <w:rPr>
          <w:sz w:val="20"/>
          <w:szCs w:val="20"/>
          <w:color w:val="auto"/>
        </w:rPr>
      </w:pPr>
      <w:r>
        <w:rPr>
          <w:rFonts w:ascii="Times New Roman" w:cs="Times New Roman" w:eastAsia="Times New Roman" w:hAnsi="Times New Roman"/>
          <w:sz w:val="15"/>
          <w:szCs w:val="15"/>
          <w:color w:val="auto"/>
        </w:rPr>
        <w:t>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In the event the determination of entitlement to indemnification is to be made by Independent Counsel pursuant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10(b) </w:t>
      </w:r>
      <w:r>
        <w:rPr>
          <w:rFonts w:ascii="Times New Roman" w:cs="Times New Roman" w:eastAsia="Times New Roman" w:hAnsi="Times New Roman"/>
          <w:sz w:val="12"/>
          <w:szCs w:val="12"/>
          <w:color w:val="auto"/>
        </w:rPr>
        <w:t>hereof, the Independent Counsel shall be selected as provided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10(c)</w:t>
      </w:r>
      <w:r>
        <w:rPr>
          <w:rFonts w:ascii="Times New Roman" w:cs="Times New Roman" w:eastAsia="Times New Roman" w:hAnsi="Times New Roman"/>
          <w:sz w:val="12"/>
          <w:szCs w:val="12"/>
          <w:color w:val="auto"/>
        </w:rPr>
        <w:t>. If a Change in Control shall not have occurred, the Independent Counsel shall be selected by the Company’s board of directors, and the Company shall give written notice to Indemnitee advising him or her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identity of the Independent Counsel so selected. If a Change in Control shall have occurred, the Independent Counsel shall be selected by Indemnitee (unless Indemnitee shall request that such selection be made by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board of directors, in which event the preceding sentence shall apply), and Indemnitee shall give written notice to the Company advising it of the identity of the Independent Counsel so selected. In either event, Indemnitee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Company, as the case may be, may, within ten days after such written notice of selection shall have been given, deliver to the Company or to Indemnitee, as the case may be, a written objection to such selection;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that such objection may be asserted only on the ground that the Independent Counsel so selected does not meet the requirements of “Independent Counsel” as defined in </w:t>
      </w: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 xml:space="preserve"> hereof, and the objection shall set forth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particularity the factual basis of such assertion. Absent a proper and timely objection, the person so selected shall act as Independent Counsel. If such written objection is so made and substantiated, the Independent Counsel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selected may not serve as Independent Counsel unless and until such objection is withdrawn or a court has determined that such objection is without merit. If, within 20 days after the later of (i) submission by Indemnitee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written request for indemnification pursuant to </w:t>
      </w:r>
      <w:r>
        <w:rPr>
          <w:rFonts w:ascii="Times New Roman" w:cs="Times New Roman" w:eastAsia="Times New Roman" w:hAnsi="Times New Roman"/>
          <w:sz w:val="12"/>
          <w:szCs w:val="12"/>
          <w:u w:val="single" w:color="auto"/>
          <w:color w:val="auto"/>
        </w:rPr>
        <w:t>Section 10(a) </w:t>
      </w:r>
      <w:r>
        <w:rPr>
          <w:rFonts w:ascii="Times New Roman" w:cs="Times New Roman" w:eastAsia="Times New Roman" w:hAnsi="Times New Roman"/>
          <w:sz w:val="12"/>
          <w:szCs w:val="12"/>
          <w:color w:val="auto"/>
        </w:rPr>
        <w:t>hereof and (ii) the final disposition of the Proceeding, the parties have not agreed upon an Independent Counsel, either the Company or Indemnitee may petition a court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competent jurisdiction for resolution of any objection which shall have been made by the Company or Indemnitee to the other’s selection of Independent Counsel and for the appointment as Independent Counsel of a person selected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by the court or by such other person as the court shall designate, and the person with respect to whom all objections are so resolved or the person so appointed shall act as Independent Counsel under </w:t>
      </w:r>
      <w:r>
        <w:rPr>
          <w:rFonts w:ascii="Times New Roman" w:cs="Times New Roman" w:eastAsia="Times New Roman" w:hAnsi="Times New Roman"/>
          <w:sz w:val="12"/>
          <w:szCs w:val="12"/>
          <w:u w:val="single" w:color="auto"/>
          <w:color w:val="auto"/>
        </w:rPr>
        <w:t>Section 10(b) </w:t>
      </w:r>
      <w:r>
        <w:rPr>
          <w:rFonts w:ascii="Times New Roman" w:cs="Times New Roman" w:eastAsia="Times New Roman" w:hAnsi="Times New Roman"/>
          <w:sz w:val="12"/>
          <w:szCs w:val="12"/>
          <w:color w:val="auto"/>
        </w:rPr>
        <w:t>hereof.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due commencement of any judicial proceeding or arbitration pursuant to </w:t>
      </w:r>
      <w:r>
        <w:rPr>
          <w:rFonts w:ascii="Times New Roman" w:cs="Times New Roman" w:eastAsia="Times New Roman" w:hAnsi="Times New Roman"/>
          <w:sz w:val="12"/>
          <w:szCs w:val="12"/>
          <w:u w:val="single" w:color="auto"/>
          <w:color w:val="auto"/>
        </w:rPr>
        <w:t>Section 12(a) </w:t>
      </w:r>
      <w:r>
        <w:rPr>
          <w:rFonts w:ascii="Times New Roman" w:cs="Times New Roman" w:eastAsia="Times New Roman" w:hAnsi="Times New Roman"/>
          <w:sz w:val="12"/>
          <w:szCs w:val="12"/>
          <w:color w:val="auto"/>
        </w:rPr>
        <w:t>hereof, the Independent Counsel shall be discharged and relieved of any further responsibility in such capacity (subject to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standards of professional conduct then prevailing).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The Company agrees to pay the reasonable fees and expenses of any Independent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57">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194" w:right="299"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5"/>
          <w:szCs w:val="15"/>
          <w:color w:val="auto"/>
        </w:rPr>
        <w:t>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11.            Presumptions and Effect of Certain Proceedings</w:t>
      </w:r>
      <w:r>
        <w:rPr>
          <w:rFonts w:ascii="Times New Roman" w:cs="Times New Roman" w:eastAsia="Times New Roman" w:hAnsi="Times New Roman"/>
          <w:sz w:val="12"/>
          <w:szCs w:val="12"/>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879"/>
        <w:spacing w:after="0" w:line="269"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In making a determination with respect to entitlement to indemnification hereunder, the person, persons or entity making such determination shall, to the fullest extent not prohibited by law, presume that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Indemnitee is entitled to indemnification under this Agreement, and the Company shall, to the fullest extent not prohibited by law, have the burden of proof to overcome that presumption by clear and convincing evidence.  </w:t>
      </w:r>
    </w:p>
    <w:p>
      <w:pPr>
        <w:spacing w:after="0" w:line="130" w:lineRule="exact"/>
        <w:rPr>
          <w:sz w:val="20"/>
          <w:szCs w:val="20"/>
          <w:color w:val="auto"/>
        </w:rPr>
      </w:pPr>
    </w:p>
    <w:p>
      <w:pPr>
        <w:jc w:val="both"/>
        <w:ind w:firstLine="879"/>
        <w:spacing w:after="0" w:line="262"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The termination of any Proceeding or of any claim, issue or matter therein, by judgment, order, settlement or conviction, or upon a plea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nolo contendere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its equivalent, shall not (except as otherwise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  </w:t>
      </w:r>
    </w:p>
    <w:p>
      <w:pPr>
        <w:spacing w:after="0" w:line="134" w:lineRule="exact"/>
        <w:rPr>
          <w:sz w:val="20"/>
          <w:szCs w:val="20"/>
          <w:color w:val="auto"/>
        </w:rPr>
      </w:pPr>
    </w:p>
    <w:p>
      <w:pPr>
        <w:ind w:firstLine="879"/>
        <w:spacing w:after="0" w:line="258" w:lineRule="auto"/>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For purposes of any determination of good faith, Indemnitee shall be deemed to have acted in good faith to the extent Indemnitee relied in good faith on (i) the records or books of account of the Enterprise,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including financial statements, (ii) information supplied to Indemnitee by the officers of the Enterprise in the course of their duties, (iii) the advice of legal counsel for the Enterprise or its board of directors or counsel selected by any committee of the board of directors or (iv) information or records given or reports made to the Enterprise by an independent certified public accountant, an appraiser, financial advisor, compensation consultant, investment banker or other expert selected with reasonable care by the Enterprise or its board of directors or any committee of the board of directors. The provisions of this </w:t>
      </w:r>
      <w:r>
        <w:rPr>
          <w:rFonts w:ascii="Times New Roman" w:cs="Times New Roman" w:eastAsia="Times New Roman" w:hAnsi="Times New Roman"/>
          <w:sz w:val="12"/>
          <w:szCs w:val="12"/>
          <w:u w:val="single" w:color="auto"/>
          <w:color w:val="auto"/>
        </w:rPr>
        <w:t>Section 11(c) </w:t>
      </w:r>
      <w:r>
        <w:rPr>
          <w:rFonts w:ascii="Times New Roman" w:cs="Times New Roman" w:eastAsia="Times New Roman" w:hAnsi="Times New Roman"/>
          <w:sz w:val="12"/>
          <w:szCs w:val="12"/>
          <w:color w:val="auto"/>
        </w:rPr>
        <w:t>shall not be deemed to be exclusive or to limit in any way the other circumstances in which Indemnitee may be deemed to have met the applicable standard of conduct set forth in this Agreement.  </w:t>
      </w:r>
    </w:p>
    <w:p>
      <w:pPr>
        <w:spacing w:after="0" w:line="1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Neither the knowledge, actions nor failure to act of any other director, officer, agent or employee of the Enterprise shall be imputed to Indemnitee for purposes of determining the right to indemnification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12.            Remedies of Indemnitee</w:t>
      </w:r>
      <w:r>
        <w:rPr>
          <w:rFonts w:ascii="Times New Roman" w:cs="Times New Roman" w:eastAsia="Times New Roman" w:hAnsi="Times New Roman"/>
          <w:sz w:val="12"/>
          <w:szCs w:val="12"/>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879"/>
        <w:spacing w:after="0" w:line="256"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Subject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12(e) </w:t>
      </w:r>
      <w:r>
        <w:rPr>
          <w:rFonts w:ascii="Times New Roman" w:cs="Times New Roman" w:eastAsia="Times New Roman" w:hAnsi="Times New Roman"/>
          <w:sz w:val="12"/>
          <w:szCs w:val="12"/>
          <w:color w:val="auto"/>
        </w:rPr>
        <w:t>hereof, in the event that (i) a determination is made pursuant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hereof that Indemnitee is not entitled to indemnification under this Agreement, (ii) advancement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Expenses is not timely made pursuant to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12(d) </w:t>
      </w:r>
      <w:r>
        <w:rPr>
          <w:rFonts w:ascii="Times New Roman" w:cs="Times New Roman" w:eastAsia="Times New Roman" w:hAnsi="Times New Roman"/>
          <w:sz w:val="12"/>
          <w:szCs w:val="12"/>
          <w:color w:val="auto"/>
        </w:rPr>
        <w:t xml:space="preserve">hereof, (iii) no determination of entitlement to indemnification shall have been made pursuant to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hereof within 30 days after the later of the receipt by the Company of the request for indemnification or the final disposition of the Proceeding, (iv) payment of indemnification pursuant to this Agreement is not made (A) within thirty days after a determination has been made that Indemnitee is entitled to indemnification or (B) with respect to indemnification pursuant to </w:t>
      </w:r>
      <w:r>
        <w:rPr>
          <w:rFonts w:ascii="Times New Roman" w:cs="Times New Roman" w:eastAsia="Times New Roman" w:hAnsi="Times New Roman"/>
          <w:sz w:val="12"/>
          <w:szCs w:val="12"/>
          <w:u w:val="single" w:color="auto"/>
          <w:color w:val="auto"/>
        </w:rPr>
        <w:t>Sections 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5</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12(d) </w:t>
      </w:r>
      <w:r>
        <w:rPr>
          <w:rFonts w:ascii="Times New Roman" w:cs="Times New Roman" w:eastAsia="Times New Roman" w:hAnsi="Times New Roman"/>
          <w:sz w:val="12"/>
          <w:szCs w:val="12"/>
          <w:color w:val="auto"/>
        </w:rPr>
        <w:t xml:space="preserve">hereof, within 30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and/or advancement of Expenses. Alternatively, Indemnitee, at his or her option, may seek an award in arbitration with respect to his or her entitlement to such indemnification or advancement of Expenses, to be conducted by a single arbitrator pursuant to the Commercial Arbitration Rules of the American Arbitration Association. Indemnitee shall commence such proceeding seeking an adjudication or an award in arbitration within 12 months following the date on which Indemnitee first has the right to commence such proceeding pursuant to this </w:t>
      </w:r>
      <w:r>
        <w:rPr>
          <w:rFonts w:ascii="Times New Roman" w:cs="Times New Roman" w:eastAsia="Times New Roman" w:hAnsi="Times New Roman"/>
          <w:sz w:val="12"/>
          <w:szCs w:val="12"/>
          <w:u w:val="single" w:color="auto"/>
          <w:color w:val="auto"/>
        </w:rPr>
        <w:t>Section 12(a)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the foregoing clause shall not apply in respect of a proceeding brought by Indemnitee to enforce his or her rights under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hereof. The Company shall not oppose Indemnitee’s right to seek any such adjudication or award in arbitration in accordance with this Agreement.  </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58">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195" w:right="299"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5"/>
          <w:szCs w:val="15"/>
          <w:color w:val="auto"/>
        </w:rPr>
        <w:t>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1" w:lineRule="exact"/>
        <w:rPr>
          <w:sz w:val="20"/>
          <w:szCs w:val="20"/>
          <w:color w:val="auto"/>
        </w:rPr>
      </w:pPr>
    </w:p>
    <w:p>
      <w:pPr>
        <w:ind w:firstLine="879"/>
        <w:spacing w:after="0" w:line="257"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Neither (i) the failure of the Company, its stockholders, its board of directors, any committee or subgroup of its board of directors or Independent Counsel to have made a determination that indemnification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of Indemnitee is proper in the circumstances because Indemnitee has met the applicable standard of conduct, nor (ii) an actual determination by the Company, its stockholders, its board of directors, any committee or subgroup of its board of directors or Independent Counsel that Indemnitee has not met the applicable standard of conduct, shall create a presumption that Indemnitee has or has not met the applicable standard of conduct. In the event that a determination shall have been made pursuant to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hereof that Indemnitee is not entitled to indemnification, any judicial proceeding or arbitration commenced pursuant to this </w:t>
      </w:r>
      <w:r>
        <w:rPr>
          <w:rFonts w:ascii="Times New Roman" w:cs="Times New Roman" w:eastAsia="Times New Roman" w:hAnsi="Times New Roman"/>
          <w:sz w:val="12"/>
          <w:szCs w:val="12"/>
          <w:u w:val="single" w:color="auto"/>
          <w:color w:val="auto"/>
        </w:rPr>
        <w:t>Section 12</w:t>
      </w:r>
      <w:r>
        <w:rPr>
          <w:rFonts w:ascii="Times New Roman" w:cs="Times New Roman" w:eastAsia="Times New Roman" w:hAnsi="Times New Roman"/>
          <w:sz w:val="12"/>
          <w:szCs w:val="12"/>
          <w:color w:val="auto"/>
        </w:rPr>
        <w:t xml:space="preserve"> shall be conducted in all respects as a </w:t>
      </w:r>
      <w:r>
        <w:rPr>
          <w:rFonts w:ascii="Times New Roman" w:cs="Times New Roman" w:eastAsia="Times New Roman" w:hAnsi="Times New Roman"/>
          <w:sz w:val="12"/>
          <w:szCs w:val="12"/>
          <w:i w:val="1"/>
          <w:iCs w:val="1"/>
          <w:color w:val="auto"/>
        </w:rPr>
        <w:t xml:space="preserve">de novo </w:t>
      </w:r>
      <w:r>
        <w:rPr>
          <w:rFonts w:ascii="Times New Roman" w:cs="Times New Roman" w:eastAsia="Times New Roman" w:hAnsi="Times New Roman"/>
          <w:sz w:val="12"/>
          <w:szCs w:val="12"/>
          <w:color w:val="auto"/>
        </w:rPr>
        <w:t>trial or arbitration on the merits, and Indemnitee shall not be prejudiced by reason of that adverse determination. In any judicial proceeding or arbitration commenced pursuant to this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12</w:t>
      </w:r>
      <w:r>
        <w:rPr>
          <w:rFonts w:ascii="Times New Roman" w:cs="Times New Roman" w:eastAsia="Times New Roman" w:hAnsi="Times New Roman"/>
          <w:sz w:val="12"/>
          <w:szCs w:val="12"/>
          <w:color w:val="auto"/>
        </w:rPr>
        <w:t>, the Company shall,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fullest extent not prohibited by law, have the burden of proving Indemnitee is not entitled to indemnification or advancement of Expenses, as the case may be, and the burden of proof shall be by clear and convincing evidence.  </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To the fullest extent not prohibited by law, the Company shall be precluded from asserting in any judicial proceeding or arbitration commenced pursuant to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12</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the procedures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presumptions of this Agreement are not valid, binding and enforceable and shall stipulate in any such court or before any such arbitrator that the Company is bound by all the provisions of this Agreement. If a determination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have been made pursuant to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hereof that Indemnitee is entitled to indemnification, the Company shall be bound by such determination in any judicial proceeding or arbitration commenced pursuant to this </w:t>
      </w:r>
      <w:r>
        <w:rPr>
          <w:rFonts w:ascii="Times New Roman" w:cs="Times New Roman" w:eastAsia="Times New Roman" w:hAnsi="Times New Roman"/>
          <w:sz w:val="12"/>
          <w:szCs w:val="12"/>
          <w:u w:val="single" w:color="auto"/>
          <w:color w:val="auto"/>
        </w:rPr>
        <w:t>Section 12</w:t>
      </w:r>
      <w:r>
        <w:rPr>
          <w:rFonts w:ascii="Times New Roman" w:cs="Times New Roman" w:eastAsia="Times New Roman" w:hAnsi="Times New Roman"/>
          <w:sz w:val="12"/>
          <w:szCs w:val="12"/>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absent (i) a misstatement by Indemnitee of a material fact, or an omission of a material fact necessary to make Indemnitee’s statements not materially misleading, in connection with the request for indemnification, or (ii)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prohibition of such indemnification under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(d)            </w:t>
      </w:r>
      <w:r>
        <w:rPr>
          <w:rFonts w:ascii="Times New Roman" w:cs="Times New Roman" w:eastAsia="Times New Roman" w:hAnsi="Times New Roman"/>
          <w:sz w:val="12"/>
          <w:szCs w:val="12"/>
          <w:color w:val="auto"/>
        </w:rPr>
        <w:t>To the extent not prohibited by law, the Company shall indemnify Indemnitee against all Expenses that are incurred by Indemnitee in connection with any action for indemnification or advancement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Expenses from the Company under this Agreement, any other agreement, the Company’s certificate of incorporation and bylaws, or any directors’ and officers’ liability insurance policies maintained by the Company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Indemnitee is successful in such action, and, if requested by Indemnitee, shall (as soon as reasonably practicable, but in any event no later than 30 days, after receipt by the Company of a written request therefor) advance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Expenses to Indemnitee, subject to the provisions of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 xml:space="preserve">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(e)            </w:t>
      </w:r>
      <w:r>
        <w:rPr>
          <w:rFonts w:ascii="Times New Roman" w:cs="Times New Roman" w:eastAsia="Times New Roman" w:hAnsi="Times New Roman"/>
          <w:sz w:val="12"/>
          <w:szCs w:val="12"/>
          <w:color w:val="auto"/>
        </w:rPr>
        <w:t>Notwithstanding anything in this Agreement to the contrary, no determination as to entitlement to indemnification shall be required to be made prior to the final disposition of the Proceeding.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2"/>
          <w:szCs w:val="12"/>
          <w:b w:val="1"/>
          <w:bCs w:val="1"/>
          <w:color w:val="auto"/>
        </w:rPr>
        <w:t>13.            Contribution</w:t>
      </w:r>
      <w:r>
        <w:rPr>
          <w:rFonts w:ascii="Times New Roman" w:cs="Times New Roman" w:eastAsia="Times New Roman" w:hAnsi="Times New Roman"/>
          <w:sz w:val="12"/>
          <w:szCs w:val="12"/>
          <w:color w:val="auto"/>
        </w:rPr>
        <w:t>. To the fullest extent permissible under applicable law, if the indemnification provided for in this Agreement is unavailable to Indemnitee, the Company, in lieu of indemnifying Indemnitee, shall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  </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59">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194" w:right="299"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5"/>
          <w:szCs w:val="15"/>
          <w:color w:val="auto"/>
        </w:rPr>
        <w:t>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14.            Non-exclusivity</w:t>
      </w:r>
      <w:r>
        <w:rPr>
          <w:rFonts w:ascii="Times New Roman" w:cs="Times New Roman" w:eastAsia="Times New Roman" w:hAnsi="Times New Roman"/>
          <w:sz w:val="12"/>
          <w:szCs w:val="12"/>
          <w:color w:val="auto"/>
        </w:rPr>
        <w:t>. The rights of indemnification and to receive advancement of Expenses as provided by this Agreement shall not be deemed exclusive of any other rights to which Indemnitee may at any time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entitled under applicable law, the Company’s certificate of incorporation and bylaws, any agreement, a vote of the Company’s stockholders, a resolution of the Company’s board of directors or otherwise. To the extent that a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Delaware law, whether by statute or judicial decision, permits greater indemnification or advancement of Expenses than would be afforded currently under the Company’s certificate of incorporation and bylaws and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Agreement, it is the intent of the parties hereto that Indemnitee shall enjoy by this Agreement the greater benefits so afforded by such change, subject to the restrictions expressly set forth herein or therein. Except as expressly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forth herein, no right or remedy herein conferred is intended to be exclusive of any other right or remedy, and every other right and remedy shall be cumulative and in addition to every other right and remedy given hereunder or now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hereafter existing at law or in equity or otherwise. Except as expressly set forth herein, the assertion or employment of any right or remedy hereunder, or otherwise, shall not prevent the concurrent assertion or employment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right or remedy.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15.            No Duplication of Payments</w:t>
      </w:r>
      <w:r>
        <w:rPr>
          <w:rFonts w:ascii="Times New Roman" w:cs="Times New Roman" w:eastAsia="Times New Roman" w:hAnsi="Times New Roman"/>
          <w:sz w:val="12"/>
          <w:szCs w:val="12"/>
          <w:color w:val="auto"/>
        </w:rPr>
        <w:t>. Except as provided for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19</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hereof, the Company shall not be liable under this Agreement to make any payment of amounts otherwise indemnifiable hereunder (or for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advancement is provided hereunder) if and to the extent that Indemnitee has otherwise actually received payment for such amounts under any insurance policy, contract, agreement or otherwise;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made to Indemnitee pursuant to an insurance policy purchased and maintained by Indemnitee at his or her own expense of any amounts otherwise indemnifiable or obligated to be made pursuant to this Agreement shall not reduce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obligations to Indemnitee pursuant to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16.            Insurance</w:t>
      </w:r>
      <w:r>
        <w:rPr>
          <w:rFonts w:ascii="Times New Roman" w:cs="Times New Roman" w:eastAsia="Times New Roman" w:hAnsi="Times New Roman"/>
          <w:sz w:val="12"/>
          <w:szCs w:val="12"/>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879"/>
        <w:spacing w:after="0" w:line="269" w:lineRule="auto"/>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To the extent that the Company maintains an insurance policy or policies providing liability insurance for directors, trustees, general partners, managing members, officers, employees, agents or fiduciaries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Company or any other Enterprise, Indemnitee shall be covered by such policy or policies to the same extent as the most favorably-insured persons under such policy or policies in a comparable position.  </w:t>
      </w:r>
    </w:p>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If, at the time of the receipt of a notice of a claim pursuant to the terms hereof, the Company has directors’ and officers’ liability insurance in effect, the Company shall give prompt notice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commencement of any Proceeding to the insurers in accordance with the procedures set forth in the respective policies. The Company shall thereafter take all necessary or desirable action to cause such insurers to pay,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Indemnitee, all amounts payable as a result of such Proceeding in accordance with the terms of such policies. The Company will instruct the insurers and their insurance brokers that they may communicate directly with Indemnitee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regarding such claim.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(c)            </w:t>
      </w:r>
      <w:r>
        <w:rPr>
          <w:rFonts w:ascii="Times New Roman" w:cs="Times New Roman" w:eastAsia="Times New Roman" w:hAnsi="Times New Roman"/>
          <w:sz w:val="12"/>
          <w:szCs w:val="12"/>
          <w:color w:val="auto"/>
        </w:rPr>
        <w:t>In the event of a Change in Control or the Company’s becoming insolvent, the Company shall undertake all commercially reasonable efforts to maintain in force any and all insurance policies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maintained by the Company in providing insurance — directors’ and officers’ liability, fiduciary, employment practices or otherwise — in respect of the individual directors and officers of the Company, for a fixed period of six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years thereafter (a “</w:t>
      </w:r>
      <w:r>
        <w:rPr>
          <w:rFonts w:ascii="Times New Roman" w:cs="Times New Roman" w:eastAsia="Times New Roman" w:hAnsi="Times New Roman"/>
          <w:sz w:val="12"/>
          <w:szCs w:val="12"/>
          <w:b w:val="1"/>
          <w:bCs w:val="1"/>
          <w:i w:val="1"/>
          <w:iCs w:val="1"/>
          <w:color w:val="auto"/>
        </w:rPr>
        <w:t>Tail Policy</w:t>
      </w:r>
      <w:r>
        <w:rPr>
          <w:rFonts w:ascii="Times New Roman" w:cs="Times New Roman" w:eastAsia="Times New Roman" w:hAnsi="Times New Roman"/>
          <w:sz w:val="12"/>
          <w:szCs w:val="12"/>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2"/>
          <w:szCs w:val="12"/>
          <w:b w:val="1"/>
          <w:bCs w:val="1"/>
          <w:color w:val="auto"/>
        </w:rPr>
        <w:t>17.            Subrogation</w:t>
      </w:r>
      <w:r>
        <w:rPr>
          <w:rFonts w:ascii="Times New Roman" w:cs="Times New Roman" w:eastAsia="Times New Roman" w:hAnsi="Times New Roman"/>
          <w:sz w:val="12"/>
          <w:szCs w:val="12"/>
          <w:color w:val="auto"/>
        </w:rPr>
        <w:t>. Except as provided for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19</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hereof, in the event of any payment under this Agreement, the Company shall be subrogated to the extent of such payment to all of the rights of recovery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Indemnitee, who shall execute all papers required and take all action necessary to secure such rights, including execution of such documents as are necessary to enable the Company to bring suit to enforce such rights.  </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60">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194" w:right="29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5"/>
          <w:szCs w:val="15"/>
          <w:color w:val="auto"/>
        </w:rPr>
        <w:t>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18.            Monetary Damages Insufficient/Specific Performance. </w:t>
      </w:r>
      <w:r>
        <w:rPr>
          <w:rFonts w:ascii="Times New Roman" w:cs="Times New Roman" w:eastAsia="Times New Roman" w:hAnsi="Times New Roman"/>
          <w:sz w:val="12"/>
          <w:szCs w:val="12"/>
          <w:color w:val="auto"/>
        </w:rPr>
        <w:t>The Company and Indemnitee agree that a monetary remedy for breach of this Agreement may be inadequate, impracticable and difficult of proof,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further agree that such breach may cause Indemnitee irreparable harm. Accordingly, the parties hereto agree that Indemnitee may enforce this Agreement by seeking injunctive relief and/or specific performance hereof and that by seeking injunctive relief and/or specific performance, Indemnitee shall not be precluded from seeking or obtaining any other relief to which he may be entitled. If Indemnitee seeks mandatory injunctive relief, it shall not be a defense to enforcement of the Company’s obligations set forth in this Agreement that Indemnitee has an adequate remedy at law for damages.  </w:t>
      </w:r>
    </w:p>
    <w:p>
      <w:pPr>
        <w:spacing w:after="0" w:line="13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2"/>
          <w:szCs w:val="12"/>
          <w:b w:val="1"/>
          <w:bCs w:val="1"/>
          <w:color w:val="auto"/>
        </w:rPr>
        <w:t>19.            Primacy of Indemnification</w:t>
      </w:r>
      <w:r>
        <w:rPr>
          <w:rFonts w:ascii="Times New Roman" w:cs="Times New Roman" w:eastAsia="Times New Roman" w:hAnsi="Times New Roman"/>
          <w:sz w:val="12"/>
          <w:szCs w:val="12"/>
          <w:color w:val="auto"/>
        </w:rPr>
        <w:t>. The Company hereby acknowledges that to the extent Indemnitee is serving as a director on the Company’s board of directors at the request or direction of a venture capital fund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 entity and/or certain of its affiliates (collectively, the “</w:t>
      </w:r>
      <w:r>
        <w:rPr>
          <w:rFonts w:ascii="Times New Roman" w:cs="Times New Roman" w:eastAsia="Times New Roman" w:hAnsi="Times New Roman"/>
          <w:sz w:val="12"/>
          <w:szCs w:val="12"/>
          <w:b w:val="1"/>
          <w:bCs w:val="1"/>
          <w:i w:val="1"/>
          <w:iCs w:val="1"/>
          <w:color w:val="auto"/>
        </w:rPr>
        <w:t>Fund Indemnitors</w:t>
      </w:r>
      <w:r>
        <w:rPr>
          <w:rFonts w:ascii="Times New Roman" w:cs="Times New Roman" w:eastAsia="Times New Roman" w:hAnsi="Times New Roman"/>
          <w:sz w:val="12"/>
          <w:szCs w:val="12"/>
          <w:color w:val="auto"/>
        </w:rPr>
        <w:t xml:space="preserve">”), Indemnitee may have certain rights to indemnification, advancement of expenses and/or insurance provided by the Fund Indemnitors.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the Company’s certificate of incorporation or bylaws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third-party beneficiaries of the terms of this </w:t>
      </w:r>
      <w:r>
        <w:rPr>
          <w:rFonts w:ascii="Times New Roman" w:cs="Times New Roman" w:eastAsia="Times New Roman" w:hAnsi="Times New Roman"/>
          <w:sz w:val="12"/>
          <w:szCs w:val="12"/>
          <w:u w:val="single" w:color="auto"/>
          <w:color w:val="auto"/>
        </w:rPr>
        <w:t>Section 19</w:t>
      </w:r>
      <w:r>
        <w:rPr>
          <w:rFonts w:ascii="Times New Roman" w:cs="Times New Roman" w:eastAsia="Times New Roman" w:hAnsi="Times New Roman"/>
          <w:sz w:val="12"/>
          <w:szCs w:val="12"/>
          <w:color w:val="auto"/>
        </w:rPr>
        <w:t>.  </w:t>
      </w:r>
    </w:p>
    <w:p>
      <w:pPr>
        <w:spacing w:after="0" w:line="14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2"/>
          <w:szCs w:val="12"/>
          <w:b w:val="1"/>
          <w:bCs w:val="1"/>
          <w:color w:val="auto"/>
        </w:rPr>
        <w:t>20.            Services to the Company</w:t>
      </w:r>
      <w:r>
        <w:rPr>
          <w:rFonts w:ascii="Times New Roman" w:cs="Times New Roman" w:eastAsia="Times New Roman" w:hAnsi="Times New Roman"/>
          <w:sz w:val="12"/>
          <w:szCs w:val="12"/>
          <w:color w:val="auto"/>
        </w:rPr>
        <w:t>. Indemnitee agrees to serve as a director or officer of the Company or, at the request of the Company, as a director, trustee, general partner, managing member, officer, employee, agent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  </w:t>
      </w:r>
    </w:p>
    <w:p>
      <w:pPr>
        <w:spacing w:after="0" w:line="138"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2"/>
          <w:szCs w:val="12"/>
          <w:b w:val="1"/>
          <w:bCs w:val="1"/>
          <w:color w:val="auto"/>
        </w:rPr>
        <w:t>21.            Duration</w:t>
      </w:r>
      <w:r>
        <w:rPr>
          <w:rFonts w:ascii="Times New Roman" w:cs="Times New Roman" w:eastAsia="Times New Roman" w:hAnsi="Times New Roman"/>
          <w:sz w:val="12"/>
          <w:szCs w:val="12"/>
          <w:color w:val="auto"/>
        </w:rPr>
        <w:t>. This Agreement shall continue until and terminate upon the later of (a) ten years after the date that Indemnitee shall have ceased to serve as a director or officer of the Company or as a director, trustee,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w:t>
      </w:r>
      <w:r>
        <w:rPr>
          <w:rFonts w:ascii="Times New Roman" w:cs="Times New Roman" w:eastAsia="Times New Roman" w:hAnsi="Times New Roman"/>
          <w:sz w:val="12"/>
          <w:szCs w:val="12"/>
          <w:u w:val="single" w:color="auto"/>
          <w:color w:val="auto"/>
        </w:rPr>
        <w:t>Section 12</w:t>
      </w:r>
      <w:r>
        <w:rPr>
          <w:rFonts w:ascii="Times New Roman" w:cs="Times New Roman" w:eastAsia="Times New Roman" w:hAnsi="Times New Roman"/>
          <w:sz w:val="12"/>
          <w:szCs w:val="12"/>
          <w:color w:val="auto"/>
        </w:rPr>
        <w:t xml:space="preserve"> hereof relating thereto.  </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61">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194" w:right="299"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15"/>
          <w:szCs w:val="15"/>
          <w:color w:val="auto"/>
        </w:rPr>
        <w:t>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1"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2"/>
          <w:szCs w:val="12"/>
          <w:b w:val="1"/>
          <w:bCs w:val="1"/>
          <w:color w:val="auto"/>
        </w:rPr>
        <w:t>22.            Successors</w:t>
      </w:r>
      <w:r>
        <w:rPr>
          <w:rFonts w:ascii="Times New Roman" w:cs="Times New Roman" w:eastAsia="Times New Roman" w:hAnsi="Times New Roman"/>
          <w:sz w:val="12"/>
          <w:szCs w:val="12"/>
          <w:color w:val="auto"/>
        </w:rPr>
        <w:t>. This Agreement shall be binding upon the Company and its successors and assigns, including any direct or indirect successor, by purchase, merger, consolidation or otherwise, to all or substantially all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business or assets of the Company, and shall inure to the benefit of Indemnitee and Indemnitee’s heirs, executors and administrators. Further, the Company shall require and cause any successor (whether direct or indirect by purchase, merger, consolidation or otherwise) to all or substantially all of the business or assets of the Company, by written agreement, expressly to assume and agree to perform this Agreement to the fullest extent permitted by law .</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23.            Severability</w:t>
      </w:r>
      <w:r>
        <w:rPr>
          <w:rFonts w:ascii="Times New Roman" w:cs="Times New Roman" w:eastAsia="Times New Roman" w:hAnsi="Times New Roman"/>
          <w:sz w:val="12"/>
          <w:szCs w:val="12"/>
          <w:color w:val="auto"/>
        </w:rPr>
        <w:t>. Nothing in this Agreement is intended to require or shall be construed as requiring the Company to do or fail to do any act in violation of applicable law. The Company’s inability, pursuant to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order or other applicable law, to perform its obligations under this Agreement shall not constitute a breach of this Agreement. If any provision or provisions of this Agreement shall be held to be invalid, illegal or unenforceable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reason whatsoever: (i) the validity, legality and enforceability of the remaining provisions of this Agreement (including without limitation, each portion of any section of this Agreement containing any such provision held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invalid, illegal or unenforceable, that is not itself invalid, illegal or unenforceable) shall not in any way be affected or impaired thereby and shall remain enforceable to the fullest extent permitted by law; (ii) such provision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provisions shall be deemed reformed to the extent necessary to conform to applicable law and to give the maximum effect to the intent of the parties hereto; and (iii) to the fullest extent possible, the provisions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(including, without limitation, each portion of any section of this Agreement containing any such provision held to be invalid, illegal or unenforceable, that is not itself invalid, illegal or unenforceable) shall be construed so as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give effect to the intent manifested thereby.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2"/>
          <w:szCs w:val="12"/>
          <w:b w:val="1"/>
          <w:bCs w:val="1"/>
          <w:color w:val="auto"/>
        </w:rPr>
        <w:t>24.            Enforcement</w:t>
      </w:r>
      <w:r>
        <w:rPr>
          <w:rFonts w:ascii="Times New Roman" w:cs="Times New Roman" w:eastAsia="Times New Roman" w:hAnsi="Times New Roman"/>
          <w:sz w:val="12"/>
          <w:szCs w:val="12"/>
          <w:color w:val="auto"/>
        </w:rPr>
        <w:t>. The Company expressly confirms and agrees that it has entered into this Agreement and assumed the obligations imposed on it hereby in order to induce Indemnitee to serve as a director or officer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Company, and the Company acknowledges that Indemnitee is relying upon this Agreement in serving as a director or officer of the Company.  </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25.            Entire Agreement</w:t>
      </w:r>
      <w:r>
        <w:rPr>
          <w:rFonts w:ascii="Times New Roman" w:cs="Times New Roman" w:eastAsia="Times New Roman" w:hAnsi="Times New Roman"/>
          <w:sz w:val="12"/>
          <w:szCs w:val="12"/>
          <w:color w:val="auto"/>
        </w:rPr>
        <w:t>. This Agreement constitutes the entire agreement between the parties hereto with respect to the subject matter hereof and supersedes all prior agreements and understandings, oral, written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implied, between the parties hereto with respect to the subject matter hereof;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this Agreement is a supplement to and in furtherance of the Company’s certificate of incorporation and bylaws and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2"/>
          <w:szCs w:val="12"/>
          <w:b w:val="1"/>
          <w:bCs w:val="1"/>
          <w:color w:val="auto"/>
        </w:rPr>
        <w:t>26.            Modification and Waiver</w:t>
      </w:r>
      <w:r>
        <w:rPr>
          <w:rFonts w:ascii="Times New Roman" w:cs="Times New Roman" w:eastAsia="Times New Roman" w:hAnsi="Times New Roman"/>
          <w:sz w:val="12"/>
          <w:szCs w:val="12"/>
          <w:color w:val="auto"/>
        </w:rPr>
        <w:t>. No supplement, modification or amendment to this Agreement shall be binding unless executed in writing by the parties hereto. No amendment, alteration or repeal of this Agreement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  </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27.            Notices</w:t>
      </w:r>
      <w:r>
        <w:rPr>
          <w:rFonts w:ascii="Times New Roman" w:cs="Times New Roman" w:eastAsia="Times New Roman" w:hAnsi="Times New Roman"/>
          <w:sz w:val="12"/>
          <w:szCs w:val="12"/>
          <w:color w:val="auto"/>
        </w:rPr>
        <w:t>. All notices and other communications required or permitted hereunder shall be in writing and shall be mailed by registered or certified mail, postage prepaid, sent by facsimile or electronic mail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delivered by hand, messenger or courier service addressed: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12"/>
          <w:szCs w:val="12"/>
          <w:color w:val="auto"/>
        </w:rPr>
        <w:t>if to Indemnitee, to Indemnitee’s address, facsimile number or electronic mail address as shown on the signature page of this Agreement or in the Company’s records, as may be updated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provisions hereof;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62">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194" w:right="29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5"/>
          <w:szCs w:val="15"/>
          <w:color w:val="auto"/>
        </w:rPr>
        <w:t>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1" w:lineRule="exact"/>
        <w:rPr>
          <w:sz w:val="20"/>
          <w:szCs w:val="20"/>
          <w:color w:val="auto"/>
        </w:rPr>
      </w:pPr>
    </w:p>
    <w:p>
      <w:pPr>
        <w:ind w:firstLine="879"/>
        <w:spacing w:after="0" w:line="269" w:lineRule="auto"/>
        <w:rPr>
          <w:sz w:val="20"/>
          <w:szCs w:val="20"/>
          <w:color w:val="auto"/>
        </w:rPr>
      </w:pPr>
      <w:r>
        <w:rPr>
          <w:rFonts w:ascii="Times New Roman" w:cs="Times New Roman" w:eastAsia="Times New Roman" w:hAnsi="Times New Roman"/>
          <w:sz w:val="12"/>
          <w:szCs w:val="12"/>
          <w:b w:val="1"/>
          <w:bCs w:val="1"/>
          <w:color w:val="auto"/>
        </w:rPr>
        <w:t>(b)            </w:t>
      </w:r>
      <w:r>
        <w:rPr>
          <w:rFonts w:ascii="Times New Roman" w:cs="Times New Roman" w:eastAsia="Times New Roman" w:hAnsi="Times New Roman"/>
          <w:sz w:val="12"/>
          <w:szCs w:val="12"/>
          <w:color w:val="auto"/>
        </w:rPr>
        <w:t>if to the Company, to the attention of the General Counsel of the Company at Alumis Inc., 280 East Grand Avenue, South San Francisco, California, 94080, or at such other current address as the Company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shall have furnished to Indemnitee, with a copy (which shall not constitute notice) to David Peinsipp, Cooley LLP, 3 Embarcadero Center, Floor 20, San Francisco, CA 94111.  </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Each such notice or other communication shall for all purposes of this Agreement be treated as effective or having been given (i) if delivered by hand, messenger or courier service, when delivered (or if sent via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nationally-recognized overnight courier service, freight prepaid, specifying next-business-day delivery, one business day after deposit with the courier), (ii) if sent via mail, at the earlier of its receipt or five days after the same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been deposited in a regularly-maintained receptacle for the deposit of the U.S. mail, addressed and mailed as aforesaid, or (iii) if sent via facsimile, upon confirmation of facsimile transfer, or, if sent </w:t>
      </w:r>
      <w:r>
        <w:rPr>
          <w:rFonts w:ascii="Times New Roman" w:cs="Times New Roman" w:eastAsia="Times New Roman" w:hAnsi="Times New Roman"/>
          <w:sz w:val="12"/>
          <w:szCs w:val="12"/>
          <w:i w:val="1"/>
          <w:iCs w:val="1"/>
          <w:color w:val="auto"/>
        </w:rPr>
        <w:t>via</w:t>
      </w:r>
      <w:r>
        <w:rPr>
          <w:rFonts w:ascii="Times New Roman" w:cs="Times New Roman" w:eastAsia="Times New Roman" w:hAnsi="Times New Roman"/>
          <w:sz w:val="12"/>
          <w:szCs w:val="12"/>
          <w:color w:val="auto"/>
        </w:rPr>
        <w:t xml:space="preserve"> electronic mail,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confirmation of delivery when directed to the relevant electronic mail address, in the case of facsimile and electronic mail, if sent during normal business hours of the recipient, or if not sent during normal business hours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recipient, then on the recipient’s next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28.            Applicable Law and Consent to Jurisdiction</w:t>
      </w:r>
      <w:r>
        <w:rPr>
          <w:rFonts w:ascii="Times New Roman" w:cs="Times New Roman" w:eastAsia="Times New Roman" w:hAnsi="Times New Roman"/>
          <w:sz w:val="12"/>
          <w:szCs w:val="12"/>
          <w:color w:val="auto"/>
        </w:rPr>
        <w:t>. This Agreement and the legal relations among the parties shall be governed by, and construed and enforced in accordance with, the laws of the State of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without regard to its conflict of laws rules. Except with respect to any arbitration commenced by Indemnitee pursuant to </w:t>
      </w:r>
      <w:r>
        <w:rPr>
          <w:rFonts w:ascii="Times New Roman" w:cs="Times New Roman" w:eastAsia="Times New Roman" w:hAnsi="Times New Roman"/>
          <w:sz w:val="12"/>
          <w:szCs w:val="12"/>
          <w:u w:val="single" w:color="auto"/>
          <w:color w:val="auto"/>
        </w:rPr>
        <w:t>Section 12(a) </w:t>
      </w:r>
      <w:r>
        <w:rPr>
          <w:rFonts w:ascii="Times New Roman" w:cs="Times New Roman" w:eastAsia="Times New Roman" w:hAnsi="Times New Roman"/>
          <w:sz w:val="12"/>
          <w:szCs w:val="12"/>
          <w:color w:val="auto"/>
        </w:rPr>
        <w:t>hereof, the Company and Indemnitee hereby irrevocably and unconditionally (i) agree that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action or proceeding arising out of or in connection with this Agreement shall be brought only in the Delaware Court of Chancery, and not in any other state or federal court in the United States of America or any court in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country, (ii) consent to submit to the exclusive jurisdiction of the Delaware Court of Chancery for purposes of any action or proceeding arising out of or in connection with this Agreement, (iii) appoint, to the extent such party is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otherwise subject to service of process in the State of Delaware, Corporation Service Company, Wilmington, Delaware as its agent in the State of Delaware as such party’s agent for acceptance of legal process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such action or proceeding against such party with the same legal force and validity as if served upon such party personally within the State of Delaware, (iv) waive any objection to the laying of venue of any such action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proceeding in the Delaware Court of Chancery and (v) waive, and agree not to plead or to make, any claim that any such action or proceeding brought in the Delaware Court of Chancery has been brought in an improper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inconvenient forum.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29.            Counterparts</w:t>
      </w:r>
      <w:r>
        <w:rPr>
          <w:rFonts w:ascii="Times New Roman" w:cs="Times New Roman" w:eastAsia="Times New Roman" w:hAnsi="Times New Roman"/>
          <w:sz w:val="12"/>
          <w:szCs w:val="12"/>
          <w:color w:val="auto"/>
        </w:rPr>
        <w:t>. This Agreement may be executed in one or more counterparts, each of which shall for all purposes be deemed to be an original but all of which together shall constitute one and the same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Agreement may also be executed and delivered by facsimile signature and in counterparts, each of which shall for all purposes be deemed to be an original but all of which together shall constitute one and the same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Only one such counterpart signed by the party against whom enforceability is sought needs to be produced to evidence the existence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30.            Captions</w:t>
      </w:r>
      <w:r>
        <w:rPr>
          <w:rFonts w:ascii="Times New Roman" w:cs="Times New Roman" w:eastAsia="Times New Roman" w:hAnsi="Times New Roman"/>
          <w:sz w:val="12"/>
          <w:szCs w:val="12"/>
          <w:color w:val="auto"/>
        </w:rPr>
        <w:t>. The headings of the paragraphs of this Agreement are inserted for convenience only and shall not be deemed to constitute part of this Agreement or to affect the construction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135" cy="571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63">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194" w:right="29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5"/>
          <w:szCs w:val="15"/>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20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auto"/>
              </w:rPr>
              <w:t>The parties are signing this Indemnification Agreement as of the date stated in the introductory sentence.</w:t>
            </w:r>
          </w:p>
        </w:tc>
        <w:tc>
          <w:tcPr>
            <w:tcW w:w="4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s</w:t>
            </w:r>
          </w:p>
        </w:tc>
        <w:tc>
          <w:tcPr>
            <w:tcW w:w="6200" w:type="dxa"/>
            <w:vAlign w:val="bottom"/>
            <w:vMerge w:val="continue"/>
          </w:tcPr>
          <w:p>
            <w:pPr>
              <w:spacing w:after="0"/>
              <w:rPr>
                <w:sz w:val="12"/>
                <w:szCs w:val="12"/>
                <w:color w:val="auto"/>
              </w:rPr>
            </w:pPr>
          </w:p>
        </w:tc>
        <w:tc>
          <w:tcPr>
            <w:tcW w:w="4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0" w:type="dxa"/>
            <w:vAlign w:val="bottom"/>
            <w:vMerge w:val="continue"/>
          </w:tcPr>
          <w:p>
            <w:pPr>
              <w:spacing w:after="0"/>
              <w:rPr>
                <w:sz w:val="11"/>
                <w:szCs w:val="11"/>
                <w:color w:val="auto"/>
              </w:rPr>
            </w:pPr>
          </w:p>
        </w:tc>
        <w:tc>
          <w:tcPr>
            <w:tcW w:w="6200" w:type="dxa"/>
            <w:vAlign w:val="bottom"/>
            <w:vMerge w:val="restart"/>
          </w:tcPr>
          <w:p>
            <w:pPr>
              <w:ind w:left="5420"/>
              <w:spacing w:after="0"/>
              <w:rPr>
                <w:sz w:val="20"/>
                <w:szCs w:val="20"/>
                <w:color w:val="auto"/>
              </w:rPr>
            </w:pPr>
            <w:r>
              <w:rPr>
                <w:rFonts w:ascii="Times New Roman" w:cs="Times New Roman" w:eastAsia="Times New Roman" w:hAnsi="Times New Roman"/>
                <w:sz w:val="12"/>
                <w:szCs w:val="12"/>
                <w:b w:val="1"/>
                <w:bCs w:val="1"/>
                <w:color w:val="auto"/>
                <w:w w:val="99"/>
              </w:rPr>
              <w:t>ALUMIS INC.</w:t>
            </w:r>
          </w:p>
        </w:tc>
        <w:tc>
          <w:tcPr>
            <w:tcW w:w="4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200" w:type="dxa"/>
            <w:vAlign w:val="bottom"/>
            <w:vMerge w:val="continue"/>
          </w:tcPr>
          <w:p>
            <w:pPr>
              <w:spacing w:after="0"/>
              <w:rPr>
                <w:sz w:val="12"/>
                <w:szCs w:val="12"/>
                <w:color w:val="auto"/>
              </w:rPr>
            </w:pPr>
          </w:p>
        </w:tc>
        <w:tc>
          <w:tcPr>
            <w:tcW w:w="4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200" w:type="dxa"/>
            <w:vAlign w:val="bottom"/>
          </w:tcPr>
          <w:p>
            <w:pPr>
              <w:ind w:left="5420"/>
              <w:spacing w:after="0"/>
              <w:rPr>
                <w:sz w:val="20"/>
                <w:szCs w:val="20"/>
                <w:color w:val="auto"/>
              </w:rPr>
            </w:pPr>
            <w:r>
              <w:rPr>
                <w:rFonts w:ascii="Times New Roman" w:cs="Times New Roman" w:eastAsia="Times New Roman" w:hAnsi="Times New Roman"/>
                <w:sz w:val="12"/>
                <w:szCs w:val="12"/>
                <w:color w:val="auto"/>
              </w:rPr>
              <w:t> </w:t>
            </w:r>
          </w:p>
        </w:tc>
        <w:tc>
          <w:tcPr>
            <w:tcW w:w="4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200" w:type="dxa"/>
            <w:vAlign w:val="bottom"/>
          </w:tcPr>
          <w:p>
            <w:pPr>
              <w:ind w:left="5420"/>
              <w:spacing w:after="0"/>
              <w:rPr>
                <w:sz w:val="20"/>
                <w:szCs w:val="20"/>
                <w:color w:val="auto"/>
              </w:rPr>
            </w:pPr>
            <w:r>
              <w:rPr>
                <w:rFonts w:ascii="Times New Roman" w:cs="Times New Roman" w:eastAsia="Times New Roman" w:hAnsi="Times New Roman"/>
                <w:sz w:val="12"/>
                <w:szCs w:val="12"/>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36"/>
        </w:trPr>
        <w:tc>
          <w:tcPr>
            <w:tcW w:w="24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 </w:t>
            </w:r>
          </w:p>
        </w:tc>
        <w:tc>
          <w:tcPr>
            <w:tcW w:w="6200" w:type="dxa"/>
            <w:vAlign w:val="bottom"/>
          </w:tcPr>
          <w:p>
            <w:pPr>
              <w:ind w:left="5420"/>
              <w:spacing w:after="0" w:line="137"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Borders>
              <w:bottom w:val="single" w:sz="8" w:color="auto"/>
            </w:tcBorders>
          </w:tcPr>
          <w:p>
            <w:pPr>
              <w:spacing w:after="0" w:line="137"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36"/>
        </w:trPr>
        <w:tc>
          <w:tcPr>
            <w:tcW w:w="2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 </w:t>
            </w:r>
          </w:p>
        </w:tc>
        <w:tc>
          <w:tcPr>
            <w:tcW w:w="6200" w:type="dxa"/>
            <w:vAlign w:val="bottom"/>
          </w:tcPr>
          <w:p>
            <w:pPr>
              <w:ind w:left="5420"/>
              <w:spacing w:after="0" w:line="136" w:lineRule="exact"/>
              <w:rPr>
                <w:sz w:val="20"/>
                <w:szCs w:val="20"/>
                <w:color w:val="auto"/>
              </w:rPr>
            </w:pPr>
            <w:r>
              <w:rPr>
                <w:rFonts w:ascii="Times New Roman" w:cs="Times New Roman" w:eastAsia="Times New Roman" w:hAnsi="Times New Roman"/>
                <w:sz w:val="12"/>
                <w:szCs w:val="12"/>
                <w:color w:val="auto"/>
              </w:rPr>
              <w:t>Title:</w:t>
            </w:r>
          </w:p>
        </w:tc>
        <w:tc>
          <w:tcPr>
            <w:tcW w:w="4860" w:type="dxa"/>
            <w:vAlign w:val="bottom"/>
            <w:tcBorders>
              <w:bottom w:val="single" w:sz="8" w:color="auto"/>
            </w:tcBorders>
          </w:tcPr>
          <w:p>
            <w:pPr>
              <w:spacing w:after="0" w:line="136"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12"/>
        </w:trPr>
        <w:tc>
          <w:tcPr>
            <w:tcW w:w="24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 </w:t>
            </w:r>
          </w:p>
        </w:tc>
        <w:tc>
          <w:tcPr>
            <w:tcW w:w="6200" w:type="dxa"/>
            <w:vAlign w:val="bottom"/>
          </w:tcPr>
          <w:p>
            <w:pPr>
              <w:ind w:left="5420"/>
              <w:spacing w:after="0" w:line="112" w:lineRule="exact"/>
              <w:rPr>
                <w:sz w:val="20"/>
                <w:szCs w:val="20"/>
                <w:color w:val="auto"/>
              </w:rPr>
            </w:pPr>
            <w:r>
              <w:rPr>
                <w:rFonts w:ascii="Times New Roman" w:cs="Times New Roman" w:eastAsia="Times New Roman" w:hAnsi="Times New Roman"/>
                <w:sz w:val="12"/>
                <w:szCs w:val="12"/>
                <w:color w:val="auto"/>
              </w:rPr>
              <w:t> </w:t>
            </w:r>
          </w:p>
        </w:tc>
        <w:tc>
          <w:tcPr>
            <w:tcW w:w="4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200" w:type="dxa"/>
            <w:vAlign w:val="bottom"/>
          </w:tcPr>
          <w:p>
            <w:pPr>
              <w:ind w:left="542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8"/>
                <w:szCs w:val="8"/>
                <w:b w:val="1"/>
                <w:bCs w:val="1"/>
                <w:color w:val="auto"/>
              </w:rPr>
              <w:t>indemnitee</w:t>
            </w:r>
            <w:r>
              <w:rPr>
                <w:rFonts w:ascii="Times New Roman" w:cs="Times New Roman" w:eastAsia="Times New Roman" w:hAnsi="Times New Roman"/>
                <w:sz w:val="12"/>
                <w:szCs w:val="12"/>
                <w:b w:val="1"/>
                <w:bCs w:val="1"/>
                <w:color w:val="auto"/>
              </w:rPr>
              <w:t>]</w:t>
            </w:r>
          </w:p>
        </w:tc>
        <w:tc>
          <w:tcPr>
            <w:tcW w:w="4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200" w:type="dxa"/>
            <w:vAlign w:val="bottom"/>
          </w:tcPr>
          <w:p>
            <w:pPr>
              <w:ind w:left="5420"/>
              <w:spacing w:after="0"/>
              <w:rPr>
                <w:sz w:val="20"/>
                <w:szCs w:val="20"/>
                <w:color w:val="auto"/>
              </w:rPr>
            </w:pPr>
            <w:r>
              <w:rPr>
                <w:rFonts w:ascii="Times New Roman" w:cs="Times New Roman" w:eastAsia="Times New Roman" w:hAnsi="Times New Roman"/>
                <w:sz w:val="12"/>
                <w:szCs w:val="12"/>
                <w:color w:val="auto"/>
              </w:rPr>
              <w:t> </w:t>
            </w:r>
          </w:p>
        </w:tc>
        <w:tc>
          <w:tcPr>
            <w:tcW w:w="4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200" w:type="dxa"/>
            <w:vAlign w:val="bottom"/>
          </w:tcPr>
          <w:p>
            <w:pPr>
              <w:ind w:left="5420"/>
              <w:spacing w:after="0"/>
              <w:rPr>
                <w:sz w:val="20"/>
                <w:szCs w:val="20"/>
                <w:color w:val="auto"/>
              </w:rPr>
            </w:pPr>
            <w:r>
              <w:rPr>
                <w:rFonts w:ascii="Times New Roman" w:cs="Times New Roman" w:eastAsia="Times New Roman" w:hAnsi="Times New Roman"/>
                <w:sz w:val="12"/>
                <w:szCs w:val="12"/>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36"/>
        </w:trPr>
        <w:tc>
          <w:tcPr>
            <w:tcW w:w="24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 </w:t>
            </w:r>
          </w:p>
        </w:tc>
        <w:tc>
          <w:tcPr>
            <w:tcW w:w="6200" w:type="dxa"/>
            <w:vAlign w:val="bottom"/>
          </w:tcPr>
          <w:p>
            <w:pPr>
              <w:ind w:left="5420"/>
              <w:spacing w:after="0" w:line="137"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Borders>
              <w:bottom w:val="single" w:sz="8" w:color="auto"/>
            </w:tcBorders>
          </w:tcPr>
          <w:p>
            <w:pPr>
              <w:spacing w:after="0" w:line="137"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36"/>
        </w:trPr>
        <w:tc>
          <w:tcPr>
            <w:tcW w:w="2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 </w:t>
            </w:r>
          </w:p>
        </w:tc>
        <w:tc>
          <w:tcPr>
            <w:tcW w:w="6200" w:type="dxa"/>
            <w:vAlign w:val="bottom"/>
          </w:tcPr>
          <w:p>
            <w:pPr>
              <w:ind w:left="5420"/>
              <w:spacing w:after="0" w:line="136" w:lineRule="exact"/>
              <w:rPr>
                <w:sz w:val="20"/>
                <w:szCs w:val="20"/>
                <w:color w:val="auto"/>
              </w:rPr>
            </w:pPr>
            <w:r>
              <w:rPr>
                <w:rFonts w:ascii="Times New Roman" w:cs="Times New Roman" w:eastAsia="Times New Roman" w:hAnsi="Times New Roman"/>
                <w:sz w:val="12"/>
                <w:szCs w:val="12"/>
                <w:color w:val="auto"/>
              </w:rPr>
              <w:t>Address:</w:t>
            </w:r>
          </w:p>
        </w:tc>
        <w:tc>
          <w:tcPr>
            <w:tcW w:w="4860" w:type="dxa"/>
            <w:vAlign w:val="bottom"/>
            <w:tcBorders>
              <w:bottom w:val="single" w:sz="8" w:color="auto"/>
            </w:tcBorders>
          </w:tcPr>
          <w:p>
            <w:pPr>
              <w:spacing w:after="0" w:line="136"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6"/>
        </w:trPr>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200" w:type="dxa"/>
            <w:vAlign w:val="bottom"/>
          </w:tcPr>
          <w:p>
            <w:pPr>
              <w:ind w:left="5420"/>
              <w:spacing w:after="0"/>
              <w:rPr>
                <w:sz w:val="20"/>
                <w:szCs w:val="20"/>
                <w:color w:val="auto"/>
              </w:rPr>
            </w:pPr>
            <w:r>
              <w:rPr>
                <w:rFonts w:ascii="Times New Roman" w:cs="Times New Roman" w:eastAsia="Times New Roman" w:hAnsi="Times New Roman"/>
                <w:sz w:val="12"/>
                <w:szCs w:val="12"/>
                <w:color w:val="auto"/>
              </w:rPr>
              <w:t> </w:t>
            </w:r>
          </w:p>
        </w:tc>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4090035</wp:posOffset>
            </wp:positionH>
            <wp:positionV relativeFrom="paragraph">
              <wp:posOffset>-5715</wp:posOffset>
            </wp:positionV>
            <wp:extent cx="3082290" cy="571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64">
                      <a:extLst>
                        <a:ext uri="{28A0092B-C50C-407E-A947-70E740481C1C}"/>
                      </a:extLst>
                    </a:blip>
                    <a:srcRect/>
                    <a:stretch>
                      <a:fillRect/>
                    </a:stretch>
                  </pic:blipFill>
                  <pic:spPr bwMode="auto">
                    <a:xfrm>
                      <a:off x="0" y="0"/>
                      <a:ext cx="308229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 </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 to Alumis Inc. Indemnification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76135" cy="571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65">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ectPr>
          <w:pgSz w:w="11900" w:h="16838" w:orient="portrait"/>
          <w:cols w:equalWidth="0" w:num="1">
            <w:col w:w="11300"/>
          </w:cols>
          <w:pgMar w:left="300" w:top="194" w:right="299" w:bottom="1440" w:gutter="0" w:footer="0" w:header="0"/>
        </w:sectPr>
      </w:pPr>
    </w:p>
    <w:bookmarkStart w:id="439" w:name="page440"/>
    <w:bookmarkEnd w:id="439"/>
    <w:p>
      <w:pPr>
        <w:jc w:val="right"/>
        <w:spacing w:after="0"/>
        <w:rPr>
          <w:sz w:val="20"/>
          <w:szCs w:val="20"/>
          <w:color w:val="auto"/>
        </w:rPr>
      </w:pPr>
      <w:r>
        <w:rPr>
          <w:rFonts w:ascii="Times New Roman" w:cs="Times New Roman" w:eastAsia="Times New Roman" w:hAnsi="Times New Roman"/>
          <w:sz w:val="12"/>
          <w:szCs w:val="12"/>
          <w:b w:val="1"/>
          <w:bCs w:val="1"/>
          <w:color w:val="auto"/>
        </w:rPr>
        <w:t>Exhibit 23.1</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CONSENT OF INDEPENDENT REGISTERED PUBLIC ACCOUNTING FIRM</w:t>
      </w:r>
    </w:p>
    <w:p>
      <w:pPr>
        <w:spacing w:after="0" w:line="155" w:lineRule="exact"/>
        <w:rPr>
          <w:sz w:val="20"/>
          <w:szCs w:val="20"/>
          <w:color w:val="auto"/>
        </w:rPr>
      </w:pPr>
    </w:p>
    <w:p>
      <w:pPr>
        <w:jc w:val="both"/>
        <w:ind w:right="520"/>
        <w:spacing w:after="0" w:line="272" w:lineRule="auto"/>
        <w:rPr>
          <w:sz w:val="20"/>
          <w:szCs w:val="20"/>
          <w:color w:val="auto"/>
        </w:rPr>
      </w:pPr>
      <w:r>
        <w:rPr>
          <w:rFonts w:ascii="Times New Roman" w:cs="Times New Roman" w:eastAsia="Times New Roman" w:hAnsi="Times New Roman"/>
          <w:sz w:val="12"/>
          <w:szCs w:val="12"/>
          <w:color w:val="auto"/>
        </w:rPr>
        <w:t>We hereby consent to the use in this Registration Statement on Form S-1 of Alumis Inc. of our report dated April 10, 2024, except for the effects of the reverse stock split discussed in Note 15 to the consolidated financial statements, as to which the date is June 24, 2024, relating to the financial statements of Alumis Inc., which appears in this Registration Statement. We also consent to the reference to us under the heading “Experts” in such Registration Statement.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June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296545</wp:posOffset>
            </wp:positionV>
            <wp:extent cx="7176135" cy="571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66">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440" w:name="page441"/>
    <w:bookmarkEnd w:id="440"/>
    <w:p>
      <w:pPr>
        <w:ind w:left="10707"/>
        <w:spacing w:after="0"/>
        <w:rPr>
          <w:sz w:val="20"/>
          <w:szCs w:val="20"/>
          <w:color w:val="auto"/>
        </w:rPr>
      </w:pPr>
      <w:r>
        <w:rPr>
          <w:rFonts w:ascii="Times New Roman" w:cs="Times New Roman" w:eastAsia="Times New Roman" w:hAnsi="Times New Roman"/>
          <w:sz w:val="12"/>
          <w:szCs w:val="12"/>
          <w:b w:val="1"/>
          <w:bCs w:val="1"/>
          <w:color w:val="auto"/>
        </w:rPr>
        <w:t>Exhibit 107</w:t>
      </w:r>
    </w:p>
    <w:p>
      <w:pPr>
        <w:spacing w:after="0" w:line="15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b w:val="1"/>
          <w:bCs w:val="1"/>
          <w:color w:val="auto"/>
        </w:rPr>
        <w:t>Calculation of Filing Fee Tables</w:t>
      </w:r>
    </w:p>
    <w:p>
      <w:pPr>
        <w:spacing w:after="0" w:line="15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b w:val="1"/>
          <w:bCs w:val="1"/>
          <w:color w:val="auto"/>
        </w:rPr>
        <w:t>Form S-1</w:t>
      </w:r>
    </w:p>
    <w:p>
      <w:pPr>
        <w:spacing w:after="0" w:line="15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15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u w:val="single" w:color="auto"/>
          <w:color w:val="auto"/>
        </w:rPr>
        <w:t>Table 1: Newly Registered Securities</w:t>
      </w:r>
    </w:p>
    <w:p>
      <w:pPr>
        <w:spacing w:after="0" w:line="21" w:lineRule="exact"/>
        <w:rPr>
          <w:sz w:val="20"/>
          <w:szCs w:val="20"/>
          <w:color w:val="auto"/>
        </w:rPr>
      </w:pPr>
    </w:p>
    <w:tbl>
      <w:tblPr>
        <w:tblLayout w:type="fixed"/>
        <w:tblInd w:w="17" w:type="dxa"/>
        <w:tblCellMar>
          <w:top w:w="0" w:type="dxa"/>
          <w:left w:w="0" w:type="dxa"/>
          <w:bottom w:w="0" w:type="dxa"/>
          <w:right w:w="0" w:type="dxa"/>
        </w:tblCellMar>
      </w:tblPr>
      <w:tr>
        <w:trPr>
          <w:trHeight w:val="140"/>
        </w:trPr>
        <w:tc>
          <w:tcPr>
            <w:tcW w:w="2280" w:type="dxa"/>
            <w:vAlign w:val="bottom"/>
            <w:tcBorders>
              <w:top w:val="single" w:sz="8" w:color="auto"/>
              <w:left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1600" w:type="dxa"/>
            <w:vAlign w:val="bottom"/>
            <w:tcBorders>
              <w:top w:val="single" w:sz="8" w:color="auto"/>
              <w:right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ind w:right="59"/>
              <w:spacing w:after="0"/>
              <w:rPr>
                <w:sz w:val="20"/>
                <w:szCs w:val="20"/>
                <w:color w:val="auto"/>
              </w:rPr>
            </w:pPr>
            <w:r>
              <w:rPr>
                <w:rFonts w:ascii="Times New Roman" w:cs="Times New Roman" w:eastAsia="Times New Roman" w:hAnsi="Times New Roman"/>
                <w:sz w:val="12"/>
                <w:szCs w:val="12"/>
                <w:b w:val="1"/>
                <w:bCs w:val="1"/>
                <w:color w:val="auto"/>
                <w:w w:val="99"/>
              </w:rPr>
              <w:t>Fee</w:t>
            </w:r>
          </w:p>
        </w:tc>
        <w:tc>
          <w:tcPr>
            <w:tcW w:w="78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2"/>
                <w:szCs w:val="12"/>
                <w:b w:val="1"/>
                <w:bCs w:val="1"/>
                <w:color w:val="auto"/>
              </w:rPr>
              <w:t>Proposed</w:t>
            </w:r>
          </w:p>
        </w:tc>
        <w:tc>
          <w:tcPr>
            <w:tcW w:w="1700" w:type="dxa"/>
            <w:vAlign w:val="bottom"/>
            <w:tcBorders>
              <w:top w:val="single" w:sz="8" w:color="auto"/>
              <w:right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spacing w:after="0"/>
              <w:rPr>
                <w:sz w:val="12"/>
                <w:szCs w:val="12"/>
                <w:color w:val="auto"/>
              </w:rPr>
            </w:pPr>
          </w:p>
        </w:tc>
        <w:tc>
          <w:tcPr>
            <w:tcW w:w="13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right w:val="single" w:sz="8" w:color="auto"/>
            </w:tcBorders>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Calculation</w:t>
            </w: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ind w:left="19"/>
              <w:spacing w:after="0"/>
              <w:rPr>
                <w:sz w:val="20"/>
                <w:szCs w:val="20"/>
                <w:color w:val="auto"/>
              </w:rPr>
            </w:pPr>
            <w:r>
              <w:rPr>
                <w:rFonts w:ascii="Times New Roman" w:cs="Times New Roman" w:eastAsia="Times New Roman" w:hAnsi="Times New Roman"/>
                <w:sz w:val="12"/>
                <w:szCs w:val="12"/>
                <w:b w:val="1"/>
                <w:bCs w:val="1"/>
                <w:color w:val="auto"/>
              </w:rPr>
              <w:t>Maximum</w:t>
            </w:r>
          </w:p>
        </w:tc>
        <w:tc>
          <w:tcPr>
            <w:tcW w:w="170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or Carry</w:t>
            </w: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ind w:left="19"/>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1700" w:type="dxa"/>
            <w:vAlign w:val="bottom"/>
            <w:tcBorders>
              <w:right w:val="single" w:sz="8" w:color="auto"/>
            </w:tcBorders>
          </w:tcPr>
          <w:p>
            <w:pPr>
              <w:jc w:val="center"/>
              <w:ind w:left="19"/>
              <w:spacing w:after="0"/>
              <w:rPr>
                <w:sz w:val="20"/>
                <w:szCs w:val="20"/>
                <w:color w:val="auto"/>
              </w:rPr>
            </w:pPr>
            <w:r>
              <w:rPr>
                <w:rFonts w:ascii="Times New Roman" w:cs="Times New Roman" w:eastAsia="Times New Roman" w:hAnsi="Times New Roman"/>
                <w:sz w:val="12"/>
                <w:szCs w:val="12"/>
                <w:b w:val="1"/>
                <w:bCs w:val="1"/>
                <w:color w:val="auto"/>
              </w:rPr>
              <w:t>Maximum</w:t>
            </w:r>
          </w:p>
        </w:tc>
        <w:tc>
          <w:tcPr>
            <w:tcW w:w="122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Amount of</w:t>
            </w:r>
          </w:p>
        </w:tc>
        <w:tc>
          <w:tcPr>
            <w:tcW w:w="0" w:type="dxa"/>
            <w:vAlign w:val="bottom"/>
          </w:tcPr>
          <w:p>
            <w:pPr>
              <w:spacing w:after="0"/>
              <w:rPr>
                <w:sz w:val="1"/>
                <w:szCs w:val="1"/>
                <w:color w:val="auto"/>
              </w:rPr>
            </w:pPr>
          </w:p>
        </w:tc>
      </w:tr>
      <w:tr>
        <w:trPr>
          <w:trHeight w:val="147"/>
        </w:trPr>
        <w:tc>
          <w:tcPr>
            <w:tcW w:w="228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jc w:val="center"/>
              <w:ind w:left="19"/>
              <w:spacing w:after="0"/>
              <w:rPr>
                <w:sz w:val="20"/>
                <w:szCs w:val="20"/>
                <w:color w:val="auto"/>
              </w:rPr>
            </w:pPr>
            <w:r>
              <w:rPr>
                <w:rFonts w:ascii="Times New Roman" w:cs="Times New Roman" w:eastAsia="Times New Roman" w:hAnsi="Times New Roman"/>
                <w:sz w:val="12"/>
                <w:szCs w:val="12"/>
                <w:b w:val="1"/>
                <w:bCs w:val="1"/>
                <w:color w:val="auto"/>
              </w:rPr>
              <w:t>Security</w:t>
            </w:r>
          </w:p>
        </w:tc>
        <w:tc>
          <w:tcPr>
            <w:tcW w:w="16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Forward</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80" w:type="dxa"/>
            <w:vAlign w:val="bottom"/>
            <w:tcBorders>
              <w:right w:val="single" w:sz="8" w:color="auto"/>
            </w:tcBorders>
          </w:tcPr>
          <w:p>
            <w:pPr>
              <w:jc w:val="center"/>
              <w:ind w:left="19"/>
              <w:spacing w:after="0"/>
              <w:rPr>
                <w:sz w:val="20"/>
                <w:szCs w:val="20"/>
                <w:color w:val="auto"/>
              </w:rPr>
            </w:pPr>
            <w:r>
              <w:rPr>
                <w:rFonts w:ascii="Times New Roman" w:cs="Times New Roman" w:eastAsia="Times New Roman" w:hAnsi="Times New Roman"/>
                <w:sz w:val="12"/>
                <w:szCs w:val="12"/>
                <w:b w:val="1"/>
                <w:bCs w:val="1"/>
                <w:color w:val="auto"/>
              </w:rPr>
              <w:t>Price Per</w:t>
            </w:r>
          </w:p>
        </w:tc>
        <w:tc>
          <w:tcPr>
            <w:tcW w:w="1700" w:type="dxa"/>
            <w:vAlign w:val="bottom"/>
            <w:tcBorders>
              <w:right w:val="single" w:sz="8" w:color="auto"/>
            </w:tcBorders>
          </w:tcPr>
          <w:p>
            <w:pPr>
              <w:jc w:val="center"/>
              <w:ind w:left="19"/>
              <w:spacing w:after="0"/>
              <w:rPr>
                <w:sz w:val="20"/>
                <w:szCs w:val="20"/>
                <w:color w:val="auto"/>
              </w:rPr>
            </w:pPr>
            <w:r>
              <w:rPr>
                <w:rFonts w:ascii="Times New Roman" w:cs="Times New Roman" w:eastAsia="Times New Roman" w:hAnsi="Times New Roman"/>
                <w:sz w:val="12"/>
                <w:szCs w:val="12"/>
                <w:b w:val="1"/>
                <w:bCs w:val="1"/>
                <w:color w:val="auto"/>
              </w:rPr>
              <w:t>Aggregate</w:t>
            </w:r>
          </w:p>
        </w:tc>
        <w:tc>
          <w:tcPr>
            <w:tcW w:w="122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Registration</w:t>
            </w:r>
          </w:p>
        </w:tc>
        <w:tc>
          <w:tcPr>
            <w:tcW w:w="0" w:type="dxa"/>
            <w:vAlign w:val="bottom"/>
          </w:tcPr>
          <w:p>
            <w:pPr>
              <w:spacing w:after="0"/>
              <w:rPr>
                <w:sz w:val="1"/>
                <w:szCs w:val="1"/>
                <w:color w:val="auto"/>
              </w:rPr>
            </w:pPr>
          </w:p>
        </w:tc>
      </w:tr>
      <w:tr>
        <w:trPr>
          <w:trHeight w:val="166"/>
        </w:trPr>
        <w:tc>
          <w:tcPr>
            <w:tcW w:w="22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2"/>
                <w:szCs w:val="12"/>
                <w:b w:val="1"/>
                <w:bCs w:val="1"/>
                <w:color w:val="auto"/>
                <w:w w:val="92"/>
              </w:rPr>
              <w:t>Type</w:t>
            </w:r>
          </w:p>
        </w:tc>
        <w:tc>
          <w:tcPr>
            <w:tcW w:w="160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2"/>
                <w:szCs w:val="12"/>
                <w:b w:val="1"/>
                <w:bCs w:val="1"/>
                <w:color w:val="auto"/>
                <w:w w:val="99"/>
              </w:rPr>
              <w:t>Security Class Title</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9"/>
              </w:rPr>
              <w:t>Rule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Registered</w:t>
            </w:r>
          </w:p>
        </w:tc>
        <w:tc>
          <w:tcPr>
            <w:tcW w:w="78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2"/>
                <w:szCs w:val="12"/>
                <w:b w:val="1"/>
                <w:bCs w:val="1"/>
                <w:color w:val="auto"/>
                <w:w w:val="96"/>
              </w:rPr>
              <w:t>Unit</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Offering Price(1)(2)</w:t>
            </w:r>
          </w:p>
        </w:tc>
        <w:tc>
          <w:tcPr>
            <w:tcW w:w="122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2"/>
                <w:szCs w:val="12"/>
                <w:b w:val="1"/>
                <w:bCs w:val="1"/>
                <w:color w:val="auto"/>
              </w:rPr>
              <w:t>Fee Rate</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Fee</w:t>
            </w:r>
          </w:p>
        </w:tc>
        <w:tc>
          <w:tcPr>
            <w:tcW w:w="0" w:type="dxa"/>
            <w:vAlign w:val="bottom"/>
          </w:tcPr>
          <w:p>
            <w:pPr>
              <w:spacing w:after="0"/>
              <w:rPr>
                <w:sz w:val="1"/>
                <w:szCs w:val="1"/>
                <w:color w:val="auto"/>
              </w:rPr>
            </w:pPr>
          </w:p>
        </w:tc>
      </w:tr>
      <w:tr>
        <w:trPr>
          <w:trHeight w:val="137"/>
        </w:trPr>
        <w:tc>
          <w:tcPr>
            <w:tcW w:w="228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ind w:left="19"/>
              <w:spacing w:after="0" w:line="137" w:lineRule="exact"/>
              <w:rPr>
                <w:sz w:val="20"/>
                <w:szCs w:val="20"/>
                <w:color w:val="auto"/>
              </w:rPr>
            </w:pPr>
            <w:r>
              <w:rPr>
                <w:rFonts w:ascii="Times New Roman" w:cs="Times New Roman" w:eastAsia="Times New Roman" w:hAnsi="Times New Roman"/>
                <w:sz w:val="12"/>
                <w:szCs w:val="12"/>
                <w:color w:val="auto"/>
              </w:rPr>
              <w:t>Common Stock,</w:t>
            </w:r>
          </w:p>
        </w:tc>
        <w:tc>
          <w:tcPr>
            <w:tcW w:w="1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2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2"/>
                <w:szCs w:val="12"/>
                <w:color w:val="auto"/>
              </w:rPr>
              <w:t>Fees to Be Paid</w:t>
            </w:r>
          </w:p>
        </w:tc>
        <w:tc>
          <w:tcPr>
            <w:tcW w:w="680" w:type="dxa"/>
            <w:vAlign w:val="bottom"/>
            <w:tcBorders>
              <w:right w:val="single" w:sz="8" w:color="auto"/>
            </w:tcBorders>
            <w:vMerge w:val="restart"/>
          </w:tcPr>
          <w:p>
            <w:pPr>
              <w:jc w:val="center"/>
              <w:ind w:left="19"/>
              <w:spacing w:after="0"/>
              <w:rPr>
                <w:sz w:val="20"/>
                <w:szCs w:val="20"/>
                <w:color w:val="auto"/>
              </w:rPr>
            </w:pPr>
            <w:r>
              <w:rPr>
                <w:rFonts w:ascii="Times New Roman" w:cs="Times New Roman" w:eastAsia="Times New Roman" w:hAnsi="Times New Roman"/>
                <w:sz w:val="12"/>
                <w:szCs w:val="12"/>
                <w:color w:val="auto"/>
                <w:w w:val="99"/>
              </w:rPr>
              <w:t>Equity</w:t>
            </w:r>
          </w:p>
        </w:tc>
        <w:tc>
          <w:tcPr>
            <w:tcW w:w="1600" w:type="dxa"/>
            <w:vAlign w:val="bottom"/>
            <w:tcBorders>
              <w:right w:val="single" w:sz="8" w:color="auto"/>
            </w:tcBorders>
          </w:tcPr>
          <w:p>
            <w:pPr>
              <w:jc w:val="center"/>
              <w:ind w:left="19"/>
              <w:spacing w:after="0"/>
              <w:rPr>
                <w:sz w:val="20"/>
                <w:szCs w:val="20"/>
                <w:color w:val="auto"/>
              </w:rPr>
            </w:pPr>
            <w:r>
              <w:rPr>
                <w:rFonts w:ascii="Times New Roman" w:cs="Times New Roman" w:eastAsia="Times New Roman" w:hAnsi="Times New Roman"/>
                <w:sz w:val="12"/>
                <w:szCs w:val="12"/>
                <w:color w:val="auto"/>
                <w:w w:val="99"/>
              </w:rPr>
              <w:t>par value</w:t>
            </w:r>
          </w:p>
        </w:tc>
        <w:tc>
          <w:tcPr>
            <w:tcW w:w="180" w:type="dxa"/>
            <w:vAlign w:val="bottom"/>
          </w:tcPr>
          <w:p>
            <w:pPr>
              <w:spacing w:after="0"/>
              <w:rPr>
                <w:sz w:val="12"/>
                <w:szCs w:val="12"/>
                <w:color w:val="auto"/>
              </w:rPr>
            </w:pPr>
          </w:p>
        </w:tc>
        <w:tc>
          <w:tcPr>
            <w:tcW w:w="740" w:type="dxa"/>
            <w:vAlign w:val="bottom"/>
            <w:tcBorders>
              <w:right w:val="single" w:sz="8" w:color="auto"/>
            </w:tcBorders>
            <w:vMerge w:val="restart"/>
          </w:tcPr>
          <w:p>
            <w:pPr>
              <w:jc w:val="center"/>
              <w:ind w:right="39"/>
              <w:spacing w:after="0"/>
              <w:rPr>
                <w:sz w:val="20"/>
                <w:szCs w:val="20"/>
                <w:color w:val="auto"/>
              </w:rPr>
            </w:pPr>
            <w:r>
              <w:rPr>
                <w:rFonts w:ascii="Times New Roman" w:cs="Times New Roman" w:eastAsia="Times New Roman" w:hAnsi="Times New Roman"/>
                <w:sz w:val="12"/>
                <w:szCs w:val="12"/>
                <w:color w:val="auto"/>
                <w:w w:val="99"/>
              </w:rPr>
              <w:t>457(o)</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700" w:type="dxa"/>
            <w:vAlign w:val="bottom"/>
            <w:tcBorders>
              <w:right w:val="single" w:sz="8" w:color="auto"/>
            </w:tcBorders>
            <w:vMerge w:val="restart"/>
          </w:tcPr>
          <w:p>
            <w:pPr>
              <w:jc w:val="center"/>
              <w:ind w:left="19"/>
              <w:spacing w:after="0"/>
              <w:rPr>
                <w:sz w:val="20"/>
                <w:szCs w:val="20"/>
                <w:color w:val="auto"/>
              </w:rPr>
            </w:pPr>
            <w:r>
              <w:rPr>
                <w:rFonts w:ascii="Times New Roman" w:cs="Times New Roman" w:eastAsia="Times New Roman" w:hAnsi="Times New Roman"/>
                <w:sz w:val="12"/>
                <w:szCs w:val="12"/>
                <w:color w:val="auto"/>
              </w:rPr>
              <w:t>$365,355,000.00</w:t>
            </w:r>
          </w:p>
        </w:tc>
        <w:tc>
          <w:tcPr>
            <w:tcW w:w="1220" w:type="dxa"/>
            <w:vAlign w:val="bottom"/>
            <w:tcBorders>
              <w:right w:val="single" w:sz="8" w:color="auto"/>
            </w:tcBorders>
            <w:vMerge w:val="restart"/>
          </w:tcPr>
          <w:p>
            <w:pPr>
              <w:jc w:val="center"/>
              <w:ind w:left="19"/>
              <w:spacing w:after="0"/>
              <w:rPr>
                <w:sz w:val="20"/>
                <w:szCs w:val="20"/>
                <w:color w:val="auto"/>
              </w:rPr>
            </w:pPr>
            <w:r>
              <w:rPr>
                <w:rFonts w:ascii="Times New Roman" w:cs="Times New Roman" w:eastAsia="Times New Roman" w:hAnsi="Times New Roman"/>
                <w:sz w:val="12"/>
                <w:szCs w:val="12"/>
                <w:color w:val="auto"/>
              </w:rPr>
              <w:t>0.00014760</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$53,926.40</w:t>
            </w:r>
          </w:p>
        </w:tc>
        <w:tc>
          <w:tcPr>
            <w:tcW w:w="0" w:type="dxa"/>
            <w:vAlign w:val="bottom"/>
          </w:tcPr>
          <w:p>
            <w:pPr>
              <w:spacing w:after="0"/>
              <w:rPr>
                <w:sz w:val="1"/>
                <w:szCs w:val="1"/>
                <w:color w:val="auto"/>
              </w:rPr>
            </w:pPr>
          </w:p>
        </w:tc>
      </w:tr>
      <w:tr>
        <w:trPr>
          <w:trHeight w:val="86"/>
        </w:trPr>
        <w:tc>
          <w:tcPr>
            <w:tcW w:w="2280" w:type="dxa"/>
            <w:vAlign w:val="bottom"/>
            <w:tcBorders>
              <w:left w:val="single" w:sz="8" w:color="auto"/>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vMerge w:val="restart"/>
          </w:tcPr>
          <w:p>
            <w:pPr>
              <w:jc w:val="center"/>
              <w:ind w:left="19"/>
              <w:spacing w:after="0"/>
              <w:rPr>
                <w:sz w:val="20"/>
                <w:szCs w:val="20"/>
                <w:color w:val="auto"/>
              </w:rPr>
            </w:pPr>
            <w:r>
              <w:rPr>
                <w:rFonts w:ascii="Times New Roman" w:cs="Times New Roman" w:eastAsia="Times New Roman" w:hAnsi="Times New Roman"/>
                <w:sz w:val="12"/>
                <w:szCs w:val="12"/>
                <w:color w:val="auto"/>
              </w:rPr>
              <w:t>$0.0001 per</w:t>
            </w:r>
          </w:p>
        </w:tc>
        <w:tc>
          <w:tcPr>
            <w:tcW w:w="18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280" w:type="dxa"/>
            <w:vAlign w:val="bottom"/>
            <w:tcBorders>
              <w:left w:val="single" w:sz="8" w:color="auto"/>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600" w:type="dxa"/>
            <w:vAlign w:val="bottom"/>
            <w:tcBorders>
              <w:right w:val="single" w:sz="8" w:color="auto"/>
            </w:tcBorders>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280" w:type="dxa"/>
            <w:vAlign w:val="bottom"/>
            <w:tcBorders>
              <w:left w:val="single" w:sz="8" w:color="auto"/>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share</w:t>
            </w:r>
          </w:p>
        </w:tc>
        <w:tc>
          <w:tcPr>
            <w:tcW w:w="18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28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9"/>
              <w:spacing w:after="0"/>
              <w:rPr>
                <w:sz w:val="20"/>
                <w:szCs w:val="20"/>
                <w:color w:val="auto"/>
              </w:rPr>
            </w:pPr>
            <w:r>
              <w:rPr>
                <w:rFonts w:ascii="Times New Roman" w:cs="Times New Roman" w:eastAsia="Times New Roman" w:hAnsi="Times New Roman"/>
                <w:sz w:val="12"/>
                <w:szCs w:val="12"/>
                <w:color w:val="auto"/>
              </w:rPr>
              <w:t>Common Stock,</w:t>
            </w:r>
          </w:p>
        </w:tc>
        <w:tc>
          <w:tcPr>
            <w:tcW w:w="18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2"/>
                <w:szCs w:val="12"/>
                <w:color w:val="auto"/>
              </w:rPr>
              <w:t>Fees Previously Paid</w:t>
            </w:r>
          </w:p>
        </w:tc>
        <w:tc>
          <w:tcPr>
            <w:tcW w:w="680" w:type="dxa"/>
            <w:vAlign w:val="bottom"/>
            <w:tcBorders>
              <w:right w:val="single" w:sz="8" w:color="auto"/>
            </w:tcBorders>
            <w:vMerge w:val="restart"/>
          </w:tcPr>
          <w:p>
            <w:pPr>
              <w:jc w:val="center"/>
              <w:ind w:left="19"/>
              <w:spacing w:after="0"/>
              <w:rPr>
                <w:sz w:val="20"/>
                <w:szCs w:val="20"/>
                <w:color w:val="auto"/>
              </w:rPr>
            </w:pPr>
            <w:r>
              <w:rPr>
                <w:rFonts w:ascii="Times New Roman" w:cs="Times New Roman" w:eastAsia="Times New Roman" w:hAnsi="Times New Roman"/>
                <w:sz w:val="12"/>
                <w:szCs w:val="12"/>
                <w:color w:val="auto"/>
                <w:w w:val="99"/>
              </w:rPr>
              <w:t>Equity</w:t>
            </w:r>
          </w:p>
        </w:tc>
        <w:tc>
          <w:tcPr>
            <w:tcW w:w="1600" w:type="dxa"/>
            <w:vAlign w:val="bottom"/>
            <w:tcBorders>
              <w:right w:val="single" w:sz="8" w:color="auto"/>
            </w:tcBorders>
          </w:tcPr>
          <w:p>
            <w:pPr>
              <w:jc w:val="center"/>
              <w:ind w:left="19"/>
              <w:spacing w:after="0"/>
              <w:rPr>
                <w:sz w:val="20"/>
                <w:szCs w:val="20"/>
                <w:color w:val="auto"/>
              </w:rPr>
            </w:pPr>
            <w:r>
              <w:rPr>
                <w:rFonts w:ascii="Times New Roman" w:cs="Times New Roman" w:eastAsia="Times New Roman" w:hAnsi="Times New Roman"/>
                <w:sz w:val="12"/>
                <w:szCs w:val="12"/>
                <w:color w:val="auto"/>
                <w:w w:val="99"/>
              </w:rPr>
              <w:t>par value</w:t>
            </w:r>
          </w:p>
        </w:tc>
        <w:tc>
          <w:tcPr>
            <w:tcW w:w="180" w:type="dxa"/>
            <w:vAlign w:val="bottom"/>
          </w:tcPr>
          <w:p>
            <w:pPr>
              <w:spacing w:after="0"/>
              <w:rPr>
                <w:sz w:val="12"/>
                <w:szCs w:val="12"/>
                <w:color w:val="auto"/>
              </w:rPr>
            </w:pPr>
          </w:p>
        </w:tc>
        <w:tc>
          <w:tcPr>
            <w:tcW w:w="740" w:type="dxa"/>
            <w:vAlign w:val="bottom"/>
            <w:tcBorders>
              <w:right w:val="single" w:sz="8" w:color="auto"/>
            </w:tcBorders>
            <w:vMerge w:val="restart"/>
          </w:tcPr>
          <w:p>
            <w:pPr>
              <w:jc w:val="center"/>
              <w:ind w:right="39"/>
              <w:spacing w:after="0"/>
              <w:rPr>
                <w:sz w:val="20"/>
                <w:szCs w:val="20"/>
                <w:color w:val="auto"/>
              </w:rPr>
            </w:pPr>
            <w:r>
              <w:rPr>
                <w:rFonts w:ascii="Times New Roman" w:cs="Times New Roman" w:eastAsia="Times New Roman" w:hAnsi="Times New Roman"/>
                <w:sz w:val="12"/>
                <w:szCs w:val="12"/>
                <w:color w:val="auto"/>
                <w:w w:val="99"/>
              </w:rPr>
              <w:t>457(o)</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700" w:type="dxa"/>
            <w:vAlign w:val="bottom"/>
            <w:tcBorders>
              <w:right w:val="single" w:sz="8" w:color="auto"/>
            </w:tcBorders>
            <w:vMerge w:val="restart"/>
          </w:tcPr>
          <w:p>
            <w:pPr>
              <w:jc w:val="center"/>
              <w:ind w:left="19"/>
              <w:spacing w:after="0"/>
              <w:rPr>
                <w:sz w:val="20"/>
                <w:szCs w:val="20"/>
                <w:color w:val="auto"/>
              </w:rPr>
            </w:pPr>
            <w:r>
              <w:rPr>
                <w:rFonts w:ascii="Times New Roman" w:cs="Times New Roman" w:eastAsia="Times New Roman" w:hAnsi="Times New Roman"/>
                <w:sz w:val="12"/>
                <w:szCs w:val="12"/>
                <w:color w:val="auto"/>
              </w:rPr>
              <w:t>$100,000,000.00</w:t>
            </w:r>
          </w:p>
        </w:tc>
        <w:tc>
          <w:tcPr>
            <w:tcW w:w="1220" w:type="dxa"/>
            <w:vAlign w:val="bottom"/>
            <w:tcBorders>
              <w:right w:val="single" w:sz="8" w:color="auto"/>
            </w:tcBorders>
            <w:vMerge w:val="restart"/>
          </w:tcPr>
          <w:p>
            <w:pPr>
              <w:jc w:val="center"/>
              <w:ind w:left="19"/>
              <w:spacing w:after="0"/>
              <w:rPr>
                <w:sz w:val="20"/>
                <w:szCs w:val="20"/>
                <w:color w:val="auto"/>
              </w:rPr>
            </w:pPr>
            <w:r>
              <w:rPr>
                <w:rFonts w:ascii="Times New Roman" w:cs="Times New Roman" w:eastAsia="Times New Roman" w:hAnsi="Times New Roman"/>
                <w:sz w:val="12"/>
                <w:szCs w:val="12"/>
                <w:color w:val="auto"/>
              </w:rPr>
              <w:t>0.00014760</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$14,760.00</w:t>
            </w:r>
          </w:p>
        </w:tc>
        <w:tc>
          <w:tcPr>
            <w:tcW w:w="0" w:type="dxa"/>
            <w:vAlign w:val="bottom"/>
          </w:tcPr>
          <w:p>
            <w:pPr>
              <w:spacing w:after="0"/>
              <w:rPr>
                <w:sz w:val="1"/>
                <w:szCs w:val="1"/>
                <w:color w:val="auto"/>
              </w:rPr>
            </w:pPr>
          </w:p>
        </w:tc>
      </w:tr>
      <w:tr>
        <w:trPr>
          <w:trHeight w:val="86"/>
        </w:trPr>
        <w:tc>
          <w:tcPr>
            <w:tcW w:w="2280" w:type="dxa"/>
            <w:vAlign w:val="bottom"/>
            <w:tcBorders>
              <w:left w:val="single" w:sz="8" w:color="auto"/>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vMerge w:val="restart"/>
          </w:tcPr>
          <w:p>
            <w:pPr>
              <w:jc w:val="center"/>
              <w:ind w:left="19"/>
              <w:spacing w:after="0"/>
              <w:rPr>
                <w:sz w:val="20"/>
                <w:szCs w:val="20"/>
                <w:color w:val="auto"/>
              </w:rPr>
            </w:pPr>
            <w:r>
              <w:rPr>
                <w:rFonts w:ascii="Times New Roman" w:cs="Times New Roman" w:eastAsia="Times New Roman" w:hAnsi="Times New Roman"/>
                <w:sz w:val="12"/>
                <w:szCs w:val="12"/>
                <w:color w:val="auto"/>
              </w:rPr>
              <w:t>$0.0001 per</w:t>
            </w:r>
          </w:p>
        </w:tc>
        <w:tc>
          <w:tcPr>
            <w:tcW w:w="18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280" w:type="dxa"/>
            <w:vAlign w:val="bottom"/>
            <w:tcBorders>
              <w:left w:val="single" w:sz="8" w:color="auto"/>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600" w:type="dxa"/>
            <w:vAlign w:val="bottom"/>
            <w:tcBorders>
              <w:right w:val="single" w:sz="8" w:color="auto"/>
            </w:tcBorders>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2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share</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3"/>
          </w:tcPr>
          <w:p>
            <w:pPr>
              <w:jc w:val="center"/>
              <w:ind w:left="119"/>
              <w:spacing w:after="0"/>
              <w:rPr>
                <w:sz w:val="20"/>
                <w:szCs w:val="20"/>
                <w:color w:val="auto"/>
              </w:rPr>
            </w:pPr>
            <w:r>
              <w:rPr>
                <w:rFonts w:ascii="Times New Roman" w:cs="Times New Roman" w:eastAsia="Times New Roman" w:hAnsi="Times New Roman"/>
                <w:sz w:val="12"/>
                <w:szCs w:val="12"/>
                <w:b w:val="1"/>
                <w:bCs w:val="1"/>
                <w:color w:val="auto"/>
              </w:rPr>
              <w:t>Total Offering Amounts</w:t>
            </w:r>
          </w:p>
        </w:tc>
        <w:tc>
          <w:tcPr>
            <w:tcW w:w="7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2"/>
                <w:szCs w:val="12"/>
                <w:color w:val="auto"/>
              </w:rPr>
              <w:t>$365,355,000.00</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$53,926.40</w:t>
            </w:r>
          </w:p>
        </w:tc>
        <w:tc>
          <w:tcPr>
            <w:tcW w:w="0" w:type="dxa"/>
            <w:vAlign w:val="bottom"/>
          </w:tcPr>
          <w:p>
            <w:pPr>
              <w:spacing w:after="0"/>
              <w:rPr>
                <w:sz w:val="1"/>
                <w:szCs w:val="1"/>
                <w:color w:val="auto"/>
              </w:rPr>
            </w:pPr>
          </w:p>
        </w:tc>
      </w:tr>
      <w:tr>
        <w:trPr>
          <w:trHeight w:val="141"/>
        </w:trPr>
        <w:tc>
          <w:tcPr>
            <w:tcW w:w="2280" w:type="dxa"/>
            <w:vAlign w:val="bottom"/>
            <w:tcBorders>
              <w:left w:val="single" w:sz="8" w:color="auto"/>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520" w:type="dxa"/>
            <w:vAlign w:val="bottom"/>
            <w:gridSpan w:val="3"/>
          </w:tcPr>
          <w:p>
            <w:pPr>
              <w:jc w:val="center"/>
              <w:ind w:left="119"/>
              <w:spacing w:after="0"/>
              <w:rPr>
                <w:sz w:val="20"/>
                <w:szCs w:val="20"/>
                <w:color w:val="auto"/>
              </w:rPr>
            </w:pPr>
            <w:r>
              <w:rPr>
                <w:rFonts w:ascii="Times New Roman" w:cs="Times New Roman" w:eastAsia="Times New Roman" w:hAnsi="Times New Roman"/>
                <w:sz w:val="12"/>
                <w:szCs w:val="12"/>
                <w:b w:val="1"/>
                <w:bCs w:val="1"/>
                <w:color w:val="auto"/>
              </w:rPr>
              <w:t>Total Fees Previously Paid</w:t>
            </w: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$14,760.00</w:t>
            </w:r>
          </w:p>
        </w:tc>
        <w:tc>
          <w:tcPr>
            <w:tcW w:w="0" w:type="dxa"/>
            <w:vAlign w:val="bottom"/>
          </w:tcPr>
          <w:p>
            <w:pPr>
              <w:spacing w:after="0"/>
              <w:rPr>
                <w:sz w:val="1"/>
                <w:szCs w:val="1"/>
                <w:color w:val="auto"/>
              </w:rPr>
            </w:pPr>
          </w:p>
        </w:tc>
      </w:tr>
      <w:tr>
        <w:trPr>
          <w:trHeight w:val="166"/>
        </w:trPr>
        <w:tc>
          <w:tcPr>
            <w:tcW w:w="22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center"/>
              <w:ind w:left="839"/>
              <w:spacing w:after="0"/>
              <w:rPr>
                <w:sz w:val="20"/>
                <w:szCs w:val="20"/>
                <w:color w:val="auto"/>
              </w:rPr>
            </w:pPr>
            <w:r>
              <w:rPr>
                <w:rFonts w:ascii="Times New Roman" w:cs="Times New Roman" w:eastAsia="Times New Roman" w:hAnsi="Times New Roman"/>
                <w:sz w:val="12"/>
                <w:szCs w:val="12"/>
                <w:b w:val="1"/>
                <w:bCs w:val="1"/>
                <w:color w:val="auto"/>
              </w:rPr>
              <w:t>Total Fee Offsets</w:t>
            </w:r>
          </w:p>
        </w:tc>
        <w:tc>
          <w:tcPr>
            <w:tcW w:w="7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7"/>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jc w:val="center"/>
              <w:ind w:left="839"/>
              <w:spacing w:after="0"/>
              <w:rPr>
                <w:sz w:val="20"/>
                <w:szCs w:val="20"/>
                <w:color w:val="auto"/>
              </w:rPr>
            </w:pPr>
            <w:r>
              <w:rPr>
                <w:rFonts w:ascii="Times New Roman" w:cs="Times New Roman" w:eastAsia="Times New Roman" w:hAnsi="Times New Roman"/>
                <w:sz w:val="12"/>
                <w:szCs w:val="12"/>
                <w:b w:val="1"/>
                <w:bCs w:val="1"/>
                <w:color w:val="auto"/>
              </w:rPr>
              <w:t>Net Fee Due</w:t>
            </w:r>
          </w:p>
        </w:tc>
        <w:tc>
          <w:tcPr>
            <w:tcW w:w="74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$39,166.40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47" w:hanging="447"/>
        <w:spacing w:after="0"/>
        <w:tabs>
          <w:tab w:leader="none" w:pos="447"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Estimated solely for the purpose of calculating the registration fee pursuant to Rule 457(o) under the Securities Act of 1933, as amended.</w:t>
      </w:r>
    </w:p>
    <w:p>
      <w:pPr>
        <w:spacing w:after="0" w:line="20" w:lineRule="exact"/>
        <w:rPr>
          <w:rFonts w:ascii="Times New Roman" w:cs="Times New Roman" w:eastAsia="Times New Roman" w:hAnsi="Times New Roman"/>
          <w:sz w:val="12"/>
          <w:szCs w:val="12"/>
          <w:color w:val="auto"/>
        </w:rPr>
      </w:pPr>
    </w:p>
    <w:p>
      <w:pPr>
        <w:ind w:left="447" w:hanging="447"/>
        <w:spacing w:after="0"/>
        <w:tabs>
          <w:tab w:leader="none" w:pos="447"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the aggregate offering price of shares subject to the underwriters’ option to purchase additional shares of our common stock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7176135" cy="571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67">
                      <a:extLst>
                        <a:ext uri="{28A0092B-C50C-407E-A947-70E740481C1C}"/>
                      </a:extLst>
                    </a:blip>
                    <a:srcRect/>
                    <a:stretch>
                      <a:fillRect/>
                    </a:stretch>
                  </pic:blipFill>
                  <pic:spPr bwMode="auto">
                    <a:xfrm>
                      <a:off x="0" y="0"/>
                      <a:ext cx="7176135" cy="5715"/>
                    </a:xfrm>
                    <a:prstGeom prst="rect">
                      <a:avLst/>
                    </a:prstGeom>
                    <a:noFill/>
                  </pic:spPr>
                </pic:pic>
              </a:graphicData>
            </a:graphic>
          </wp:anchor>
        </w:drawing>
      </w:r>
    </w:p>
    <w:sectPr>
      <w:pgSz w:w="11900" w:h="16838" w:orient="portrait"/>
      <w:cols w:equalWidth="0" w:num="1">
        <w:col w:w="11307"/>
      </w:cols>
      <w:pgMar w:left="293" w:top="28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3F18422"/>
    <w:multiLevelType w:val="hybridMultilevel"/>
    <w:lvl w:ilvl="0">
      <w:lvlJc w:val="left"/>
      <w:lvlText w:val="(%1)"/>
      <w:numFmt w:val="decimal"/>
      <w:start w:val="1"/>
    </w:lvl>
  </w:abstractNum>
  <w:abstractNum w:abstractNumId="1">
    <w:nsid w:val="60EF0119"/>
    <w:multiLevelType w:val="hybridMultilevel"/>
    <w:lvl w:ilvl="0">
      <w:lvlJc w:val="left"/>
      <w:lvlText w:val="•"/>
      <w:numFmt w:val="bullet"/>
      <w:start w:val="1"/>
    </w:lvl>
  </w:abstractNum>
  <w:abstractNum w:abstractNumId="2">
    <w:nsid w:val="26F324BA"/>
    <w:multiLevelType w:val="hybridMultilevel"/>
    <w:lvl w:ilvl="0">
      <w:lvlJc w:val="left"/>
      <w:lvlText w:val="•"/>
      <w:numFmt w:val="bullet"/>
      <w:start w:val="1"/>
    </w:lvl>
  </w:abstractNum>
  <w:abstractNum w:abstractNumId="3">
    <w:nsid w:val="7F01579B"/>
    <w:multiLevelType w:val="hybridMultilevel"/>
    <w:lvl w:ilvl="0">
      <w:lvlJc w:val="left"/>
      <w:lvlText w:val="•"/>
      <w:numFmt w:val="bullet"/>
      <w:start w:val="1"/>
    </w:lvl>
  </w:abstractNum>
  <w:abstractNum w:abstractNumId="4">
    <w:nsid w:val="49DA307D"/>
    <w:multiLevelType w:val="hybridMultilevel"/>
    <w:lvl w:ilvl="0">
      <w:lvlJc w:val="left"/>
      <w:lvlText w:val="•"/>
      <w:numFmt w:val="bullet"/>
      <w:start w:val="1"/>
    </w:lvl>
  </w:abstractNum>
  <w:abstractNum w:abstractNumId="5">
    <w:nsid w:val="7055A5F5"/>
    <w:multiLevelType w:val="hybridMultilevel"/>
    <w:lvl w:ilvl="0">
      <w:lvlJc w:val="left"/>
      <w:lvlText w:val="•"/>
      <w:numFmt w:val="bullet"/>
      <w:start w:val="1"/>
    </w:lvl>
  </w:abstractNum>
  <w:abstractNum w:abstractNumId="6">
    <w:nsid w:val="5FB8370B"/>
    <w:multiLevelType w:val="hybridMultilevel"/>
    <w:lvl w:ilvl="0">
      <w:lvlJc w:val="left"/>
      <w:lvlText w:val="(%1)"/>
      <w:numFmt w:val="lowerRoman"/>
      <w:start w:val="2"/>
    </w:lvl>
  </w:abstractNum>
  <w:abstractNum w:abstractNumId="7">
    <w:nsid w:val="50801EE1"/>
    <w:multiLevelType w:val="hybridMultilevel"/>
    <w:lvl w:ilvl="0">
      <w:lvlJc w:val="left"/>
      <w:lvlText w:val="•"/>
      <w:numFmt w:val="bullet"/>
      <w:start w:val="1"/>
    </w:lvl>
  </w:abstractNum>
  <w:abstractNum w:abstractNumId="8">
    <w:nsid w:val="488AC1A"/>
    <w:multiLevelType w:val="hybridMultilevel"/>
    <w:lvl w:ilvl="0">
      <w:lvlJc w:val="left"/>
      <w:lvlText w:val="•"/>
      <w:numFmt w:val="bullet"/>
      <w:start w:val="1"/>
    </w:lvl>
  </w:abstractNum>
  <w:abstractNum w:abstractNumId="9">
    <w:nsid w:val="5FB8011C"/>
    <w:multiLevelType w:val="hybridMultilevel"/>
    <w:lvl w:ilvl="0">
      <w:lvlJc w:val="left"/>
      <w:lvlText w:val="•"/>
      <w:numFmt w:val="bullet"/>
      <w:start w:val="1"/>
    </w:lvl>
  </w:abstractNum>
  <w:abstractNum w:abstractNumId="10">
    <w:nsid w:val="6AA78F7F"/>
    <w:multiLevelType w:val="hybridMultilevel"/>
    <w:lvl w:ilvl="0">
      <w:lvlJc w:val="left"/>
      <w:lvlText w:val="(%1)"/>
      <w:numFmt w:val="decimal"/>
      <w:start w:val="1"/>
    </w:lvl>
  </w:abstractNum>
  <w:abstractNum w:abstractNumId="11">
    <w:nsid w:val="7672BD23"/>
    <w:multiLevelType w:val="hybridMultilevel"/>
    <w:lvl w:ilvl="0">
      <w:lvlJc w:val="left"/>
      <w:lvlText w:val="(%1)"/>
      <w:numFmt w:val="decimal"/>
      <w:start w:val="1"/>
    </w:lvl>
  </w:abstractNum>
  <w:abstractNum w:abstractNumId="12">
    <w:nsid w:val="6FC75AF8"/>
    <w:multiLevelType w:val="hybridMultilevel"/>
    <w:lvl w:ilvl="0">
      <w:lvlJc w:val="left"/>
      <w:lvlText w:val="(%1)"/>
      <w:numFmt w:val="decimal"/>
      <w:start w:val="1"/>
    </w:lvl>
  </w:abstractNum>
  <w:abstractNum w:abstractNumId="13">
    <w:nsid w:val="6A5F7029"/>
    <w:multiLevelType w:val="hybridMultilevel"/>
    <w:lvl w:ilvl="0">
      <w:lvlJc w:val="left"/>
      <w:lvlText w:val="•"/>
      <w:numFmt w:val="bullet"/>
      <w:start w:val="1"/>
    </w:lvl>
  </w:abstractNum>
  <w:abstractNum w:abstractNumId="14">
    <w:nsid w:val="7D5E18F8"/>
    <w:multiLevelType w:val="hybridMultilevel"/>
    <w:lvl w:ilvl="0">
      <w:lvlJc w:val="left"/>
      <w:lvlText w:val="•"/>
      <w:numFmt w:val="bullet"/>
      <w:start w:val="1"/>
    </w:lvl>
  </w:abstractNum>
  <w:abstractNum w:abstractNumId="15">
    <w:nsid w:val="5F3534A4"/>
    <w:multiLevelType w:val="hybridMultilevel"/>
    <w:lvl w:ilvl="0">
      <w:lvlJc w:val="left"/>
      <w:lvlText w:val="•"/>
      <w:numFmt w:val="bullet"/>
      <w:start w:val="1"/>
    </w:lvl>
  </w:abstractNum>
  <w:abstractNum w:abstractNumId="16">
    <w:nsid w:val="73A1821B"/>
    <w:multiLevelType w:val="hybridMultilevel"/>
    <w:lvl w:ilvl="0">
      <w:lvlJc w:val="left"/>
      <w:lvlText w:val="•"/>
      <w:numFmt w:val="bullet"/>
      <w:start w:val="1"/>
    </w:lvl>
  </w:abstractNum>
  <w:abstractNum w:abstractNumId="17">
    <w:nsid w:val="7DE67713"/>
    <w:multiLevelType w:val="hybridMultilevel"/>
    <w:lvl w:ilvl="0">
      <w:lvlJc w:val="left"/>
      <w:lvlText w:val="•"/>
      <w:numFmt w:val="bullet"/>
      <w:start w:val="1"/>
    </w:lvl>
  </w:abstractNum>
  <w:abstractNum w:abstractNumId="18">
    <w:nsid w:val="555C55B5"/>
    <w:multiLevelType w:val="hybridMultilevel"/>
    <w:lvl w:ilvl="0">
      <w:lvlJc w:val="left"/>
      <w:lvlText w:val="•"/>
      <w:numFmt w:val="bullet"/>
      <w:start w:val="1"/>
    </w:lvl>
  </w:abstractNum>
  <w:abstractNum w:abstractNumId="19">
    <w:nsid w:val="3FA62ACA"/>
    <w:multiLevelType w:val="hybridMultilevel"/>
    <w:lvl w:ilvl="0">
      <w:lvlJc w:val="left"/>
      <w:lvlText w:val="(%1)"/>
      <w:numFmt w:val="lowerRoman"/>
      <w:start w:val="1"/>
    </w:lvl>
  </w:abstractNum>
  <w:abstractNum w:abstractNumId="20">
    <w:nsid w:val="14FCE74E"/>
    <w:multiLevelType w:val="hybridMultilevel"/>
    <w:lvl w:ilvl="0">
      <w:lvlJc w:val="left"/>
      <w:lvlText w:val="•"/>
      <w:numFmt w:val="bullet"/>
      <w:start w:val="1"/>
    </w:lvl>
  </w:abstractNum>
  <w:abstractNum w:abstractNumId="21">
    <w:nsid w:val="6A3DD3E8"/>
    <w:multiLevelType w:val="hybridMultilevel"/>
    <w:lvl w:ilvl="0">
      <w:lvlJc w:val="left"/>
      <w:lvlText w:val="•"/>
      <w:numFmt w:val="bullet"/>
      <w:start w:val="1"/>
    </w:lvl>
  </w:abstractNum>
  <w:abstractNum w:abstractNumId="22">
    <w:nsid w:val="71C91298"/>
    <w:multiLevelType w:val="hybridMultilevel"/>
    <w:lvl w:ilvl="0">
      <w:lvlJc w:val="left"/>
      <w:lvlText w:val="•"/>
      <w:numFmt w:val="bullet"/>
      <w:start w:val="1"/>
    </w:lvl>
  </w:abstractNum>
  <w:abstractNum w:abstractNumId="23">
    <w:nsid w:val="9DAF632"/>
    <w:multiLevelType w:val="hybridMultilevel"/>
    <w:lvl w:ilvl="0">
      <w:lvlJc w:val="left"/>
      <w:lvlText w:val="•"/>
      <w:numFmt w:val="bullet"/>
      <w:start w:val="1"/>
    </w:lvl>
  </w:abstractNum>
  <w:abstractNum w:abstractNumId="24">
    <w:nsid w:val="53299938"/>
    <w:multiLevelType w:val="hybridMultilevel"/>
    <w:lvl w:ilvl="0">
      <w:lvlJc w:val="left"/>
      <w:lvlText w:val="•"/>
      <w:numFmt w:val="bullet"/>
      <w:start w:val="1"/>
    </w:lvl>
  </w:abstractNum>
  <w:abstractNum w:abstractNumId="25">
    <w:nsid w:val="1FBFE8E0"/>
    <w:multiLevelType w:val="hybridMultilevel"/>
    <w:lvl w:ilvl="0">
      <w:lvlJc w:val="left"/>
      <w:lvlText w:val="•"/>
      <w:numFmt w:val="bullet"/>
      <w:start w:val="1"/>
    </w:lvl>
  </w:abstractNum>
  <w:abstractNum w:abstractNumId="26">
    <w:nsid w:val="5092CA79"/>
    <w:multiLevelType w:val="hybridMultilevel"/>
    <w:lvl w:ilvl="0">
      <w:lvlJc w:val="left"/>
      <w:lvlText w:val="•"/>
      <w:numFmt w:val="bullet"/>
      <w:start w:val="1"/>
    </w:lvl>
  </w:abstractNum>
  <w:abstractNum w:abstractNumId="27">
    <w:nsid w:val="1D545C4D"/>
    <w:multiLevelType w:val="hybridMultilevel"/>
    <w:lvl w:ilvl="0">
      <w:lvlJc w:val="left"/>
      <w:lvlText w:val="•"/>
      <w:numFmt w:val="bullet"/>
      <w:start w:val="1"/>
    </w:lvl>
  </w:abstractNum>
  <w:abstractNum w:abstractNumId="28">
    <w:nsid w:val="59ADEA3D"/>
    <w:multiLevelType w:val="hybridMultilevel"/>
    <w:lvl w:ilvl="0">
      <w:lvlJc w:val="left"/>
      <w:lvlText w:val="•"/>
      <w:numFmt w:val="bullet"/>
      <w:start w:val="1"/>
    </w:lvl>
  </w:abstractNum>
  <w:abstractNum w:abstractNumId="29">
    <w:nsid w:val="288F1A34"/>
    <w:multiLevelType w:val="hybridMultilevel"/>
    <w:lvl w:ilvl="0">
      <w:lvlJc w:val="left"/>
      <w:lvlText w:val="•"/>
      <w:numFmt w:val="bullet"/>
      <w:start w:val="1"/>
    </w:lvl>
  </w:abstractNum>
  <w:abstractNum w:abstractNumId="30">
    <w:nsid w:val="2A155DBC"/>
    <w:multiLevelType w:val="hybridMultilevel"/>
    <w:lvl w:ilvl="0">
      <w:lvlJc w:val="left"/>
      <w:lvlText w:val="•"/>
      <w:numFmt w:val="bullet"/>
      <w:start w:val="1"/>
    </w:lvl>
  </w:abstractNum>
  <w:abstractNum w:abstractNumId="31">
    <w:nsid w:val="1D9F6E5F"/>
    <w:multiLevelType w:val="hybridMultilevel"/>
    <w:lvl w:ilvl="0">
      <w:lvlJc w:val="left"/>
      <w:lvlText w:val="•"/>
      <w:numFmt w:val="bullet"/>
      <w:start w:val="1"/>
    </w:lvl>
  </w:abstractNum>
  <w:abstractNum w:abstractNumId="32">
    <w:nsid w:val="97E1B4E"/>
    <w:multiLevelType w:val="hybridMultilevel"/>
    <w:lvl w:ilvl="0">
      <w:lvlJc w:val="left"/>
      <w:lvlText w:val="•"/>
      <w:numFmt w:val="bullet"/>
      <w:start w:val="1"/>
    </w:lvl>
  </w:abstractNum>
  <w:abstractNum w:abstractNumId="33">
    <w:nsid w:val="51088277"/>
    <w:multiLevelType w:val="hybridMultilevel"/>
    <w:lvl w:ilvl="0">
      <w:lvlJc w:val="left"/>
      <w:lvlText w:val="•"/>
      <w:numFmt w:val="bullet"/>
      <w:start w:val="1"/>
    </w:lvl>
  </w:abstractNum>
  <w:abstractNum w:abstractNumId="34">
    <w:nsid w:val="1CA0C5FA"/>
    <w:multiLevelType w:val="hybridMultilevel"/>
    <w:lvl w:ilvl="0">
      <w:lvlJc w:val="left"/>
      <w:lvlText w:val="•"/>
      <w:numFmt w:val="bullet"/>
      <w:start w:val="1"/>
    </w:lvl>
  </w:abstractNum>
  <w:abstractNum w:abstractNumId="35">
    <w:nsid w:val="53584BCB"/>
    <w:multiLevelType w:val="hybridMultilevel"/>
    <w:lvl w:ilvl="0">
      <w:lvlJc w:val="left"/>
      <w:lvlText w:val="•"/>
      <w:numFmt w:val="bullet"/>
      <w:start w:val="1"/>
    </w:lvl>
  </w:abstractNum>
  <w:abstractNum w:abstractNumId="36">
    <w:nsid w:val="415E286C"/>
    <w:multiLevelType w:val="hybridMultilevel"/>
    <w:lvl w:ilvl="0">
      <w:lvlJc w:val="left"/>
      <w:lvlText w:val="•"/>
      <w:numFmt w:val="bullet"/>
      <w:start w:val="1"/>
    </w:lvl>
  </w:abstractNum>
  <w:abstractNum w:abstractNumId="37">
    <w:nsid w:val="7C58FD05"/>
    <w:multiLevelType w:val="hybridMultilevel"/>
    <w:lvl w:ilvl="0">
      <w:lvlJc w:val="left"/>
      <w:lvlText w:val="•"/>
      <w:numFmt w:val="bullet"/>
      <w:start w:val="1"/>
    </w:lvl>
  </w:abstractNum>
  <w:abstractNum w:abstractNumId="38">
    <w:nsid w:val="23D86AAC"/>
    <w:multiLevelType w:val="hybridMultilevel"/>
    <w:lvl w:ilvl="0">
      <w:lvlJc w:val="left"/>
      <w:lvlText w:val="(%1)"/>
      <w:numFmt w:val="lowerRoman"/>
      <w:start w:val="3"/>
    </w:lvl>
  </w:abstractNum>
  <w:abstractNum w:abstractNumId="39">
    <w:nsid w:val="45E6D486"/>
    <w:multiLevelType w:val="hybridMultilevel"/>
    <w:lvl w:ilvl="0">
      <w:lvlJc w:val="left"/>
      <w:lvlText w:val="•"/>
      <w:numFmt w:val="bullet"/>
      <w:start w:val="1"/>
    </w:lvl>
  </w:abstractNum>
  <w:abstractNum w:abstractNumId="40">
    <w:nsid w:val="5C10FE21"/>
    <w:multiLevelType w:val="hybridMultilevel"/>
    <w:lvl w:ilvl="0">
      <w:lvlJc w:val="left"/>
      <w:lvlText w:val="•"/>
      <w:numFmt w:val="bullet"/>
      <w:start w:val="1"/>
    </w:lvl>
  </w:abstractNum>
  <w:abstractNum w:abstractNumId="41">
    <w:nsid w:val="E7FFA2B"/>
    <w:multiLevelType w:val="hybridMultilevel"/>
    <w:lvl w:ilvl="0">
      <w:lvlJc w:val="left"/>
      <w:lvlText w:val="•"/>
      <w:numFmt w:val="bullet"/>
      <w:start w:val="1"/>
    </w:lvl>
  </w:abstractNum>
  <w:abstractNum w:abstractNumId="42">
    <w:nsid w:val="3C5991AA"/>
    <w:multiLevelType w:val="hybridMultilevel"/>
    <w:lvl w:ilvl="0">
      <w:lvlJc w:val="left"/>
      <w:lvlText w:val="•"/>
      <w:numFmt w:val="bullet"/>
      <w:start w:val="1"/>
    </w:lvl>
  </w:abstractNum>
  <w:abstractNum w:abstractNumId="43">
    <w:nsid w:val="4BD8591A"/>
    <w:multiLevelType w:val="hybridMultilevel"/>
    <w:lvl w:ilvl="0">
      <w:lvlJc w:val="left"/>
      <w:lvlText w:val="•"/>
      <w:numFmt w:val="bullet"/>
      <w:start w:val="1"/>
    </w:lvl>
  </w:abstractNum>
  <w:abstractNum w:abstractNumId="44">
    <w:nsid w:val="78DF6A55"/>
    <w:multiLevelType w:val="hybridMultilevel"/>
    <w:lvl w:ilvl="0">
      <w:lvlJc w:val="left"/>
      <w:lvlText w:val="(%1)"/>
      <w:numFmt w:val="decimal"/>
      <w:start w:val="1"/>
    </w:lvl>
  </w:abstractNum>
  <w:abstractNum w:abstractNumId="45">
    <w:nsid w:val="39B7AAA2"/>
    <w:multiLevelType w:val="hybridMultilevel"/>
    <w:lvl w:ilvl="0">
      <w:lvlJc w:val="left"/>
      <w:lvlText w:val="•"/>
      <w:numFmt w:val="bullet"/>
      <w:start w:val="1"/>
    </w:lvl>
  </w:abstractNum>
  <w:abstractNum w:abstractNumId="46">
    <w:nsid w:val="2B0D8DBE"/>
    <w:multiLevelType w:val="hybridMultilevel"/>
    <w:lvl w:ilvl="0">
      <w:lvlJc w:val="left"/>
      <w:lvlText w:val="•"/>
      <w:numFmt w:val="bullet"/>
      <w:start w:val="1"/>
    </w:lvl>
  </w:abstractNum>
  <w:abstractNum w:abstractNumId="47">
    <w:nsid w:val="6C80EC70"/>
    <w:multiLevelType w:val="hybridMultilevel"/>
    <w:lvl w:ilvl="0">
      <w:lvlJc w:val="left"/>
      <w:lvlText w:val="•"/>
      <w:numFmt w:val="bullet"/>
      <w:start w:val="1"/>
    </w:lvl>
  </w:abstractNum>
  <w:abstractNum w:abstractNumId="48">
    <w:nsid w:val="379E21B5"/>
    <w:multiLevelType w:val="hybridMultilevel"/>
    <w:lvl w:ilvl="0">
      <w:lvlJc w:val="left"/>
      <w:lvlText w:val="•"/>
      <w:numFmt w:val="bullet"/>
      <w:start w:val="1"/>
    </w:lvl>
  </w:abstractNum>
  <w:abstractNum w:abstractNumId="49">
    <w:nsid w:val="69E373"/>
    <w:multiLevelType w:val="hybridMultilevel"/>
    <w:lvl w:ilvl="0">
      <w:lvlJc w:val="left"/>
      <w:lvlText w:val="•"/>
      <w:numFmt w:val="bullet"/>
      <w:start w:val="1"/>
    </w:lvl>
  </w:abstractNum>
  <w:abstractNum w:abstractNumId="50">
    <w:nsid w:val="2C27173B"/>
    <w:multiLevelType w:val="hybridMultilevel"/>
    <w:lvl w:ilvl="0">
      <w:lvlJc w:val="left"/>
      <w:lvlText w:val="•"/>
      <w:numFmt w:val="bullet"/>
      <w:start w:val="1"/>
    </w:lvl>
  </w:abstractNum>
  <w:abstractNum w:abstractNumId="51">
    <w:nsid w:val="4C9B0904"/>
    <w:multiLevelType w:val="hybridMultilevel"/>
    <w:lvl w:ilvl="0">
      <w:lvlJc w:val="left"/>
      <w:lvlText w:val="•"/>
      <w:numFmt w:val="bullet"/>
      <w:start w:val="1"/>
    </w:lvl>
  </w:abstractNum>
  <w:abstractNum w:abstractNumId="52">
    <w:nsid w:val="6AA7B75C"/>
    <w:multiLevelType w:val="hybridMultilevel"/>
    <w:lvl w:ilvl="0">
      <w:lvlJc w:val="left"/>
      <w:lvlText w:val="•"/>
      <w:numFmt w:val="bullet"/>
      <w:start w:val="1"/>
    </w:lvl>
  </w:abstractNum>
  <w:abstractNum w:abstractNumId="53">
    <w:nsid w:val="1DF029D3"/>
    <w:multiLevelType w:val="hybridMultilevel"/>
    <w:lvl w:ilvl="0">
      <w:lvlJc w:val="left"/>
      <w:lvlText w:val="•"/>
      <w:numFmt w:val="bullet"/>
      <w:start w:val="1"/>
    </w:lvl>
  </w:abstractNum>
  <w:abstractNum w:abstractNumId="54">
    <w:nsid w:val="5675FF36"/>
    <w:multiLevelType w:val="hybridMultilevel"/>
    <w:lvl w:ilvl="0">
      <w:lvlJc w:val="left"/>
      <w:lvlText w:val="*"/>
      <w:numFmt w:val="bullet"/>
      <w:start w:val="1"/>
    </w:lvl>
  </w:abstractNum>
  <w:abstractNum w:abstractNumId="55">
    <w:nsid w:val="3DD15094"/>
    <w:multiLevelType w:val="hybridMultilevel"/>
    <w:lvl w:ilvl="0">
      <w:lvlJc w:val="left"/>
      <w:lvlText w:val="*"/>
      <w:numFmt w:val="bullet"/>
      <w:start w:val="1"/>
    </w:lvl>
  </w:abstractNum>
  <w:abstractNum w:abstractNumId="56">
    <w:nsid w:val="3DB012B3"/>
    <w:multiLevelType w:val="hybridMultilevel"/>
    <w:lvl w:ilvl="0">
      <w:lvlJc w:val="left"/>
      <w:lvlText w:val="•"/>
      <w:numFmt w:val="bullet"/>
      <w:start w:val="1"/>
    </w:lvl>
  </w:abstractNum>
  <w:abstractNum w:abstractNumId="57">
    <w:nsid w:val="2708C9AF"/>
    <w:multiLevelType w:val="hybridMultilevel"/>
    <w:lvl w:ilvl="0">
      <w:lvlJc w:val="left"/>
      <w:lvlText w:val="•"/>
      <w:numFmt w:val="bullet"/>
      <w:start w:val="1"/>
    </w:lvl>
  </w:abstractNum>
  <w:abstractNum w:abstractNumId="58">
    <w:nsid w:val="5B25ACE2"/>
    <w:multiLevelType w:val="hybridMultilevel"/>
    <w:lvl w:ilvl="0">
      <w:lvlJc w:val="left"/>
      <w:lvlText w:val="•"/>
      <w:numFmt w:val="bullet"/>
      <w:start w:val="1"/>
    </w:lvl>
  </w:abstractNum>
  <w:abstractNum w:abstractNumId="59">
    <w:nsid w:val="175DFCF0"/>
    <w:multiLevelType w:val="hybridMultilevel"/>
    <w:lvl w:ilvl="0">
      <w:lvlJc w:val="left"/>
      <w:lvlText w:val="•"/>
      <w:numFmt w:val="bullet"/>
      <w:start w:val="1"/>
    </w:lvl>
  </w:abstractNum>
  <w:abstractNum w:abstractNumId="60">
    <w:nsid w:val="4F97E3E4"/>
    <w:multiLevelType w:val="hybridMultilevel"/>
    <w:lvl w:ilvl="0">
      <w:lvlJc w:val="left"/>
      <w:lvlText w:val="•"/>
      <w:numFmt w:val="bullet"/>
      <w:start w:val="1"/>
    </w:lvl>
  </w:abstractNum>
  <w:abstractNum w:abstractNumId="61">
    <w:nsid w:val="53B0A9E"/>
    <w:multiLevelType w:val="hybridMultilevel"/>
    <w:lvl w:ilvl="0">
      <w:lvlJc w:val="left"/>
      <w:lvlText w:val="(%1)"/>
      <w:numFmt w:val="lowerRoman"/>
      <w:start w:val="1"/>
    </w:lvl>
  </w:abstractNum>
  <w:abstractNum w:abstractNumId="62">
    <w:nsid w:val="34FD6B4F"/>
    <w:multiLevelType w:val="hybridMultilevel"/>
    <w:lvl w:ilvl="0">
      <w:lvlJc w:val="left"/>
      <w:lvlText w:val="•"/>
      <w:numFmt w:val="bullet"/>
      <w:start w:val="1"/>
    </w:lvl>
  </w:abstractNum>
  <w:abstractNum w:abstractNumId="63">
    <w:nsid w:val="5915FF32"/>
    <w:multiLevelType w:val="hybridMultilevel"/>
    <w:lvl w:ilvl="0">
      <w:lvlJc w:val="left"/>
      <w:lvlText w:val="•"/>
      <w:numFmt w:val="bullet"/>
      <w:start w:val="1"/>
    </w:lvl>
  </w:abstractNum>
  <w:abstractNum w:abstractNumId="64">
    <w:nsid w:val="56438D15"/>
    <w:multiLevelType w:val="hybridMultilevel"/>
    <w:lvl w:ilvl="0">
      <w:lvlJc w:val="left"/>
      <w:lvlText w:val="•"/>
      <w:numFmt w:val="bullet"/>
      <w:start w:val="1"/>
    </w:lvl>
  </w:abstractNum>
  <w:abstractNum w:abstractNumId="65">
    <w:nsid w:val="519E3149"/>
    <w:multiLevelType w:val="hybridMultilevel"/>
    <w:lvl w:ilvl="0">
      <w:lvlJc w:val="left"/>
      <w:lvlText w:val="•"/>
      <w:numFmt w:val="bullet"/>
      <w:start w:val="1"/>
    </w:lvl>
  </w:abstractNum>
  <w:abstractNum w:abstractNumId="66">
    <w:nsid w:val="2C6E4AFD"/>
    <w:multiLevelType w:val="hybridMultilevel"/>
    <w:lvl w:ilvl="0">
      <w:lvlJc w:val="left"/>
      <w:lvlText w:val="•"/>
      <w:numFmt w:val="bullet"/>
      <w:start w:val="1"/>
    </w:lvl>
  </w:abstractNum>
  <w:abstractNum w:abstractNumId="67">
    <w:nsid w:val="17A1B582"/>
    <w:multiLevelType w:val="hybridMultilevel"/>
    <w:lvl w:ilvl="0">
      <w:lvlJc w:val="left"/>
      <w:lvlText w:val="•"/>
      <w:numFmt w:val="bullet"/>
      <w:start w:val="1"/>
    </w:lvl>
  </w:abstractNum>
  <w:abstractNum w:abstractNumId="68">
    <w:nsid w:val="4DF72E4E"/>
    <w:multiLevelType w:val="hybridMultilevel"/>
    <w:lvl w:ilvl="0">
      <w:lvlJc w:val="left"/>
      <w:lvlText w:val="*"/>
      <w:numFmt w:val="bullet"/>
      <w:start w:val="1"/>
    </w:lvl>
  </w:abstractNum>
  <w:abstractNum w:abstractNumId="69">
    <w:nsid w:val="5046B5A9"/>
    <w:multiLevelType w:val="hybridMultilevel"/>
    <w:lvl w:ilvl="0">
      <w:lvlJc w:val="left"/>
      <w:lvlText w:val="•"/>
      <w:numFmt w:val="bullet"/>
      <w:start w:val="1"/>
    </w:lvl>
  </w:abstractNum>
  <w:abstractNum w:abstractNumId="70">
    <w:nsid w:val="5D888A08"/>
    <w:multiLevelType w:val="hybridMultilevel"/>
    <w:lvl w:ilvl="0">
      <w:lvlJc w:val="left"/>
      <w:lvlText w:val="•"/>
      <w:numFmt w:val="bullet"/>
      <w:start w:val="1"/>
    </w:lvl>
  </w:abstractNum>
  <w:abstractNum w:abstractNumId="71">
    <w:nsid w:val="2A082C70"/>
    <w:multiLevelType w:val="hybridMultilevel"/>
    <w:lvl w:ilvl="0">
      <w:lvlJc w:val="left"/>
      <w:lvlText w:val="•"/>
      <w:numFmt w:val="bullet"/>
      <w:start w:val="1"/>
    </w:lvl>
  </w:abstractNum>
  <w:abstractNum w:abstractNumId="72">
    <w:nsid w:val="5EC6AFD4"/>
    <w:multiLevelType w:val="hybridMultilevel"/>
    <w:lvl w:ilvl="0">
      <w:lvlJc w:val="left"/>
      <w:lvlText w:val="•"/>
      <w:numFmt w:val="bullet"/>
      <w:start w:val="1"/>
    </w:lvl>
  </w:abstractNum>
  <w:abstractNum w:abstractNumId="73">
    <w:nsid w:val="19E21BB2"/>
    <w:multiLevelType w:val="hybridMultilevel"/>
    <w:lvl w:ilvl="0">
      <w:lvlJc w:val="left"/>
      <w:lvlText w:val="*"/>
      <w:numFmt w:val="bullet"/>
      <w:start w:val="1"/>
    </w:lvl>
  </w:abstractNum>
  <w:abstractNum w:abstractNumId="74">
    <w:nsid w:val="75E0858A"/>
    <w:multiLevelType w:val="hybridMultilevel"/>
    <w:lvl w:ilvl="0">
      <w:lvlJc w:val="left"/>
      <w:lvlText w:val="*"/>
      <w:numFmt w:val="bullet"/>
      <w:start w:val="1"/>
    </w:lvl>
  </w:abstractNum>
  <w:abstractNum w:abstractNumId="75">
    <w:nsid w:val="57A61A29"/>
    <w:multiLevelType w:val="hybridMultilevel"/>
    <w:lvl w:ilvl="0">
      <w:lvlJc w:val="left"/>
      <w:lvlText w:val="**"/>
      <w:numFmt w:val="bullet"/>
      <w:start w:val="1"/>
    </w:lvl>
  </w:abstractNum>
  <w:abstractNum w:abstractNumId="76">
    <w:nsid w:val="5399C654"/>
    <w:multiLevelType w:val="hybridMultilevel"/>
    <w:lvl w:ilvl="0">
      <w:lvlJc w:val="left"/>
      <w:lvlText w:val="%1"/>
      <w:numFmt w:val="decimal"/>
      <w:start w:val="1"/>
    </w:lvl>
  </w:abstractNum>
  <w:abstractNum w:abstractNumId="77">
    <w:nsid w:val="20EE1348"/>
    <w:multiLevelType w:val="hybridMultilevel"/>
    <w:lvl w:ilvl="0">
      <w:lvlJc w:val="left"/>
      <w:lvlText w:val="•"/>
      <w:numFmt w:val="bullet"/>
      <w:start w:val="1"/>
    </w:lvl>
  </w:abstractNum>
  <w:abstractNum w:abstractNumId="78">
    <w:nsid w:val="4427069A"/>
    <w:multiLevelType w:val="hybridMultilevel"/>
    <w:lvl w:ilvl="0">
      <w:lvlJc w:val="left"/>
      <w:lvlText w:val="•"/>
      <w:numFmt w:val="bullet"/>
      <w:start w:val="1"/>
    </w:lvl>
  </w:abstractNum>
  <w:abstractNum w:abstractNumId="79">
    <w:nsid w:val="B37E80A"/>
    <w:multiLevelType w:val="hybridMultilevel"/>
    <w:lvl w:ilvl="0">
      <w:lvlJc w:val="left"/>
      <w:lvlText w:val="(%1)"/>
      <w:numFmt w:val="lowerRoman"/>
      <w:start w:val="3"/>
    </w:lvl>
  </w:abstractNum>
  <w:abstractNum w:abstractNumId="80">
    <w:nsid w:val="2157F6BC"/>
    <w:multiLevelType w:val="hybridMultilevel"/>
    <w:lvl w:ilvl="0">
      <w:lvlJc w:val="left"/>
      <w:lvlText w:val="(%1)"/>
      <w:numFmt w:val="lowerRoman"/>
      <w:start w:val="3"/>
    </w:lvl>
  </w:abstractNum>
  <w:abstractNum w:abstractNumId="81">
    <w:nsid w:val="704E1DD5"/>
    <w:multiLevelType w:val="hybridMultilevel"/>
    <w:lvl w:ilvl="0">
      <w:lvlJc w:val="left"/>
      <w:lvlText w:val="•"/>
      <w:numFmt w:val="bullet"/>
      <w:start w:val="1"/>
    </w:lvl>
  </w:abstractNum>
  <w:abstractNum w:abstractNumId="82">
    <w:nsid w:val="57D2F10E"/>
    <w:multiLevelType w:val="hybridMultilevel"/>
    <w:lvl w:ilvl="0">
      <w:lvlJc w:val="left"/>
      <w:lvlText w:val="•"/>
      <w:numFmt w:val="bullet"/>
      <w:start w:val="1"/>
    </w:lvl>
  </w:abstractNum>
  <w:abstractNum w:abstractNumId="83">
    <w:nsid w:val="BFFAE18"/>
    <w:multiLevelType w:val="hybridMultilevel"/>
    <w:lvl w:ilvl="0">
      <w:lvlJc w:val="left"/>
      <w:lvlText w:val="•"/>
      <w:numFmt w:val="bullet"/>
      <w:start w:val="1"/>
    </w:lvl>
  </w:abstractNum>
  <w:abstractNum w:abstractNumId="84">
    <w:nsid w:val="E3E47A8"/>
    <w:multiLevelType w:val="hybridMultilevel"/>
    <w:lvl w:ilvl="0">
      <w:lvlJc w:val="left"/>
      <w:lvlText w:val="•"/>
      <w:numFmt w:val="bullet"/>
      <w:start w:val="1"/>
    </w:lvl>
  </w:abstractNum>
  <w:abstractNum w:abstractNumId="85">
    <w:nsid w:val="2E48F044"/>
    <w:multiLevelType w:val="hybridMultilevel"/>
    <w:lvl w:ilvl="0">
      <w:lvlJc w:val="left"/>
      <w:lvlText w:val="•"/>
      <w:numFmt w:val="bullet"/>
      <w:start w:val="1"/>
    </w:lvl>
  </w:abstractNum>
  <w:abstractNum w:abstractNumId="86">
    <w:nsid w:val="49D0FEAC"/>
    <w:multiLevelType w:val="hybridMultilevel"/>
    <w:lvl w:ilvl="0">
      <w:lvlJc w:val="left"/>
      <w:lvlText w:val="•"/>
      <w:numFmt w:val="bullet"/>
      <w:start w:val="1"/>
    </w:lvl>
  </w:abstractNum>
  <w:abstractNum w:abstractNumId="87">
    <w:nsid w:val="4BEE5A5B"/>
    <w:multiLevelType w:val="hybridMultilevel"/>
    <w:lvl w:ilvl="0">
      <w:lvlJc w:val="left"/>
      <w:lvlText w:val="(%1)"/>
      <w:numFmt w:val="decimal"/>
      <w:start w:val="1"/>
    </w:lvl>
  </w:abstractNum>
  <w:abstractNum w:abstractNumId="88">
    <w:nsid w:val="5551B9F3"/>
    <w:multiLevelType w:val="hybridMultilevel"/>
    <w:lvl w:ilvl="0">
      <w:lvlJc w:val="left"/>
      <w:lvlText w:val="•"/>
      <w:numFmt w:val="bullet"/>
      <w:start w:val="1"/>
    </w:lvl>
  </w:abstractNum>
  <w:abstractNum w:abstractNumId="89">
    <w:nsid w:val="24F6AB8E"/>
    <w:multiLevelType w:val="hybridMultilevel"/>
    <w:lvl w:ilvl="0">
      <w:lvlJc w:val="left"/>
      <w:lvlText w:val="(%1)"/>
      <w:numFmt w:val="decimal"/>
      <w:start w:val="1"/>
    </w:lvl>
  </w:abstractNum>
  <w:abstractNum w:abstractNumId="90">
    <w:nsid w:val="634C574C"/>
    <w:multiLevelType w:val="hybridMultilevel"/>
    <w:lvl w:ilvl="0">
      <w:lvlJc w:val="left"/>
      <w:lvlText w:val="(%1)"/>
      <w:numFmt w:val="decimal"/>
      <w:start w:val="1"/>
    </w:lvl>
  </w:abstractNum>
  <w:abstractNum w:abstractNumId="91">
    <w:nsid w:val="24E99DD7"/>
    <w:multiLevelType w:val="hybridMultilevel"/>
    <w:lvl w:ilvl="0">
      <w:lvlJc w:val="left"/>
      <w:lvlText w:val="(%1)"/>
      <w:numFmt w:val="decimal"/>
      <w:start w:val="4"/>
    </w:lvl>
  </w:abstractNum>
  <w:abstractNum w:abstractNumId="92">
    <w:nsid w:val="2A31B62D"/>
    <w:multiLevelType w:val="hybridMultilevel"/>
    <w:lvl w:ilvl="0">
      <w:lvlJc w:val="left"/>
      <w:lvlText w:val="(%1)"/>
      <w:numFmt w:val="lowerRoman"/>
      <w:start w:val="3"/>
    </w:lvl>
  </w:abstractNum>
  <w:abstractNum w:abstractNumId="93">
    <w:nsid w:val="1849C29B"/>
    <w:multiLevelType w:val="hybridMultilevel"/>
    <w:lvl w:ilvl="0">
      <w:lvlJc w:val="left"/>
      <w:lvlText w:val="•"/>
      <w:numFmt w:val="bullet"/>
      <w:start w:val="1"/>
    </w:lvl>
  </w:abstractNum>
  <w:abstractNum w:abstractNumId="94">
    <w:nsid w:val="7DFF9D09"/>
    <w:multiLevelType w:val="hybridMultilevel"/>
    <w:lvl w:ilvl="0">
      <w:lvlJc w:val="left"/>
      <w:lvlText w:val="•"/>
      <w:numFmt w:val="bullet"/>
      <w:start w:val="1"/>
    </w:lvl>
    <w:lvl w:ilvl="1">
      <w:lvlJc w:val="left"/>
      <w:lvlText w:val="(%2)"/>
      <w:numFmt w:val="lowerRoman"/>
      <w:start w:val="5"/>
    </w:lvl>
  </w:abstractNum>
  <w:abstractNum w:abstractNumId="95">
    <w:nsid w:val="754342"/>
    <w:multiLevelType w:val="hybridMultilevel"/>
    <w:lvl w:ilvl="0">
      <w:lvlJc w:val="left"/>
      <w:lvlText w:val="(%1)"/>
      <w:numFmt w:val="lowerRoman"/>
      <w:start w:val="2"/>
    </w:lvl>
  </w:abstractNum>
  <w:abstractNum w:abstractNumId="96">
    <w:nsid w:val="69E7F3E5"/>
    <w:multiLevelType w:val="hybridMultilevel"/>
    <w:lvl w:ilvl="0">
      <w:lvlJc w:val="left"/>
      <w:lvlText w:val="(%1)"/>
      <w:numFmt w:val="lowerRoman"/>
      <w:start w:val="3"/>
    </w:lvl>
  </w:abstractNum>
  <w:abstractNum w:abstractNumId="97">
    <w:nsid w:val="2A6DE806"/>
    <w:multiLevelType w:val="hybridMultilevel"/>
    <w:lvl w:ilvl="0">
      <w:lvlJc w:val="left"/>
      <w:lvlText w:val="(%1)"/>
      <w:numFmt w:val="lowerRoman"/>
      <w:start w:val="2"/>
    </w:lvl>
  </w:abstractNum>
  <w:abstractNum w:abstractNumId="98">
    <w:nsid w:val="1816F8C4"/>
    <w:multiLevelType w:val="hybridMultilevel"/>
    <w:lvl w:ilvl="0">
      <w:lvlJc w:val="left"/>
      <w:lvlText w:val="(%1)"/>
      <w:numFmt w:val="lowerRoman"/>
      <w:start w:val="4"/>
    </w:lvl>
  </w:abstractNum>
  <w:abstractNum w:abstractNumId="99">
    <w:nsid w:val="37DF2233"/>
    <w:multiLevelType w:val="hybridMultilevel"/>
    <w:lvl w:ilvl="0">
      <w:lvlJc w:val="left"/>
      <w:lvlText w:val="•"/>
      <w:numFmt w:val="bullet"/>
      <w:start w:val="1"/>
    </w:lvl>
  </w:abstractNum>
  <w:abstractNum w:abstractNumId="100">
    <w:nsid w:val="7AB49DAF"/>
    <w:multiLevelType w:val="hybridMultilevel"/>
    <w:lvl w:ilvl="0">
      <w:lvlJc w:val="left"/>
      <w:lvlText w:val="(%1)"/>
      <w:numFmt w:val="decimal"/>
      <w:start w:val="1"/>
    </w:lvl>
  </w:abstractNum>
  <w:abstractNum w:abstractNumId="101">
    <w:nsid w:val="759F82CD"/>
    <w:multiLevelType w:val="hybridMultilevel"/>
    <w:lvl w:ilvl="0">
      <w:lvlJc w:val="left"/>
      <w:lvlText w:val="(%1)"/>
      <w:numFmt w:val="decimal"/>
      <w:start w:val="1"/>
    </w:lvl>
    <w:lvl w:ilvl="1">
      <w:lvlJc w:val="left"/>
      <w:lvlText w:val="(%2)"/>
      <w:numFmt w:val="lowerRoman"/>
      <w:start w:val="2"/>
    </w:lvl>
  </w:abstractNum>
  <w:abstractNum w:abstractNumId="102">
    <w:nsid w:val="61E74EA3"/>
    <w:multiLevelType w:val="hybridMultilevel"/>
    <w:lvl w:ilvl="0">
      <w:lvlJc w:val="left"/>
      <w:lvlText w:val="(%1)"/>
      <w:numFmt w:val="decimal"/>
      <w:start w:val="1"/>
    </w:lvl>
    <w:lvl w:ilvl="1">
      <w:lvlJc w:val="left"/>
      <w:lvlText w:val="(%2)"/>
      <w:numFmt w:val="lowerRoman"/>
      <w:start w:val="2"/>
    </w:lvl>
  </w:abstractNum>
  <w:abstractNum w:abstractNumId="103">
    <w:nsid w:val="597B4D84"/>
    <w:multiLevelType w:val="hybridMultilevel"/>
    <w:lvl w:ilvl="0">
      <w:lvlJc w:val="left"/>
      <w:lvlText w:val="(%1)"/>
      <w:numFmt w:val="decimal"/>
      <w:start w:val="1"/>
    </w:lvl>
  </w:abstractNum>
  <w:abstractNum w:abstractNumId="104">
    <w:nsid w:val="F819E7F"/>
    <w:multiLevelType w:val="hybridMultilevel"/>
    <w:lvl w:ilvl="0">
      <w:lvlJc w:val="left"/>
      <w:lvlText w:val="(%1)"/>
      <w:numFmt w:val="decimal"/>
      <w:start w:val="3"/>
    </w:lvl>
    <w:lvl w:ilvl="1">
      <w:lvlJc w:val="left"/>
      <w:lvlText w:val="(%2)"/>
      <w:numFmt w:val="lowerRoman"/>
      <w:start w:val="2"/>
    </w:lvl>
  </w:abstractNum>
  <w:abstractNum w:abstractNumId="105">
    <w:nsid w:val="57C7D42D"/>
    <w:multiLevelType w:val="hybridMultilevel"/>
    <w:lvl w:ilvl="0">
      <w:lvlJc w:val="left"/>
      <w:lvlText w:val="%1"/>
      <w:numFmt w:val="decimal"/>
      <w:start w:val="1"/>
    </w:lvl>
    <w:lvl w:ilvl="1">
      <w:lvlJc w:val="left"/>
      <w:lvlText w:val="(%2)"/>
      <w:numFmt w:val="lowerRoman"/>
      <w:start w:val="4"/>
    </w:lvl>
  </w:abstractNum>
  <w:abstractNum w:abstractNumId="106">
    <w:nsid w:val="312167AD"/>
    <w:multiLevelType w:val="hybridMultilevel"/>
    <w:lvl w:ilvl="0">
      <w:lvlJc w:val="left"/>
      <w:lvlText w:val="(%1)"/>
      <w:numFmt w:val="decimal"/>
      <w:start w:val="1"/>
    </w:lvl>
    <w:lvl w:ilvl="1">
      <w:lvlJc w:val="left"/>
      <w:lvlText w:val="(%2)"/>
      <w:numFmt w:val="lowerRoman"/>
      <w:start w:val="2"/>
    </w:lvl>
  </w:abstractNum>
  <w:abstractNum w:abstractNumId="107">
    <w:nsid w:val="631B64D4"/>
    <w:multiLevelType w:val="hybridMultilevel"/>
    <w:lvl w:ilvl="0">
      <w:lvlJc w:val="left"/>
      <w:lvlText w:val="(%1)"/>
      <w:numFmt w:val="decimal"/>
      <w:start w:val="6"/>
    </w:lvl>
  </w:abstractNum>
  <w:abstractNum w:abstractNumId="108">
    <w:nsid w:val="78B5E776"/>
    <w:multiLevelType w:val="hybridMultilevel"/>
    <w:lvl w:ilvl="0">
      <w:lvlJc w:val="left"/>
      <w:lvlText w:val="•"/>
      <w:numFmt w:val="bullet"/>
      <w:start w:val="1"/>
    </w:lvl>
  </w:abstractNum>
  <w:abstractNum w:abstractNumId="109">
    <w:nsid w:val="75486E47"/>
    <w:multiLevelType w:val="hybridMultilevel"/>
    <w:lvl w:ilvl="0">
      <w:lvlJc w:val="left"/>
      <w:lvlText w:val="(%1)"/>
      <w:numFmt w:val="decimal"/>
      <w:start w:val="2"/>
    </w:lvl>
  </w:abstractNum>
  <w:abstractNum w:abstractNumId="110">
    <w:nsid w:val="6E534CDE"/>
    <w:multiLevelType w:val="hybridMultilevel"/>
    <w:lvl w:ilvl="0">
      <w:lvlJc w:val="left"/>
      <w:lvlText w:val="*"/>
      <w:numFmt w:val="bullet"/>
      <w:start w:val="1"/>
    </w:lvl>
  </w:abstractNum>
  <w:abstractNum w:abstractNumId="111">
    <w:nsid w:val="1A0DDE32"/>
    <w:multiLevelType w:val="hybridMultilevel"/>
    <w:lvl w:ilvl="0">
      <w:lvlJc w:val="left"/>
      <w:lvlText w:val="(%1)"/>
      <w:numFmt w:val="decimal"/>
      <w:start w:val="1"/>
    </w:lvl>
    <w:lvl w:ilvl="1">
      <w:lvlJc w:val="left"/>
      <w:lvlText w:val="(%2)"/>
      <w:numFmt w:val="lowerRoman"/>
      <w:start w:val="2"/>
    </w:lvl>
  </w:abstractNum>
  <w:abstractNum w:abstractNumId="112">
    <w:nsid w:val="65968C1C"/>
    <w:multiLevelType w:val="hybridMultilevel"/>
    <w:lvl w:ilvl="0">
      <w:lvlJc w:val="left"/>
      <w:lvlText w:val="(%1)"/>
      <w:numFmt w:val="decimal"/>
      <w:start w:val="4"/>
    </w:lvl>
  </w:abstractNum>
  <w:abstractNum w:abstractNumId="113">
    <w:nsid w:val="46263DEC"/>
    <w:multiLevelType w:val="hybridMultilevel"/>
    <w:lvl w:ilvl="0">
      <w:lvlJc w:val="left"/>
      <w:lvlText w:val="•"/>
      <w:numFmt w:val="bullet"/>
      <w:start w:val="1"/>
    </w:lvl>
  </w:abstractNum>
  <w:abstractNum w:abstractNumId="114">
    <w:nsid w:val="260D8C4A"/>
    <w:multiLevelType w:val="hybridMultilevel"/>
    <w:lvl w:ilvl="0">
      <w:lvlJc w:val="left"/>
      <w:lvlText w:val="•"/>
      <w:numFmt w:val="bullet"/>
      <w:start w:val="1"/>
    </w:lvl>
  </w:abstractNum>
  <w:abstractNum w:abstractNumId="115">
    <w:nsid w:val="73D4D3C4"/>
    <w:multiLevelType w:val="hybridMultilevel"/>
    <w:lvl w:ilvl="0">
      <w:lvlJc w:val="left"/>
      <w:lvlText w:val="•"/>
      <w:numFmt w:val="bullet"/>
      <w:start w:val="1"/>
    </w:lvl>
  </w:abstractNum>
  <w:abstractNum w:abstractNumId="116">
    <w:nsid w:val="746F2E30"/>
    <w:multiLevelType w:val="hybridMultilevel"/>
    <w:lvl w:ilvl="0">
      <w:lvlJc w:val="left"/>
      <w:lvlText w:val="•"/>
      <w:numFmt w:val="bullet"/>
      <w:start w:val="1"/>
    </w:lvl>
  </w:abstractNum>
  <w:abstractNum w:abstractNumId="117">
    <w:nsid w:val="6FDE8AF6"/>
    <w:multiLevelType w:val="hybridMultilevel"/>
    <w:lvl w:ilvl="0">
      <w:lvlJc w:val="left"/>
      <w:lvlText w:val="•"/>
      <w:numFmt w:val="bullet"/>
      <w:start w:val="1"/>
    </w:lvl>
  </w:abstractNum>
  <w:abstractNum w:abstractNumId="118">
    <w:nsid w:val="3FC32E20"/>
    <w:multiLevelType w:val="hybridMultilevel"/>
    <w:lvl w:ilvl="0">
      <w:lvlJc w:val="left"/>
      <w:lvlText w:val="•"/>
      <w:numFmt w:val="bullet"/>
      <w:start w:val="1"/>
    </w:lvl>
  </w:abstractNum>
  <w:abstractNum w:abstractNumId="119">
    <w:nsid w:val="49C0E823"/>
    <w:multiLevelType w:val="hybridMultilevel"/>
    <w:lvl w:ilvl="0">
      <w:lvlJc w:val="left"/>
      <w:lvlText w:val="(%1)"/>
      <w:numFmt w:val="lowerLetter"/>
      <w:start w:val="1"/>
    </w:lvl>
  </w:abstractNum>
  <w:abstractNum w:abstractNumId="120">
    <w:nsid w:val="14D53685"/>
    <w:multiLevelType w:val="hybridMultilevel"/>
    <w:lvl w:ilvl="0">
      <w:lvlJc w:val="left"/>
      <w:lvlText w:val="(%1)"/>
      <w:numFmt w:val="lowerLetter"/>
      <w:start w:val="6"/>
    </w:lvl>
  </w:abstractNum>
  <w:abstractNum w:abstractNumId="121">
    <w:nsid w:val="230F856C"/>
    <w:multiLevelType w:val="hybridMultilevel"/>
    <w:lvl w:ilvl="0">
      <w:lvlJc w:val="left"/>
      <w:lvlText w:val="(%1)"/>
      <w:numFmt w:val="lowerLetter"/>
      <w:start w:val="7"/>
    </w:lvl>
    <w:lvl w:ilvl="1">
      <w:lvlJc w:val="left"/>
      <w:lvlText w:val="(%2)"/>
      <w:numFmt w:val="lowerRoman"/>
      <w:start w:val="2"/>
    </w:lvl>
  </w:abstractNum>
  <w:abstractNum w:abstractNumId="122">
    <w:nsid w:val="6EAA85FB"/>
    <w:multiLevelType w:val="hybridMultilevel"/>
    <w:lvl w:ilvl="0">
      <w:lvlJc w:val="left"/>
      <w:lvlText w:val="%1"/>
      <w:numFmt w:val="lowerLetter"/>
      <w:start w:val="1"/>
    </w:lvl>
    <w:lvl w:ilvl="1">
      <w:lvlJc w:val="left"/>
      <w:lvlText w:val="(%2)"/>
      <w:numFmt w:val="lowerRoman"/>
      <w:start w:val="4"/>
    </w:lvl>
  </w:abstractNum>
  <w:abstractNum w:abstractNumId="123">
    <w:nsid w:val="3F06ECB2"/>
    <w:multiLevelType w:val="hybridMultilevel"/>
    <w:lvl w:ilvl="0">
      <w:lvlJc w:val="left"/>
      <w:lvlText w:val="(%1)"/>
      <w:numFmt w:val="lowerLetter"/>
      <w:start w:val="9"/>
    </w:lvl>
    <w:lvl w:ilvl="1">
      <w:lvlJc w:val="left"/>
      <w:lvlText w:val="%2"/>
      <w:numFmt w:val="lowerRoman"/>
      <w:start w:val="1"/>
    </w:lvl>
  </w:abstractNum>
  <w:abstractNum w:abstractNumId="124">
    <w:nsid w:val="3B594807"/>
    <w:multiLevelType w:val="hybridMultilevel"/>
    <w:lvl w:ilvl="0">
      <w:lvlJc w:val="left"/>
      <w:lvlText w:val="(%1)"/>
      <w:numFmt w:val="lowerLetter"/>
      <w:start w:val="18"/>
    </w:lvl>
  </w:abstractNum>
  <w:abstractNum w:abstractNumId="125">
    <w:nsid w:val="6CAA2304"/>
    <w:multiLevelType w:val="hybridMultilevel"/>
    <w:lvl w:ilvl="0">
      <w:lvlJc w:val="left"/>
      <w:lvlText w:val="(%1)"/>
      <w:numFmt w:val="lowerLetter"/>
      <w:start w:val="1"/>
    </w:lvl>
  </w:abstractNum>
  <w:abstractNum w:abstractNumId="126">
    <w:nsid w:val="3F7C2FF4"/>
    <w:multiLevelType w:val="hybridMultilevel"/>
    <w:lvl w:ilvl="0">
      <w:lvlJc w:val="left"/>
      <w:lvlText w:val="(%1)"/>
      <w:numFmt w:val="lowerLetter"/>
      <w:start w:val="1"/>
    </w:lvl>
  </w:abstractNum>
  <w:abstractNum w:abstractNumId="127">
    <w:nsid w:val="25413BEC"/>
    <w:multiLevelType w:val="hybridMultilevel"/>
    <w:lvl w:ilvl="0">
      <w:lvlJc w:val="left"/>
      <w:lvlText w:val="(%1)"/>
      <w:numFmt w:val="lowerLetter"/>
      <w:start w:val="2"/>
    </w:lvl>
  </w:abstractNum>
  <w:abstractNum w:abstractNumId="128">
    <w:nsid w:val="17180B0B"/>
    <w:multiLevelType w:val="hybridMultilevel"/>
    <w:lvl w:ilvl="0">
      <w:lvlJc w:val="left"/>
      <w:lvlText w:val="(%1)"/>
      <w:numFmt w:val="lowerLetter"/>
      <w:start w:val="1"/>
    </w:lvl>
  </w:abstractNum>
  <w:abstractNum w:abstractNumId="129">
    <w:nsid w:val="579328B9"/>
    <w:multiLevelType w:val="hybridMultilevel"/>
    <w:lvl w:ilvl="0">
      <w:lvlJc w:val="left"/>
      <w:lvlText w:val="(%1)"/>
      <w:numFmt w:val="lowerRoman"/>
      <w:start w:val="3"/>
    </w:lvl>
  </w:abstractNum>
  <w:abstractNum w:abstractNumId="130">
    <w:nsid w:val="5D205E20"/>
    <w:multiLevelType w:val="hybridMultilevel"/>
    <w:lvl w:ilvl="0">
      <w:lvlJc w:val="left"/>
      <w:lvlText w:val="(%1)"/>
      <w:numFmt w:val="lowerLetter"/>
      <w:start w:val="1"/>
    </w:lvl>
  </w:abstractNum>
  <w:abstractNum w:abstractNumId="131">
    <w:nsid w:val="11CCA8BA"/>
    <w:multiLevelType w:val="hybridMultilevel"/>
    <w:lvl w:ilvl="0">
      <w:lvlJc w:val="left"/>
      <w:lvlText w:val="(%1)"/>
      <w:numFmt w:val="lowerLetter"/>
      <w:start w:val="2"/>
    </w:lvl>
  </w:abstractNum>
  <w:abstractNum w:abstractNumId="132">
    <w:nsid w:val="4D32AB86"/>
    <w:multiLevelType w:val="hybridMultilevel"/>
    <w:lvl w:ilvl="0">
      <w:lvlJc w:val="left"/>
      <w:lvlText w:val="(%1)"/>
      <w:numFmt w:val="lowerLetter"/>
      <w:start w:val="1"/>
    </w:lvl>
  </w:abstractNum>
  <w:abstractNum w:abstractNumId="133">
    <w:nsid w:val="3F07ACC3"/>
    <w:multiLevelType w:val="hybridMultilevel"/>
    <w:lvl w:ilvl="0">
      <w:lvlJc w:val="left"/>
      <w:lvlText w:val="​"/>
      <w:numFmt w:val="bullet"/>
      <w:start w:val="1"/>
    </w:lvl>
  </w:abstractNum>
  <w:abstractNum w:abstractNumId="134">
    <w:nsid w:val="6B47F63E"/>
    <w:multiLevelType w:val="hybridMultilevel"/>
    <w:lvl w:ilvl="0">
      <w:lvlJc w:val="left"/>
      <w:lvlText w:val="​"/>
      <w:numFmt w:val="bullet"/>
      <w:start w:val="1"/>
    </w:lvl>
  </w:abstractNum>
  <w:abstractNum w:abstractNumId="135">
    <w:nsid w:val="5CB44A05"/>
    <w:multiLevelType w:val="hybridMultilevel"/>
    <w:lvl w:ilvl="0">
      <w:lvlJc w:val="left"/>
      <w:lvlText w:val="​​​"/>
      <w:numFmt w:val="bullet"/>
      <w:start w:val="1"/>
    </w:lvl>
  </w:abstractNum>
  <w:abstractNum w:abstractNumId="136">
    <w:nsid w:val="16CF80F1"/>
    <w:multiLevelType w:val="hybridMultilevel"/>
    <w:lvl w:ilvl="0">
      <w:lvlJc w:val="left"/>
      <w:lvlText w:val="​​​"/>
      <w:numFmt w:val="bullet"/>
      <w:start w:val="1"/>
    </w:lvl>
  </w:abstractNum>
  <w:abstractNum w:abstractNumId="137">
    <w:nsid w:val="1C695DEC"/>
    <w:multiLevelType w:val="hybridMultilevel"/>
    <w:lvl w:ilvl="0">
      <w:lvlJc w:val="left"/>
      <w:lvlText w:val="​"/>
      <w:numFmt w:val="bullet"/>
      <w:start w:val="1"/>
    </w:lvl>
  </w:abstractNum>
  <w:abstractNum w:abstractNumId="138">
    <w:nsid w:val="3FCFAED9"/>
    <w:multiLevelType w:val="hybridMultilevel"/>
    <w:lvl w:ilvl="0">
      <w:lvlJc w:val="left"/>
      <w:lvlText w:val="(%1)"/>
      <w:numFmt w:val="lowerLetter"/>
      <w:start w:val="1"/>
    </w:lvl>
  </w:abstractNum>
  <w:abstractNum w:abstractNumId="139">
    <w:nsid w:val="F856867"/>
    <w:multiLevelType w:val="hybridMultilevel"/>
    <w:lvl w:ilvl="0">
      <w:lvlJc w:val="left"/>
      <w:lvlText w:val="(%1)"/>
      <w:numFmt w:val="lowerRoman"/>
      <w:start w:val="1"/>
    </w:lvl>
  </w:abstractNum>
  <w:abstractNum w:abstractNumId="140">
    <w:nsid w:val="11B1CC33"/>
    <w:multiLevelType w:val="hybridMultilevel"/>
    <w:lvl w:ilvl="0">
      <w:lvlJc w:val="left"/>
      <w:lvlText w:val="​"/>
      <w:numFmt w:val="bullet"/>
      <w:start w:val="1"/>
    </w:lvl>
  </w:abstractNum>
  <w:abstractNum w:abstractNumId="141">
    <w:nsid w:val="2E22FBB7"/>
    <w:multiLevelType w:val="hybridMultilevel"/>
    <w:lvl w:ilvl="0">
      <w:lvlJc w:val="left"/>
      <w:lvlText w:val="^"/>
      <w:numFmt w:val="bullet"/>
      <w:start w:val="1"/>
    </w:lvl>
  </w:abstractNum>
  <w:abstractNum w:abstractNumId="142">
    <w:nsid w:val="29934699"/>
    <w:multiLevelType w:val="hybridMultilevel"/>
    <w:lvl w:ilvl="0">
      <w:lvlJc w:val="left"/>
      <w:lvlText w:val="#"/>
      <w:numFmt w:val="bullet"/>
      <w:start w:val="1"/>
    </w:lvl>
  </w:abstractNum>
  <w:abstractNum w:abstractNumId="143">
    <w:nsid w:val="77485850"/>
    <w:multiLevelType w:val="hybridMultilevel"/>
    <w:lvl w:ilvl="0">
      <w:lvlJc w:val="left"/>
      <w:lvlText w:val="*"/>
      <w:numFmt w:val="bullet"/>
      <w:start w:val="1"/>
    </w:lvl>
  </w:abstractNum>
  <w:abstractNum w:abstractNumId="144">
    <w:nsid w:val="744939A3"/>
    <w:multiLevelType w:val="hybridMultilevel"/>
    <w:lvl w:ilvl="0">
      <w:lvlJc w:val="left"/>
      <w:lvlText w:val="¥"/>
      <w:numFmt w:val="bullet"/>
      <w:start w:val="1"/>
    </w:lvl>
  </w:abstractNum>
  <w:abstractNum w:abstractNumId="145">
    <w:nsid w:val="4FA0D2E3"/>
    <w:multiLevelType w:val="hybridMultilevel"/>
    <w:lvl w:ilvl="0">
      <w:lvlJc w:val="left"/>
      <w:lvlText w:val="(%1)"/>
      <w:numFmt w:val="lowerLetter"/>
      <w:start w:val="1"/>
    </w:lvl>
    <w:lvl w:ilvl="1">
      <w:lvlJc w:val="left"/>
      <w:lvlText w:val="(%2)"/>
      <w:numFmt w:val="decimal"/>
      <w:start w:val="1"/>
    </w:lvl>
  </w:abstractNum>
  <w:abstractNum w:abstractNumId="146">
    <w:nsid w:val="6B1D2C14"/>
    <w:multiLevelType w:val="hybridMultilevel"/>
    <w:lvl w:ilvl="0">
      <w:lvlJc w:val="left"/>
      <w:lvlText w:val="(%1)"/>
      <w:numFmt w:val="lowerRoman"/>
      <w:start w:val="4"/>
    </w:lvl>
  </w:abstractNum>
  <w:abstractNum w:abstractNumId="147">
    <w:nsid w:val="68B867D3"/>
    <w:multiLevelType w:val="hybridMultilevel"/>
    <w:lvl w:ilvl="0">
      <w:lvlJc w:val="left"/>
      <w:lvlText w:val="(%1)"/>
      <w:numFmt w:val="lowerLetter"/>
      <w:start w:val="35"/>
    </w:lvl>
  </w:abstractNum>
  <w:abstractNum w:abstractNumId="148">
    <w:nsid w:val="3F7F5DD9"/>
    <w:multiLevelType w:val="hybridMultilevel"/>
    <w:lvl w:ilvl="0">
      <w:lvlJc w:val="left"/>
      <w:lvlText w:val="(%1)"/>
      <w:numFmt w:val="lowerLetter"/>
      <w:start w:val="13"/>
    </w:lvl>
  </w:abstractNum>
  <w:abstractNum w:abstractNumId="149">
    <w:nsid w:val="2AE05A34"/>
    <w:multiLevelType w:val="hybridMultilevel"/>
    <w:lvl w:ilvl="0">
      <w:lvlJc w:val="left"/>
      <w:lvlText w:val="(%1)"/>
      <w:numFmt w:val="lowerRoman"/>
      <w:start w:val="7"/>
    </w:lvl>
  </w:abstractNum>
  <w:abstractNum w:abstractNumId="150">
    <w:nsid w:val="32794FF7"/>
    <w:multiLevelType w:val="hybridMultilevel"/>
    <w:lvl w:ilvl="0">
      <w:lvlJc w:val="left"/>
      <w:lvlText w:val="1"/>
      <w:numFmt w:val="bullet"/>
      <w:start w:val="1"/>
    </w:lvl>
  </w:abstractNum>
  <w:abstractNum w:abstractNumId="151">
    <w:nsid w:val="5454945E"/>
    <w:multiLevelType w:val="hybridMultilevel"/>
    <w:lvl w:ilvl="0">
      <w:lvlJc w:val="left"/>
      <w:lvlText w:val="(%1)"/>
      <w:numFmt w:val="lowerRoman"/>
      <w:start w:val="1"/>
    </w:lvl>
  </w:abstractNum>
  <w:abstractNum w:abstractNumId="152">
    <w:nsid w:val="4DEFDFA0"/>
    <w:multiLevelType w:val="hybridMultilevel"/>
    <w:lvl w:ilvl="0">
      <w:lvlJc w:val="left"/>
      <w:lvlText w:val="(%1)"/>
      <w:numFmt w:val="lowerRoman"/>
      <w:start w:val="3"/>
    </w:lvl>
  </w:abstractNum>
  <w:abstractNum w:abstractNumId="153">
    <w:nsid w:val="2123D5F2"/>
    <w:multiLevelType w:val="hybridMultilevel"/>
    <w:lvl w:ilvl="0">
      <w:lvlJc w:val="left"/>
      <w:lvlText w:val="(%1)"/>
      <w:numFmt w:val="upperLetter"/>
      <w:start w:val="4"/>
    </w:lvl>
  </w:abstractNum>
  <w:abstractNum w:abstractNumId="154">
    <w:nsid w:val="135B8110"/>
    <w:multiLevelType w:val="hybridMultilevel"/>
    <w:lvl w:ilvl="0">
      <w:lvlJc w:val="left"/>
      <w:lvlText w:val="(%1)"/>
      <w:numFmt w:val="lowerRoman"/>
      <w:start w:val="1"/>
    </w:lvl>
  </w:abstractNum>
  <w:abstractNum w:abstractNumId="155">
    <w:nsid w:val="94927A8"/>
    <w:multiLevelType w:val="hybridMultilevel"/>
    <w:lvl w:ilvl="0">
      <w:lvlJc w:val="left"/>
      <w:lvlText w:val="(%1)"/>
      <w:numFmt w:val="lowerRoman"/>
      <w:start w:val="1"/>
    </w:lvl>
  </w:abstractNum>
  <w:abstractNum w:abstractNumId="156">
    <w:nsid w:val="DCDF8F6"/>
    <w:multiLevelType w:val="hybridMultilevel"/>
    <w:lvl w:ilvl="0">
      <w:lvlJc w:val="left"/>
      <w:lvlText w:val="(%1)"/>
      <w:numFmt w:val="lowerRoman"/>
      <w:start w:val="1"/>
    </w:lvl>
  </w:abstractNum>
  <w:abstractNum w:abstractNumId="157">
    <w:nsid w:val="52D7B105"/>
    <w:multiLevelType w:val="hybridMultilevel"/>
    <w:lvl w:ilvl="0">
      <w:lvlJc w:val="left"/>
      <w:lvlText w:val="(%1)"/>
      <w:numFmt w:val="lowerRoman"/>
      <w:start w:val="2"/>
    </w:lvl>
  </w:abstractNum>
  <w:abstractNum w:abstractNumId="158">
    <w:nsid w:val="2E8A6394"/>
    <w:multiLevelType w:val="hybridMultilevel"/>
    <w:lvl w:ilvl="0">
      <w:lvlJc w:val="left"/>
      <w:lvlText w:val="%1."/>
      <w:numFmt w:val="decimal"/>
      <w:start w:val="1"/>
    </w:lvl>
  </w:abstractNum>
  <w:abstractNum w:abstractNumId="159">
    <w:nsid w:val="24E60401"/>
    <w:multiLevelType w:val="hybridMultilevel"/>
    <w:lvl w:ilvl="0">
      <w:lvlJc w:val="left"/>
      <w:lvlText w:val="(%1)"/>
      <w:numFmt w:val="lowerLetter"/>
      <w:start w:val="1"/>
    </w:lvl>
  </w:abstractNum>
  <w:abstractNum w:abstractNumId="160">
    <w:nsid w:val="2A6AD9BE"/>
    <w:multiLevelType w:val="hybridMultilevel"/>
    <w:lvl w:ilvl="0">
      <w:lvlJc w:val="left"/>
      <w:lvlText w:val="(%1)"/>
      <w:numFmt w:val="lowerLetter"/>
      <w:start w:val="5"/>
    </w:lvl>
  </w:abstractNum>
  <w:abstractNum w:abstractNumId="161">
    <w:nsid w:val="BAAC1B4"/>
    <w:multiLevelType w:val="hybridMultilevel"/>
    <w:lvl w:ilvl="0">
      <w:lvlJc w:val="left"/>
      <w:lvlText w:val="(%1)"/>
      <w:numFmt w:val="lowerLetter"/>
      <w:start w:val="7"/>
    </w:lvl>
  </w:abstractNum>
  <w:abstractNum w:abstractNumId="162">
    <w:nsid w:val="36B2ACBC"/>
    <w:multiLevelType w:val="hybridMultilevel"/>
    <w:lvl w:ilvl="0">
      <w:lvlJc w:val="left"/>
      <w:lvlText w:val="1"/>
      <w:numFmt w:val="bullet"/>
      <w:start w:val="1"/>
    </w:lvl>
  </w:abstractNum>
  <w:abstractNum w:abstractNumId="163">
    <w:nsid w:val="779D8544"/>
    <w:multiLevelType w:val="hybridMultilevel"/>
    <w:lvl w:ilvl="0">
      <w:lvlJc w:val="left"/>
      <w:lvlText w:val="2"/>
      <w:numFmt w:val="bullet"/>
      <w:start w:val="1"/>
    </w:lvl>
  </w:abstractNum>
  <w:abstractNum w:abstractNumId="164">
    <w:nsid w:val="4AB26E78"/>
    <w:multiLevelType w:val="hybridMultilevel"/>
    <w:lvl w:ilvl="0">
      <w:lvlJc w:val="left"/>
      <w:lvlText w:val="3"/>
      <w:numFmt w:val="bullet"/>
      <w:start w:val="1"/>
    </w:lvl>
  </w:abstractNum>
  <w:abstractNum w:abstractNumId="165">
    <w:nsid w:val="21FAA2FA"/>
    <w:multiLevelType w:val="hybridMultilevel"/>
    <w:lvl w:ilvl="0">
      <w:lvlJc w:val="left"/>
      <w:lvlText w:val="4"/>
      <w:numFmt w:val="bullet"/>
      <w:start w:val="1"/>
    </w:lvl>
  </w:abstractNum>
  <w:abstractNum w:abstractNumId="166">
    <w:nsid w:val="5451CF49"/>
    <w:multiLevelType w:val="hybridMultilevel"/>
    <w:lvl w:ilvl="0">
      <w:lvlJc w:val="left"/>
      <w:lvlText w:val="(%1)"/>
      <w:numFmt w:val="upperLetter"/>
      <w:start w:val="1"/>
    </w:lvl>
  </w:abstractNum>
  <w:abstractNum w:abstractNumId="167">
    <w:nsid w:val="6181EF69"/>
    <w:multiLevelType w:val="hybridMultilevel"/>
    <w:lvl w:ilvl="0">
      <w:lvlJc w:val="left"/>
      <w:lvlText w:val="(%1)"/>
      <w:numFmt w:val="upperLetter"/>
      <w:start w:val="2"/>
    </w:lvl>
  </w:abstractNum>
  <w:abstractNum w:abstractNumId="168">
    <w:nsid w:val="3E6400E6"/>
    <w:multiLevelType w:val="hybridMultilevel"/>
    <w:lvl w:ilvl="0">
      <w:lvlJc w:val="left"/>
      <w:lvlText w:val="(%1)"/>
      <w:numFmt w:val="lowerLetter"/>
      <w:start w:val="1"/>
    </w:lvl>
  </w:abstractNum>
  <w:abstractNum w:abstractNumId="169">
    <w:nsid w:val="14217E23"/>
    <w:multiLevelType w:val="hybridMultilevel"/>
    <w:lvl w:ilvl="0">
      <w:lvlJc w:val="left"/>
      <w:lvlText w:val="%1."/>
      <w:numFmt w:val="decimal"/>
      <w:start w:val="1"/>
    </w:lvl>
  </w:abstractNum>
  <w:abstractNum w:abstractNumId="170">
    <w:nsid w:val="710757D0"/>
    <w:multiLevelType w:val="hybridMultilevel"/>
    <w:lvl w:ilvl="0">
      <w:lvlJc w:val="left"/>
      <w:lvlText w:val="(%1)"/>
      <w:numFmt w:val="decimal"/>
      <w:start w:val="2"/>
    </w:lvl>
  </w:abstractNum>
  <w:abstractNum w:abstractNumId="171">
    <w:nsid w:val="5015CD1A"/>
    <w:multiLevelType w:val="hybridMultilevel"/>
    <w:lvl w:ilvl="0">
      <w:lvlJc w:val="left"/>
      <w:lvlText w:val="(%1)"/>
      <w:numFmt w:val="decimal"/>
      <w:start w:val="1"/>
    </w:lvl>
  </w:abstractNum>
  <w:abstractNum w:abstractNumId="172">
    <w:nsid w:val="424479DA"/>
    <w:multiLevelType w:val="hybridMultilevel"/>
    <w:lvl w:ilvl="0">
      <w:lvlJc w:val="left"/>
      <w:lvlText w:val="(%1)"/>
      <w:numFmt w:val="lowerRoman"/>
      <w:start w:val="1"/>
    </w:lvl>
  </w:abstractNum>
  <w:abstractNum w:abstractNumId="173">
    <w:nsid w:val="1A9A9E69"/>
    <w:multiLevelType w:val="hybridMultilevel"/>
    <w:lvl w:ilvl="0">
      <w:lvlJc w:val="left"/>
      <w:lvlText w:val="(%1)"/>
      <w:numFmt w:val="lowerRoman"/>
      <w:start w:val="1"/>
    </w:lvl>
  </w:abstractNum>
  <w:abstractNum w:abstractNumId="174">
    <w:nsid w:val="475E256A"/>
    <w:multiLevelType w:val="hybridMultilevel"/>
    <w:lvl w:ilvl="0">
      <w:lvlJc w:val="left"/>
      <w:lvlText w:val="(%1)"/>
      <w:numFmt w:val="lowerRoman"/>
      <w:start w:val="2"/>
    </w:lvl>
  </w:abstractNum>
  <w:abstractNum w:abstractNumId="175">
    <w:nsid w:val="368DB37E"/>
    <w:multiLevelType w:val="hybridMultilevel"/>
    <w:lvl w:ilvl="0">
      <w:lvlJc w:val="left"/>
      <w:lvlText w:val="(%1)"/>
      <w:numFmt w:val="upperLetter"/>
      <w:start w:val="3"/>
    </w:lvl>
  </w:abstractNum>
  <w:abstractNum w:abstractNumId="176">
    <w:nsid w:val="6A3B714C"/>
    <w:multiLevelType w:val="hybridMultilevel"/>
    <w:lvl w:ilvl="0">
      <w:lvlJc w:val="left"/>
      <w:lvlText w:val="(%1)"/>
      <w:numFmt w:val="lowerRoman"/>
      <w:start w:val="2"/>
    </w:lvl>
  </w:abstractNum>
  <w:abstractNum w:abstractNumId="177">
    <w:nsid w:val="327B517E"/>
    <w:multiLevelType w:val="hybridMultilevel"/>
    <w:lvl w:ilvl="0">
      <w:lvlJc w:val="left"/>
      <w:lvlText w:val="·"/>
      <w:numFmt w:val="bullet"/>
      <w:start w:val="1"/>
    </w:lvl>
  </w:abstractNum>
  <w:abstractNum w:abstractNumId="178">
    <w:nsid w:val="1F461B51"/>
    <w:multiLevelType w:val="hybridMultilevel"/>
    <w:lvl w:ilvl="0">
      <w:lvlJc w:val="left"/>
      <w:lvlText w:val="·"/>
      <w:numFmt w:val="bullet"/>
      <w:start w:val="1"/>
    </w:lvl>
  </w:abstractNum>
  <w:abstractNum w:abstractNumId="179">
    <w:nsid w:val="29BACF25"/>
    <w:multiLevelType w:val="hybridMultilevel"/>
    <w:lvl w:ilvl="0">
      <w:lvlJc w:val="left"/>
      <w:lvlText w:val="·"/>
      <w:numFmt w:val="bullet"/>
      <w:start w:val="1"/>
    </w:lvl>
  </w:abstractNum>
  <w:abstractNum w:abstractNumId="180">
    <w:nsid w:val="5D5BABB3"/>
    <w:multiLevelType w:val="hybridMultilevel"/>
    <w:lvl w:ilvl="0">
      <w:lvlJc w:val="left"/>
      <w:lvlText w:val="·"/>
      <w:numFmt w:val="bullet"/>
      <w:start w:val="1"/>
    </w:lvl>
  </w:abstractNum>
  <w:abstractNum w:abstractNumId="181">
    <w:nsid w:val="51BF6B48"/>
    <w:multiLevelType w:val="hybridMultilevel"/>
    <w:lvl w:ilvl="0">
      <w:lvlJc w:val="left"/>
      <w:lvlText w:val="·"/>
      <w:numFmt w:val="bullet"/>
      <w:start w:val="1"/>
    </w:lvl>
  </w:abstractNum>
  <w:abstractNum w:abstractNumId="182">
    <w:nsid w:val="7E0F6384"/>
    <w:multiLevelType w:val="hybridMultilevel"/>
    <w:lvl w:ilvl="0">
      <w:lvlJc w:val="left"/>
      <w:lvlText w:val="·"/>
      <w:numFmt w:val="bullet"/>
      <w:start w:val="1"/>
    </w:lvl>
  </w:abstractNum>
  <w:abstractNum w:abstractNumId="183">
    <w:nsid w:val="2B4B8B53"/>
    <w:multiLevelType w:val="hybridMultilevel"/>
    <w:lvl w:ilvl="0">
      <w:lvlJc w:val="left"/>
      <w:lvlText w:val="·"/>
      <w:numFmt w:val="bullet"/>
      <w:start w:val="1"/>
    </w:lvl>
  </w:abstractNum>
  <w:abstractNum w:abstractNumId="184">
    <w:nsid w:val="72E3413A"/>
    <w:multiLevelType w:val="hybridMultilevel"/>
    <w:lvl w:ilvl="0">
      <w:lvlJc w:val="left"/>
      <w:lvlText w:val="%1."/>
      <w:numFmt w:val="decimal"/>
      <w:start w:val="1"/>
    </w:lvl>
    <w:lvl w:ilvl="1">
      <w:lvlJc w:val="left"/>
      <w:lvlText w:val="%2."/>
      <w:numFmt w:val="lowerLetter"/>
      <w:start w:val="1"/>
    </w:lvl>
  </w:abstractNum>
  <w:abstractNum w:abstractNumId="185">
    <w:nsid w:val="116AE4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jpe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69" Type="http://schemas.openxmlformats.org/officeDocument/2006/relationships/image" Target="media/image644.png"/><Relationship Id="rId670" Type="http://schemas.openxmlformats.org/officeDocument/2006/relationships/image" Target="media/image645.png"/><Relationship Id="rId671" Type="http://schemas.openxmlformats.org/officeDocument/2006/relationships/image" Target="media/image646.png"/><Relationship Id="rId672" Type="http://schemas.openxmlformats.org/officeDocument/2006/relationships/image" Target="media/image647.png"/><Relationship Id="rId673" Type="http://schemas.openxmlformats.org/officeDocument/2006/relationships/image" Target="media/image648.png"/><Relationship Id="rId674" Type="http://schemas.openxmlformats.org/officeDocument/2006/relationships/image" Target="media/image649.png"/><Relationship Id="rId675" Type="http://schemas.openxmlformats.org/officeDocument/2006/relationships/image" Target="media/image650.png"/><Relationship Id="rId676" Type="http://schemas.openxmlformats.org/officeDocument/2006/relationships/image" Target="media/image651.png"/><Relationship Id="rId677" Type="http://schemas.openxmlformats.org/officeDocument/2006/relationships/image" Target="media/image652.png"/><Relationship Id="rId678" Type="http://schemas.openxmlformats.org/officeDocument/2006/relationships/image" Target="media/image653.png"/><Relationship Id="rId679" Type="http://schemas.openxmlformats.org/officeDocument/2006/relationships/image" Target="media/image654.png"/><Relationship Id="rId680" Type="http://schemas.openxmlformats.org/officeDocument/2006/relationships/image" Target="media/image655.png"/><Relationship Id="rId681" Type="http://schemas.openxmlformats.org/officeDocument/2006/relationships/image" Target="media/image656.png"/><Relationship Id="rId682" Type="http://schemas.openxmlformats.org/officeDocument/2006/relationships/image" Target="media/image657.png"/><Relationship Id="rId683" Type="http://schemas.openxmlformats.org/officeDocument/2006/relationships/image" Target="media/image658.png"/><Relationship Id="rId684" Type="http://schemas.openxmlformats.org/officeDocument/2006/relationships/image" Target="media/image659.png"/><Relationship Id="rId685" Type="http://schemas.openxmlformats.org/officeDocument/2006/relationships/image" Target="media/image660.png"/><Relationship Id="rId686" Type="http://schemas.openxmlformats.org/officeDocument/2006/relationships/image" Target="media/image661.png"/><Relationship Id="rId687" Type="http://schemas.openxmlformats.org/officeDocument/2006/relationships/image" Target="media/image662.png"/><Relationship Id="rId688" Type="http://schemas.openxmlformats.org/officeDocument/2006/relationships/image" Target="media/image663.png"/><Relationship Id="rId689" Type="http://schemas.openxmlformats.org/officeDocument/2006/relationships/image" Target="media/image664.png"/><Relationship Id="rId690" Type="http://schemas.openxmlformats.org/officeDocument/2006/relationships/image" Target="media/image665.png"/><Relationship Id="rId691" Type="http://schemas.openxmlformats.org/officeDocument/2006/relationships/image" Target="media/image666.png"/><Relationship Id="rId692" Type="http://schemas.openxmlformats.org/officeDocument/2006/relationships/image" Target="media/image667.png"/><Relationship Id="rId693" Type="http://schemas.openxmlformats.org/officeDocument/2006/relationships/image" Target="media/image668.png"/><Relationship Id="rId694" Type="http://schemas.openxmlformats.org/officeDocument/2006/relationships/image" Target="media/image669.png"/><Relationship Id="rId695" Type="http://schemas.openxmlformats.org/officeDocument/2006/relationships/image" Target="media/image670.png"/><Relationship Id="rId696" Type="http://schemas.openxmlformats.org/officeDocument/2006/relationships/image" Target="media/image671.png"/><Relationship Id="rId697" Type="http://schemas.openxmlformats.org/officeDocument/2006/relationships/image" Target="media/image672.png"/><Relationship Id="rId698" Type="http://schemas.openxmlformats.org/officeDocument/2006/relationships/image" Target="media/image673.png"/><Relationship Id="rId699" Type="http://schemas.openxmlformats.org/officeDocument/2006/relationships/image" Target="media/image674.png"/><Relationship Id="rId700" Type="http://schemas.openxmlformats.org/officeDocument/2006/relationships/image" Target="media/image675.png"/><Relationship Id="rId701" Type="http://schemas.openxmlformats.org/officeDocument/2006/relationships/image" Target="media/image676.png"/><Relationship Id="rId702" Type="http://schemas.openxmlformats.org/officeDocument/2006/relationships/image" Target="media/image677.png"/><Relationship Id="rId703" Type="http://schemas.openxmlformats.org/officeDocument/2006/relationships/image" Target="media/image678.png"/><Relationship Id="rId704" Type="http://schemas.openxmlformats.org/officeDocument/2006/relationships/image" Target="media/image679.png"/><Relationship Id="rId705" Type="http://schemas.openxmlformats.org/officeDocument/2006/relationships/image" Target="media/image680.png"/><Relationship Id="rId706" Type="http://schemas.openxmlformats.org/officeDocument/2006/relationships/image" Target="media/image681.png"/><Relationship Id="rId707" Type="http://schemas.openxmlformats.org/officeDocument/2006/relationships/image" Target="media/image682.png"/><Relationship Id="rId708" Type="http://schemas.openxmlformats.org/officeDocument/2006/relationships/image" Target="media/image683.png"/><Relationship Id="rId709" Type="http://schemas.openxmlformats.org/officeDocument/2006/relationships/image" Target="media/image684.png"/><Relationship Id="rId710" Type="http://schemas.openxmlformats.org/officeDocument/2006/relationships/image" Target="media/image685.png"/><Relationship Id="rId711" Type="http://schemas.openxmlformats.org/officeDocument/2006/relationships/image" Target="media/image686.png"/><Relationship Id="rId712" Type="http://schemas.openxmlformats.org/officeDocument/2006/relationships/image" Target="media/image687.png"/><Relationship Id="rId713" Type="http://schemas.openxmlformats.org/officeDocument/2006/relationships/image" Target="media/image688.png"/><Relationship Id="rId714" Type="http://schemas.openxmlformats.org/officeDocument/2006/relationships/image" Target="media/image689.png"/><Relationship Id="rId715" Type="http://schemas.openxmlformats.org/officeDocument/2006/relationships/image" Target="media/image690.png"/><Relationship Id="rId716" Type="http://schemas.openxmlformats.org/officeDocument/2006/relationships/image" Target="media/image691.png"/><Relationship Id="rId717" Type="http://schemas.openxmlformats.org/officeDocument/2006/relationships/image" Target="media/image692.png"/><Relationship Id="rId718" Type="http://schemas.openxmlformats.org/officeDocument/2006/relationships/image" Target="media/image693.png"/><Relationship Id="rId719" Type="http://schemas.openxmlformats.org/officeDocument/2006/relationships/image" Target="media/image694.png"/><Relationship Id="rId720" Type="http://schemas.openxmlformats.org/officeDocument/2006/relationships/image" Target="media/image695.png"/><Relationship Id="rId721" Type="http://schemas.openxmlformats.org/officeDocument/2006/relationships/image" Target="media/image696.png"/><Relationship Id="rId722" Type="http://schemas.openxmlformats.org/officeDocument/2006/relationships/image" Target="media/image697.png"/><Relationship Id="rId723" Type="http://schemas.openxmlformats.org/officeDocument/2006/relationships/image" Target="media/image698.png"/><Relationship Id="rId724" Type="http://schemas.openxmlformats.org/officeDocument/2006/relationships/image" Target="media/image699.png"/><Relationship Id="rId725" Type="http://schemas.openxmlformats.org/officeDocument/2006/relationships/image" Target="media/image700.png"/><Relationship Id="rId726" Type="http://schemas.openxmlformats.org/officeDocument/2006/relationships/image" Target="media/image701.png"/><Relationship Id="rId727" Type="http://schemas.openxmlformats.org/officeDocument/2006/relationships/image" Target="media/image702.png"/><Relationship Id="rId728" Type="http://schemas.openxmlformats.org/officeDocument/2006/relationships/image" Target="media/image703.png"/><Relationship Id="rId729" Type="http://schemas.openxmlformats.org/officeDocument/2006/relationships/image" Target="media/image704.png"/><Relationship Id="rId730" Type="http://schemas.openxmlformats.org/officeDocument/2006/relationships/image" Target="media/image705.png"/><Relationship Id="rId731" Type="http://schemas.openxmlformats.org/officeDocument/2006/relationships/image" Target="media/image706.png"/><Relationship Id="rId732" Type="http://schemas.openxmlformats.org/officeDocument/2006/relationships/image" Target="media/image707.png"/><Relationship Id="rId733" Type="http://schemas.openxmlformats.org/officeDocument/2006/relationships/image" Target="media/image708.png"/><Relationship Id="rId734" Type="http://schemas.openxmlformats.org/officeDocument/2006/relationships/image" Target="media/image709.png"/><Relationship Id="rId735" Type="http://schemas.openxmlformats.org/officeDocument/2006/relationships/image" Target="media/image710.png"/><Relationship Id="rId736" Type="http://schemas.openxmlformats.org/officeDocument/2006/relationships/image" Target="media/image711.png"/><Relationship Id="rId737" Type="http://schemas.openxmlformats.org/officeDocument/2006/relationships/image" Target="media/image712.png"/><Relationship Id="rId738" Type="http://schemas.openxmlformats.org/officeDocument/2006/relationships/image" Target="media/image713.png"/><Relationship Id="rId739" Type="http://schemas.openxmlformats.org/officeDocument/2006/relationships/image" Target="media/image714.png"/><Relationship Id="rId740" Type="http://schemas.openxmlformats.org/officeDocument/2006/relationships/image" Target="media/image715.png"/><Relationship Id="rId741" Type="http://schemas.openxmlformats.org/officeDocument/2006/relationships/image" Target="media/image716.png"/><Relationship Id="rId742" Type="http://schemas.openxmlformats.org/officeDocument/2006/relationships/image" Target="media/image717.png"/><Relationship Id="rId743" Type="http://schemas.openxmlformats.org/officeDocument/2006/relationships/image" Target="media/image718.png"/><Relationship Id="rId744" Type="http://schemas.openxmlformats.org/officeDocument/2006/relationships/image" Target="media/image719.png"/><Relationship Id="rId745" Type="http://schemas.openxmlformats.org/officeDocument/2006/relationships/image" Target="media/image720.png"/><Relationship Id="rId746" Type="http://schemas.openxmlformats.org/officeDocument/2006/relationships/image" Target="media/image721.png"/><Relationship Id="rId747" Type="http://schemas.openxmlformats.org/officeDocument/2006/relationships/image" Target="media/image722.png"/><Relationship Id="rId748" Type="http://schemas.openxmlformats.org/officeDocument/2006/relationships/image" Target="media/image723.png"/><Relationship Id="rId749" Type="http://schemas.openxmlformats.org/officeDocument/2006/relationships/image" Target="media/image724.png"/><Relationship Id="rId750" Type="http://schemas.openxmlformats.org/officeDocument/2006/relationships/image" Target="media/image725.png"/><Relationship Id="rId751" Type="http://schemas.openxmlformats.org/officeDocument/2006/relationships/image" Target="media/image726.png"/><Relationship Id="rId752" Type="http://schemas.openxmlformats.org/officeDocument/2006/relationships/image" Target="media/image727.png"/><Relationship Id="rId753" Type="http://schemas.openxmlformats.org/officeDocument/2006/relationships/image" Target="media/image728.png"/><Relationship Id="rId754" Type="http://schemas.openxmlformats.org/officeDocument/2006/relationships/image" Target="media/image729.png"/><Relationship Id="rId755" Type="http://schemas.openxmlformats.org/officeDocument/2006/relationships/image" Target="media/image730.png"/><Relationship Id="rId756" Type="http://schemas.openxmlformats.org/officeDocument/2006/relationships/image" Target="media/image731.png"/><Relationship Id="rId757" Type="http://schemas.openxmlformats.org/officeDocument/2006/relationships/image" Target="media/image732.png"/><Relationship Id="rId758" Type="http://schemas.openxmlformats.org/officeDocument/2006/relationships/image" Target="media/image733.png"/><Relationship Id="rId759" Type="http://schemas.openxmlformats.org/officeDocument/2006/relationships/image" Target="media/image734.png"/><Relationship Id="rId760" Type="http://schemas.openxmlformats.org/officeDocument/2006/relationships/image" Target="media/image735.png"/><Relationship Id="rId761" Type="http://schemas.openxmlformats.org/officeDocument/2006/relationships/image" Target="media/image736.png"/><Relationship Id="rId762" Type="http://schemas.openxmlformats.org/officeDocument/2006/relationships/image" Target="media/image737.png"/><Relationship Id="rId763" Type="http://schemas.openxmlformats.org/officeDocument/2006/relationships/image" Target="media/image738.png"/><Relationship Id="rId764" Type="http://schemas.openxmlformats.org/officeDocument/2006/relationships/image" Target="media/image739.png"/><Relationship Id="rId765" Type="http://schemas.openxmlformats.org/officeDocument/2006/relationships/image" Target="media/image740.png"/><Relationship Id="rId766" Type="http://schemas.openxmlformats.org/officeDocument/2006/relationships/image" Target="media/image741.png"/><Relationship Id="rId767" Type="http://schemas.openxmlformats.org/officeDocument/2006/relationships/image" Target="media/image742.png"/><Relationship Id="rId768" Type="http://schemas.openxmlformats.org/officeDocument/2006/relationships/image" Target="media/image743.png"/><Relationship Id="rId769" Type="http://schemas.openxmlformats.org/officeDocument/2006/relationships/image" Target="media/image744.png"/><Relationship Id="rId770" Type="http://schemas.openxmlformats.org/officeDocument/2006/relationships/image" Target="media/image745.png"/><Relationship Id="rId771" Type="http://schemas.openxmlformats.org/officeDocument/2006/relationships/image" Target="media/image746.png"/><Relationship Id="rId772" Type="http://schemas.openxmlformats.org/officeDocument/2006/relationships/image" Target="media/image747.png"/><Relationship Id="rId773" Type="http://schemas.openxmlformats.org/officeDocument/2006/relationships/image" Target="media/image748.png"/><Relationship Id="rId774" Type="http://schemas.openxmlformats.org/officeDocument/2006/relationships/image" Target="media/image749.png"/><Relationship Id="rId775" Type="http://schemas.openxmlformats.org/officeDocument/2006/relationships/image" Target="media/image750.png"/><Relationship Id="rId776" Type="http://schemas.openxmlformats.org/officeDocument/2006/relationships/image" Target="media/image751.jpeg"/><Relationship Id="rId777" Type="http://schemas.openxmlformats.org/officeDocument/2006/relationships/image" Target="media/image752.png"/><Relationship Id="rId778" Type="http://schemas.openxmlformats.org/officeDocument/2006/relationships/image" Target="media/image753.jpeg"/><Relationship Id="rId779" Type="http://schemas.openxmlformats.org/officeDocument/2006/relationships/image" Target="media/image754.png"/><Relationship Id="rId780" Type="http://schemas.openxmlformats.org/officeDocument/2006/relationships/image" Target="media/image755.png"/><Relationship Id="rId781" Type="http://schemas.openxmlformats.org/officeDocument/2006/relationships/image" Target="media/image756.png"/><Relationship Id="rId782" Type="http://schemas.openxmlformats.org/officeDocument/2006/relationships/image" Target="media/image757.png"/><Relationship Id="rId783" Type="http://schemas.openxmlformats.org/officeDocument/2006/relationships/image" Target="media/image758.png"/><Relationship Id="rId784" Type="http://schemas.openxmlformats.org/officeDocument/2006/relationships/image" Target="media/image759.png"/><Relationship Id="rId785" Type="http://schemas.openxmlformats.org/officeDocument/2006/relationships/image" Target="media/image760.png"/><Relationship Id="rId786" Type="http://schemas.openxmlformats.org/officeDocument/2006/relationships/image" Target="media/image761.png"/><Relationship Id="rId787" Type="http://schemas.openxmlformats.org/officeDocument/2006/relationships/image" Target="media/image762.png"/><Relationship Id="rId788" Type="http://schemas.openxmlformats.org/officeDocument/2006/relationships/image" Target="media/image763.png"/><Relationship Id="rId789" Type="http://schemas.openxmlformats.org/officeDocument/2006/relationships/image" Target="media/image764.png"/><Relationship Id="rId790" Type="http://schemas.openxmlformats.org/officeDocument/2006/relationships/image" Target="media/image765.png"/><Relationship Id="rId791" Type="http://schemas.openxmlformats.org/officeDocument/2006/relationships/image" Target="media/image766.png"/><Relationship Id="rId792" Type="http://schemas.openxmlformats.org/officeDocument/2006/relationships/image" Target="media/image767.png"/><Relationship Id="rId793" Type="http://schemas.openxmlformats.org/officeDocument/2006/relationships/image" Target="media/image768.png"/><Relationship Id="rId794" Type="http://schemas.openxmlformats.org/officeDocument/2006/relationships/image" Target="media/image769.png"/><Relationship Id="rId795" Type="http://schemas.openxmlformats.org/officeDocument/2006/relationships/image" Target="media/image770.png"/><Relationship Id="rId796" Type="http://schemas.openxmlformats.org/officeDocument/2006/relationships/image" Target="media/image771.png"/><Relationship Id="rId797" Type="http://schemas.openxmlformats.org/officeDocument/2006/relationships/image" Target="media/image772.png"/><Relationship Id="rId798" Type="http://schemas.openxmlformats.org/officeDocument/2006/relationships/image" Target="media/image773.png"/><Relationship Id="rId799" Type="http://schemas.openxmlformats.org/officeDocument/2006/relationships/image" Target="media/image774.png"/><Relationship Id="rId800" Type="http://schemas.openxmlformats.org/officeDocument/2006/relationships/image" Target="media/image775.png"/><Relationship Id="rId801" Type="http://schemas.openxmlformats.org/officeDocument/2006/relationships/image" Target="media/image776.png"/><Relationship Id="rId802" Type="http://schemas.openxmlformats.org/officeDocument/2006/relationships/image" Target="media/image777.png"/><Relationship Id="rId803" Type="http://schemas.openxmlformats.org/officeDocument/2006/relationships/image" Target="media/image778.png"/><Relationship Id="rId804" Type="http://schemas.openxmlformats.org/officeDocument/2006/relationships/image" Target="media/image779.png"/><Relationship Id="rId805" Type="http://schemas.openxmlformats.org/officeDocument/2006/relationships/image" Target="media/image780.png"/><Relationship Id="rId806" Type="http://schemas.openxmlformats.org/officeDocument/2006/relationships/image" Target="media/image781.png"/><Relationship Id="rId807" Type="http://schemas.openxmlformats.org/officeDocument/2006/relationships/image" Target="media/image782.png"/><Relationship Id="rId808" Type="http://schemas.openxmlformats.org/officeDocument/2006/relationships/image" Target="media/image783.png"/><Relationship Id="rId809" Type="http://schemas.openxmlformats.org/officeDocument/2006/relationships/image" Target="media/image784.png"/><Relationship Id="rId810" Type="http://schemas.openxmlformats.org/officeDocument/2006/relationships/image" Target="media/image785.png"/><Relationship Id="rId811" Type="http://schemas.openxmlformats.org/officeDocument/2006/relationships/image" Target="media/image786.png"/><Relationship Id="rId812" Type="http://schemas.openxmlformats.org/officeDocument/2006/relationships/image" Target="media/image787.png"/><Relationship Id="rId813" Type="http://schemas.openxmlformats.org/officeDocument/2006/relationships/image" Target="media/image788.png"/><Relationship Id="rId814" Type="http://schemas.openxmlformats.org/officeDocument/2006/relationships/image" Target="media/image789.png"/><Relationship Id="rId815" Type="http://schemas.openxmlformats.org/officeDocument/2006/relationships/image" Target="media/image790.png"/><Relationship Id="rId816" Type="http://schemas.openxmlformats.org/officeDocument/2006/relationships/image" Target="media/image791.png"/><Relationship Id="rId817" Type="http://schemas.openxmlformats.org/officeDocument/2006/relationships/image" Target="media/image792.png"/><Relationship Id="rId818" Type="http://schemas.openxmlformats.org/officeDocument/2006/relationships/image" Target="media/image793.png"/><Relationship Id="rId819" Type="http://schemas.openxmlformats.org/officeDocument/2006/relationships/image" Target="media/image794.png"/><Relationship Id="rId820" Type="http://schemas.openxmlformats.org/officeDocument/2006/relationships/image" Target="media/image795.png"/><Relationship Id="rId821" Type="http://schemas.openxmlformats.org/officeDocument/2006/relationships/image" Target="media/image796.png"/><Relationship Id="rId822" Type="http://schemas.openxmlformats.org/officeDocument/2006/relationships/image" Target="media/image797.png"/><Relationship Id="rId823" Type="http://schemas.openxmlformats.org/officeDocument/2006/relationships/image" Target="media/image798.png"/><Relationship Id="rId824" Type="http://schemas.openxmlformats.org/officeDocument/2006/relationships/image" Target="media/image799.png"/><Relationship Id="rId825" Type="http://schemas.openxmlformats.org/officeDocument/2006/relationships/image" Target="media/image800.png"/><Relationship Id="rId826" Type="http://schemas.openxmlformats.org/officeDocument/2006/relationships/image" Target="media/image801.png"/><Relationship Id="rId827" Type="http://schemas.openxmlformats.org/officeDocument/2006/relationships/image" Target="media/image802.png"/><Relationship Id="rId828" Type="http://schemas.openxmlformats.org/officeDocument/2006/relationships/image" Target="media/image803.png"/><Relationship Id="rId829" Type="http://schemas.openxmlformats.org/officeDocument/2006/relationships/image" Target="media/image804.png"/><Relationship Id="rId830" Type="http://schemas.openxmlformats.org/officeDocument/2006/relationships/image" Target="media/image805.png"/><Relationship Id="rId831" Type="http://schemas.openxmlformats.org/officeDocument/2006/relationships/image" Target="media/image806.png"/><Relationship Id="rId832" Type="http://schemas.openxmlformats.org/officeDocument/2006/relationships/image" Target="media/image807.png"/><Relationship Id="rId833" Type="http://schemas.openxmlformats.org/officeDocument/2006/relationships/image" Target="media/image808.png"/><Relationship Id="rId834" Type="http://schemas.openxmlformats.org/officeDocument/2006/relationships/image" Target="media/image809.png"/><Relationship Id="rId835" Type="http://schemas.openxmlformats.org/officeDocument/2006/relationships/image" Target="media/image810.png"/><Relationship Id="rId836" Type="http://schemas.openxmlformats.org/officeDocument/2006/relationships/image" Target="media/image811.png"/><Relationship Id="rId837" Type="http://schemas.openxmlformats.org/officeDocument/2006/relationships/image" Target="media/image812.png"/><Relationship Id="rId838" Type="http://schemas.openxmlformats.org/officeDocument/2006/relationships/image" Target="media/image813.png"/><Relationship Id="rId839" Type="http://schemas.openxmlformats.org/officeDocument/2006/relationships/image" Target="media/image814.png"/><Relationship Id="rId840" Type="http://schemas.openxmlformats.org/officeDocument/2006/relationships/image" Target="media/image815.png"/><Relationship Id="rId841" Type="http://schemas.openxmlformats.org/officeDocument/2006/relationships/image" Target="media/image816.png"/><Relationship Id="rId842" Type="http://schemas.openxmlformats.org/officeDocument/2006/relationships/image" Target="media/image817.png"/><Relationship Id="rId843" Type="http://schemas.openxmlformats.org/officeDocument/2006/relationships/image" Target="media/image818.png"/><Relationship Id="rId844" Type="http://schemas.openxmlformats.org/officeDocument/2006/relationships/image" Target="media/image819.png"/><Relationship Id="rId845" Type="http://schemas.openxmlformats.org/officeDocument/2006/relationships/image" Target="media/image820.png"/><Relationship Id="rId846" Type="http://schemas.openxmlformats.org/officeDocument/2006/relationships/image" Target="media/image821.png"/><Relationship Id="rId847" Type="http://schemas.openxmlformats.org/officeDocument/2006/relationships/image" Target="media/image822.png"/><Relationship Id="rId848" Type="http://schemas.openxmlformats.org/officeDocument/2006/relationships/image" Target="media/image823.png"/><Relationship Id="rId849" Type="http://schemas.openxmlformats.org/officeDocument/2006/relationships/image" Target="media/image824.png"/><Relationship Id="rId850" Type="http://schemas.openxmlformats.org/officeDocument/2006/relationships/image" Target="media/image825.png"/><Relationship Id="rId851" Type="http://schemas.openxmlformats.org/officeDocument/2006/relationships/image" Target="media/image826.png"/><Relationship Id="rId852" Type="http://schemas.openxmlformats.org/officeDocument/2006/relationships/image" Target="media/image827.png"/><Relationship Id="rId853" Type="http://schemas.openxmlformats.org/officeDocument/2006/relationships/image" Target="media/image828.png"/><Relationship Id="rId854" Type="http://schemas.openxmlformats.org/officeDocument/2006/relationships/image" Target="media/image829.png"/><Relationship Id="rId855" Type="http://schemas.openxmlformats.org/officeDocument/2006/relationships/image" Target="media/image830.png"/><Relationship Id="rId856" Type="http://schemas.openxmlformats.org/officeDocument/2006/relationships/image" Target="media/image831.png"/><Relationship Id="rId857" Type="http://schemas.openxmlformats.org/officeDocument/2006/relationships/image" Target="media/image832.png"/><Relationship Id="rId858" Type="http://schemas.openxmlformats.org/officeDocument/2006/relationships/image" Target="media/image833.png"/><Relationship Id="rId859" Type="http://schemas.openxmlformats.org/officeDocument/2006/relationships/image" Target="media/image834.png"/><Relationship Id="rId860" Type="http://schemas.openxmlformats.org/officeDocument/2006/relationships/image" Target="media/image835.png"/><Relationship Id="rId861" Type="http://schemas.openxmlformats.org/officeDocument/2006/relationships/image" Target="media/image836.png"/><Relationship Id="rId862" Type="http://schemas.openxmlformats.org/officeDocument/2006/relationships/image" Target="media/image837.png"/><Relationship Id="rId863" Type="http://schemas.openxmlformats.org/officeDocument/2006/relationships/image" Target="media/image838.png"/><Relationship Id="rId864" Type="http://schemas.openxmlformats.org/officeDocument/2006/relationships/image" Target="media/image839.png"/><Relationship Id="rId865" Type="http://schemas.openxmlformats.org/officeDocument/2006/relationships/image" Target="media/image840.png"/><Relationship Id="rId866" Type="http://schemas.openxmlformats.org/officeDocument/2006/relationships/image" Target="media/image841.png"/><Relationship Id="rId867" Type="http://schemas.openxmlformats.org/officeDocument/2006/relationships/image" Target="media/image842.png"/><Relationship Id="rId651" Type="http://schemas.openxmlformats.org/officeDocument/2006/relationships/hyperlink" Target="https://www.sec.gov/Archives/edgar/data/1847367/000110465924069735/tm2411163d6_ex3-1.htm" TargetMode="External"/><Relationship Id="rId652" Type="http://schemas.openxmlformats.org/officeDocument/2006/relationships/hyperlink" Target="https://www.sec.gov/Archives/edgar/data/1847367/000110465924069735/tm2411163d6_ex3-3.htm" TargetMode="External"/><Relationship Id="rId653" Type="http://schemas.openxmlformats.org/officeDocument/2006/relationships/hyperlink" Target="https://www.sec.gov/Archives/edgar/data/1847367/000110465924069735/tm2411163d6_ex4-2.htm" TargetMode="External"/><Relationship Id="rId654" Type="http://schemas.openxmlformats.org/officeDocument/2006/relationships/hyperlink" Target="https://www.sec.gov/Archives/edgar/data/1847367/000110465924069735/tm2411163d6_ex10-1.htm" TargetMode="External"/><Relationship Id="rId655" Type="http://schemas.openxmlformats.org/officeDocument/2006/relationships/hyperlink" Target="https://www.sec.gov/Archives/edgar/data/1847367/000110465924069735/tm2411163d6_ex10-2.htm" TargetMode="External"/><Relationship Id="rId656" Type="http://schemas.openxmlformats.org/officeDocument/2006/relationships/hyperlink" Target="https://www.sec.gov/Archives/edgar/data/1847367/000110465924069735/tm2411163d6_ex10-6.htm" TargetMode="External"/><Relationship Id="rId657" Type="http://schemas.openxmlformats.org/officeDocument/2006/relationships/hyperlink" Target="https://www.sec.gov/Archives/edgar/data/1847367/000110465924069735/tm2411163d6_ex10-7.htm" TargetMode="External"/><Relationship Id="rId658" Type="http://schemas.openxmlformats.org/officeDocument/2006/relationships/hyperlink" Target="https://www.sec.gov/Archives/edgar/data/1847367/000110465924069735/tm2411163d6_ex10-12.htm" TargetMode="External"/><Relationship Id="rId659" Type="http://schemas.openxmlformats.org/officeDocument/2006/relationships/hyperlink" Target="https://www.sec.gov/Archives/edgar/data/1847367/000110465924069735/tm2411163d6_ex10-13.htm" TargetMode="External"/><Relationship Id="rId660" Type="http://schemas.openxmlformats.org/officeDocument/2006/relationships/hyperlink" Target="https://www.sec.gov/Archives/edgar/data/1847367/000110465924069735/tm2411163d6_ex10-14.htm" TargetMode="External"/><Relationship Id="rId661" Type="http://schemas.openxmlformats.org/officeDocument/2006/relationships/hyperlink" Target="https://www.sec.gov/Archives/edgar/data/1847367/000110465924069735/tm2411163d6_ex10-15.htm" TargetMode="External"/><Relationship Id="rId662" Type="http://schemas.openxmlformats.org/officeDocument/2006/relationships/hyperlink" Target="https://www.sec.gov/Archives/edgar/data/1847367/000110465924069735/tm2411163d6_ex10-16.htm" TargetMode="External"/><Relationship Id="rId663" Type="http://schemas.openxmlformats.org/officeDocument/2006/relationships/hyperlink" Target="https://www.sec.gov/Archives/edgar/data/1847367/000110465924069735/tm2411163d6_ex10-17.htm" TargetMode="External"/><Relationship Id="rId664" Type="http://schemas.openxmlformats.org/officeDocument/2006/relationships/hyperlink" Target="https://www.sec.gov/Archives/edgar/data/1847367/000110465924069735/tm2411163d6_ex10-18.htm" TargetMode="External"/><Relationship Id="rId665" Type="http://schemas.openxmlformats.org/officeDocument/2006/relationships/hyperlink" Target="https://www.sec.gov/Archives/edgar/data/1847367/000110465924069735/tm2411163d6_ex10-19.htm" TargetMode="External"/><Relationship Id="rId666" Type="http://schemas.openxmlformats.org/officeDocument/2006/relationships/hyperlink" Target="https://www.sec.gov/Archives/edgar/data/1847367/000110465924069735/tm2411163d6_ex10-20.htm" TargetMode="External"/><Relationship Id="rId667" Type="http://schemas.openxmlformats.org/officeDocument/2006/relationships/hyperlink" Target="https://www.sec.gov/Archives/edgar/data/1847367/000110465924069735/tm2411163d6_ex10-21.htm" TargetMode="External"/><Relationship Id="rId668" Type="http://schemas.openxmlformats.org/officeDocument/2006/relationships/hyperlink" Target="https://www.sec.gov/Archives/edgar/data/1847367/000110465924069735/tm2411163d6_ex1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2024-06-24T05:56:15Z</dcterms:created>
  <dcterms:modified xsi:type="dcterms:W3CDTF">2024-06-24T05:56:15Z</dcterms:modified>
</cp:coreProperties>
</file>