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052026_100804.xml.htm"/>
      <w:bookmarkStart w:id="1" w:name="ksform408052026_1008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Hardiman Roy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ALUMIS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280 EAST GRAND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ALUMIS INC.</w:t>
              </w:r>
            </w:hyperlink>
            <w:r>
              <w:rPr/>
              <w:t xml:space="preserve"> [ </w:t>
            </w:r>
            <w:r>
              <w:rPr>
                <w:rFonts w:ascii="Times;serif" w:hAnsi="Times;serif"/>
                <w:color w:val="0000FF"/>
                <w:sz w:val="24"/>
                <w:shd w:fill="FFFFFF" w:val="clear"/>
              </w:rPr>
              <w:t>ALMS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&amp; Strategy Ofcr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4"/>
        <w:gridCol w:w="907"/>
        <w:gridCol w:w="777"/>
        <w:gridCol w:w="602"/>
        <w:gridCol w:w="344"/>
        <w:gridCol w:w="873"/>
        <w:gridCol w:w="439"/>
        <w:gridCol w:w="794"/>
        <w:gridCol w:w="1172"/>
        <w:gridCol w:w="981"/>
        <w:gridCol w:w="11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08/03/2026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2,692</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26.37</w:t>
            </w:r>
            <w:r>
              <w:rPr>
                <w:rFonts w:ascii="Times;serif" w:hAnsi="Times;serif"/>
                <w:color w:val="008000"/>
                <w:position w:val="7"/>
                <w:sz w:val="16"/>
                <w:sz w:val="20"/>
                <w:shd w:fill="FFFFFF" w:val="clear"/>
              </w:rPr>
              <w:t>(2)</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207,746</w:t>
            </w:r>
            <w:r>
              <w:rPr>
                <w:rFonts w:ascii="Times;serif" w:hAnsi="Times;serif"/>
                <w:color w:val="008000"/>
                <w:position w:val="7"/>
                <w:sz w:val="16"/>
                <w:sz w:val="20"/>
                <w:shd w:fill="FFFFFF" w:val="clear"/>
              </w:rPr>
              <w:t>(3)</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6,417</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Daughter</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was effected pursuant to the Issuer's policy requiring sell-to-cover to satisfy tax obligations of the Reporting Person incurred with the vesting and settlement of restricted stock units granted on July 29, 2025, and does not represent a discretionary sale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sale price. These shares were sold in multiple transactions at prices ranging from $25.62 to $26.42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1,037 shares acquired on November 20, 2025 and 3,000 shares acquired on May 20, 2026 under the Issuer's 2024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are held directly by the daughter of Reporting Person residing in his primary residence.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Sanam Pangali,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6218" TargetMode="External"/><Relationship Id="rId5" Type="http://schemas.openxmlformats.org/officeDocument/2006/relationships/hyperlink" Target="http://www.sec.gov/cgi-bin/browse-edgar?action=getcompany&amp;CIK=000184736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742</Words>
  <Characters>3980</Characters>
  <CharactersWithSpaces>4647</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