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3007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3007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right="340"/>
        <w:spacing w:after="0" w:line="250" w:lineRule="auto"/>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AyurMaya Capital Management</w:t>
        </w:r>
      </w:hyperlink>
      <w:r>
        <w:rPr>
          <w:rFonts w:ascii="Times New Roman" w:cs="Times New Roman" w:eastAsia="Times New Roman" w:hAnsi="Times New Roman"/>
          <w:sz w:val="21"/>
          <w:szCs w:val="21"/>
          <w:u w:val="single" w:color="auto"/>
          <w:color w:val="0000EE"/>
        </w:rPr>
        <w:t xml:space="preserve"> </w:t>
      </w:r>
      <w:hyperlink r:id="rId13">
        <w:r>
          <w:rPr>
            <w:rFonts w:ascii="Times New Roman" w:cs="Times New Roman" w:eastAsia="Times New Roman" w:hAnsi="Times New Roman"/>
            <w:sz w:val="21"/>
            <w:szCs w:val="21"/>
            <w:u w:val="single" w:color="auto"/>
            <w:color w:val="0000EE"/>
          </w:rPr>
          <w:t>Company, LP</w:t>
        </w:r>
      </w:hyperlink>
    </w:p>
    <w:p>
      <w:pPr>
        <w:spacing w:after="0" w:line="287"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 PLEASANT STREET, SUITE 400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0"/>
          <w:szCs w:val="20"/>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ALUMIS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ALMS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05/21/2025</w:t>
      </w:r>
    </w:p>
    <w:p>
      <w:pPr>
        <w:spacing w:after="0" w:line="20" w:lineRule="exact"/>
        <w:rPr>
          <w:sz w:val="20"/>
          <w:szCs w:val="20"/>
          <w:color w:val="auto"/>
        </w:rPr>
      </w:pPr>
      <w:r>
        <w:rPr>
          <w:sz w:val="20"/>
          <w:szCs w:val="20"/>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85" w:lineRule="exact"/>
        <w:rPr>
          <w:sz w:val="20"/>
          <w:szCs w:val="20"/>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187"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PORTSMOUTH NH</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03801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5"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 w:type="dxa"/>
            <w:vAlign w:val="bottom"/>
          </w:tcPr>
          <w:p>
            <w:pPr>
              <w:spacing w:after="0"/>
              <w:rPr>
                <w:sz w:val="13"/>
                <w:szCs w:val="13"/>
                <w:color w:val="auto"/>
              </w:rPr>
            </w:pP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6"/>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3"/>
                <w:szCs w:val="13"/>
                <w:color w:val="auto"/>
              </w:rPr>
            </w:pPr>
          </w:p>
        </w:tc>
        <w:tc>
          <w:tcPr>
            <w:tcW w:w="20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6"/>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6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40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6"/>
          </w:tcPr>
          <w:p>
            <w:pPr>
              <w:ind w:left="2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98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3"/>
                <w:szCs w:val="13"/>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400" w:type="dxa"/>
            <w:vAlign w:val="bottom"/>
          </w:tcPr>
          <w:p>
            <w:pPr>
              <w:spacing w:after="0"/>
              <w:rPr>
                <w:sz w:val="13"/>
                <w:szCs w:val="13"/>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Borders>
              <w:top w:val="single" w:sz="8" w:color="2C2C2C"/>
            </w:tcBorders>
          </w:tcPr>
          <w:p>
            <w:pPr>
              <w:spacing w:after="0"/>
              <w:rPr>
                <w:sz w:val="7"/>
                <w:szCs w:val="7"/>
                <w:color w:val="auto"/>
              </w:rPr>
            </w:pPr>
          </w:p>
        </w:tc>
        <w:tc>
          <w:tcPr>
            <w:tcW w:w="540" w:type="dxa"/>
            <w:vAlign w:val="bottom"/>
            <w:tcBorders>
              <w:top w:val="single" w:sz="8" w:color="2C2C2C"/>
            </w:tcBorders>
          </w:tcPr>
          <w:p>
            <w:pPr>
              <w:spacing w:after="0"/>
              <w:rPr>
                <w:sz w:val="7"/>
                <w:szCs w:val="7"/>
                <w:color w:val="auto"/>
              </w:rPr>
            </w:pPr>
          </w:p>
        </w:tc>
        <w:tc>
          <w:tcPr>
            <w:tcW w:w="98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vMerge w:val="restart"/>
          </w:tcPr>
          <w:p>
            <w:pPr>
              <w:ind w:left="40"/>
              <w:spacing w:after="0"/>
              <w:rPr>
                <w:sz w:val="20"/>
                <w:szCs w:val="20"/>
                <w:color w:val="auto"/>
              </w:rPr>
            </w:pPr>
            <w:r>
              <w:rPr>
                <w:rFonts w:ascii="Arial" w:cs="Arial" w:eastAsia="Arial" w:hAnsi="Arial"/>
                <w:sz w:val="12"/>
                <w:szCs w:val="12"/>
                <w:b w:val="1"/>
                <w:bCs w:val="1"/>
                <w:color w:val="auto"/>
              </w:rPr>
              <w:t>(A) or</w:t>
            </w:r>
          </w:p>
        </w:tc>
        <w:tc>
          <w:tcPr>
            <w:tcW w:w="58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vMerge w:val="continue"/>
          </w:tcPr>
          <w:p>
            <w:pPr>
              <w:spacing w:after="0"/>
              <w:rPr>
                <w:sz w:val="13"/>
                <w:szCs w:val="13"/>
                <w:color w:val="auto"/>
              </w:rPr>
            </w:pPr>
          </w:p>
        </w:tc>
        <w:tc>
          <w:tcPr>
            <w:tcW w:w="660" w:type="dxa"/>
            <w:vAlign w:val="bottom"/>
            <w:gridSpan w:val="3"/>
          </w:tcPr>
          <w:p>
            <w:pPr>
              <w:jc w:val="right"/>
              <w:ind w:right="28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9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98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ind w:left="40"/>
              <w:spacing w:after="0"/>
              <w:rPr>
                <w:sz w:val="20"/>
                <w:szCs w:val="20"/>
                <w:color w:val="auto"/>
              </w:rPr>
            </w:pPr>
            <w:r>
              <w:rPr>
                <w:rFonts w:ascii="Arial" w:cs="Arial" w:eastAsia="Arial" w:hAnsi="Arial"/>
                <w:sz w:val="12"/>
                <w:szCs w:val="12"/>
                <w:b w:val="1"/>
                <w:bCs w:val="1"/>
                <w:color w:val="auto"/>
              </w:rPr>
              <w:t>(D)</w:t>
            </w:r>
          </w:p>
        </w:tc>
        <w:tc>
          <w:tcPr>
            <w:tcW w:w="58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rPr>
              <w:t>(Instr. 3 and 4)</w:t>
            </w:r>
          </w:p>
        </w:tc>
        <w:tc>
          <w:tcPr>
            <w:tcW w:w="52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82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$0.0001 per</w:t>
            </w:r>
          </w:p>
        </w:tc>
        <w:tc>
          <w:tcPr>
            <w:tcW w:w="9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rPr>
              <w:t>05/21/2025</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4,493,741</w:t>
            </w:r>
            <w:r>
              <w:rPr>
                <w:rFonts w:ascii="Times New Roman" w:cs="Times New Roman" w:eastAsia="Times New Roman" w:hAnsi="Times New Roman"/>
                <w:sz w:val="22"/>
                <w:szCs w:val="22"/>
                <w:color w:val="008000"/>
                <w:vertAlign w:val="superscript"/>
              </w:rPr>
              <w:t>(2)</w:t>
            </w:r>
          </w:p>
        </w:tc>
        <w:tc>
          <w:tcPr>
            <w:tcW w:w="4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vMerge w:val="restart"/>
          </w:tcPr>
          <w:p>
            <w:pPr>
              <w:jc w:val="right"/>
              <w:ind w:right="141"/>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15,139,707</w:t>
            </w:r>
          </w:p>
        </w:tc>
        <w:tc>
          <w:tcPr>
            <w:tcW w:w="5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400" w:type="dxa"/>
            <w:vAlign w:val="bottom"/>
          </w:tcPr>
          <w:p>
            <w:pPr>
              <w:spacing w:after="0"/>
              <w:rPr>
                <w:sz w:val="21"/>
                <w:szCs w:val="21"/>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8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share ("Common Stock")</w:t>
            </w:r>
          </w:p>
        </w:tc>
        <w:tc>
          <w:tcPr>
            <w:tcW w:w="1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(3)(4)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2680" w:type="dxa"/>
            <w:vAlign w:val="bottom"/>
            <w:tcBorders>
              <w:bottom w:val="single" w:sz="8" w:color="2C2C2C"/>
            </w:tcBorders>
            <w:gridSpan w:val="5"/>
            <w:vMerge w:val="continue"/>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20" w:type="dxa"/>
            <w:vAlign w:val="bottom"/>
            <w:gridSpan w:val="20"/>
          </w:tcPr>
          <w:p>
            <w:pPr>
              <w:ind w:left="7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00" w:type="dxa"/>
            <w:vAlign w:val="bottom"/>
            <w:gridSpan w:val="16"/>
          </w:tcPr>
          <w:p>
            <w:pPr>
              <w:ind w:left="3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3A. Deemed</w:t>
            </w:r>
          </w:p>
        </w:tc>
        <w:tc>
          <w:tcPr>
            <w:tcW w:w="2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2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2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2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52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980" w:type="dxa"/>
            <w:vAlign w:val="bottom"/>
          </w:tcPr>
          <w:p>
            <w:pPr>
              <w:ind w:left="3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5"/>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3"/>
          </w:tcPr>
          <w:p>
            <w:pPr>
              <w:ind w:left="6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3"/>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8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 w:type="dxa"/>
            <w:vAlign w:val="bottom"/>
            <w:tcBorders>
              <w:top w:val="single" w:sz="8" w:color="2C2C2C"/>
            </w:tcBorders>
          </w:tcPr>
          <w:p>
            <w:pPr>
              <w:spacing w:after="0"/>
              <w:rPr>
                <w:sz w:val="20"/>
                <w:szCs w:val="20"/>
                <w:color w:val="auto"/>
              </w:rPr>
            </w:pPr>
          </w:p>
        </w:tc>
        <w:tc>
          <w:tcPr>
            <w:tcW w:w="94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260" w:type="dxa"/>
            <w:vAlign w:val="bottom"/>
            <w:tcBorders>
              <w:top w:val="single" w:sz="8" w:color="2C2C2C"/>
            </w:tcBorders>
          </w:tcPr>
          <w:p>
            <w:pPr>
              <w:spacing w:after="0"/>
              <w:rPr>
                <w:sz w:val="20"/>
                <w:szCs w:val="20"/>
                <w:color w:val="auto"/>
              </w:rPr>
            </w:pPr>
          </w:p>
        </w:tc>
        <w:tc>
          <w:tcPr>
            <w:tcW w:w="2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80" w:type="dxa"/>
            <w:vAlign w:val="bottom"/>
            <w:gridSpan w:val="12"/>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AyurMaya Capital Management Company, LP</w:t>
              </w:r>
            </w:hyperlink>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106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40" w:type="dxa"/>
            <w:vAlign w:val="bottom"/>
          </w:tcPr>
          <w:p>
            <w:pPr>
              <w:spacing w:after="0"/>
              <w:rPr>
                <w:sz w:val="24"/>
                <w:szCs w:val="24"/>
                <w:color w:val="auto"/>
              </w:rPr>
            </w:pPr>
          </w:p>
        </w:tc>
        <w:tc>
          <w:tcPr>
            <w:tcW w:w="980" w:type="dxa"/>
            <w:vAlign w:val="bottom"/>
            <w:gridSpan w:val="2"/>
          </w:tcPr>
          <w:p>
            <w:pPr>
              <w:ind w:left="80"/>
              <w:spacing w:after="0"/>
              <w:rPr>
                <w:sz w:val="20"/>
                <w:szCs w:val="20"/>
                <w:color w:val="auto"/>
              </w:rPr>
            </w:pPr>
            <w:r>
              <w:rPr>
                <w:rFonts w:ascii="Arial" w:cs="Arial" w:eastAsia="Arial" w:hAnsi="Arial"/>
                <w:sz w:val="13"/>
                <w:szCs w:val="13"/>
                <w:color w:val="auto"/>
              </w:rPr>
              <w:t>(Middle)</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3 PLEASANT STREET, SUITE 400</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PORTSMOUTH</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NH</w:t>
            </w:r>
          </w:p>
        </w:tc>
        <w:tc>
          <w:tcPr>
            <w:tcW w:w="140" w:type="dxa"/>
            <w:vAlign w:val="bottom"/>
          </w:tcPr>
          <w:p>
            <w:pPr>
              <w:spacing w:after="0"/>
              <w:rPr>
                <w:sz w:val="20"/>
                <w:szCs w:val="20"/>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03801</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gridSpan w:val="2"/>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40" w:type="dxa"/>
            <w:vAlign w:val="bottom"/>
          </w:tcPr>
          <w:p>
            <w:pPr>
              <w:spacing w:after="0"/>
              <w:rPr>
                <w:sz w:val="24"/>
                <w:szCs w:val="24"/>
                <w:color w:val="auto"/>
              </w:rPr>
            </w:pPr>
          </w:p>
        </w:tc>
        <w:tc>
          <w:tcPr>
            <w:tcW w:w="98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3"/>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9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gridSpan w:val="4"/>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GOEL DAVID E.</w:t>
              </w:r>
            </w:hyperlink>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40" w:type="dxa"/>
            <w:vAlign w:val="bottom"/>
          </w:tcPr>
          <w:p>
            <w:pPr>
              <w:spacing w:after="0"/>
              <w:rPr>
                <w:sz w:val="24"/>
                <w:szCs w:val="24"/>
                <w:color w:val="auto"/>
              </w:rPr>
            </w:pPr>
          </w:p>
        </w:tc>
        <w:tc>
          <w:tcPr>
            <w:tcW w:w="980" w:type="dxa"/>
            <w:vAlign w:val="bottom"/>
            <w:gridSpan w:val="2"/>
          </w:tcPr>
          <w:p>
            <w:pPr>
              <w:ind w:left="80"/>
              <w:spacing w:after="0"/>
              <w:rPr>
                <w:sz w:val="20"/>
                <w:szCs w:val="20"/>
                <w:color w:val="auto"/>
              </w:rPr>
            </w:pPr>
            <w:r>
              <w:rPr>
                <w:rFonts w:ascii="Arial" w:cs="Arial" w:eastAsia="Arial" w:hAnsi="Arial"/>
                <w:sz w:val="13"/>
                <w:szCs w:val="13"/>
                <w:color w:val="auto"/>
              </w:rPr>
              <w:t>(Middle)</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3 PLEASANT STREET, SUITE 400</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PORTSMOUTH</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NH</w:t>
            </w:r>
          </w:p>
        </w:tc>
        <w:tc>
          <w:tcPr>
            <w:tcW w:w="140" w:type="dxa"/>
            <w:vAlign w:val="bottom"/>
          </w:tcPr>
          <w:p>
            <w:pPr>
              <w:spacing w:after="0"/>
              <w:rPr>
                <w:sz w:val="20"/>
                <w:szCs w:val="20"/>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03801</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gridSpan w:val="2"/>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40" w:type="dxa"/>
            <w:vAlign w:val="bottom"/>
          </w:tcPr>
          <w:p>
            <w:pPr>
              <w:spacing w:after="0"/>
              <w:rPr>
                <w:sz w:val="24"/>
                <w:szCs w:val="24"/>
                <w:color w:val="auto"/>
              </w:rPr>
            </w:pPr>
          </w:p>
        </w:tc>
        <w:tc>
          <w:tcPr>
            <w:tcW w:w="98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-5048250</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Pursuant to the Agreement and Plan of Merger, as amended on April 20, 2025, by and among ACELYRIN, Inc., a Delaware corporation ("ACELYRIN") and Alumis Inc., a Delaware corporation (the</w:t>
      </w:r>
    </w:p>
    <w:p>
      <w:pPr>
        <w:sectPr>
          <w:pgSz w:w="11900" w:h="16838" w:orient="portrait"/>
          <w:cols w:equalWidth="0" w:num="1">
            <w:col w:w="11080"/>
          </w:cols>
          <w:pgMar w:left="460" w:top="219" w:right="359" w:bottom="0" w:gutter="0" w:footer="0" w:header="0"/>
          <w:type w:val="continuous"/>
        </w:sectPr>
      </w:pPr>
    </w:p>
    <w:bookmarkStart w:id="1" w:name="page2"/>
    <w:bookmarkEnd w:id="1"/>
    <w:p>
      <w:pPr>
        <w:ind w:right="260"/>
        <w:spacing w:after="0" w:line="272" w:lineRule="auto"/>
        <w:rPr>
          <w:sz w:val="20"/>
          <w:szCs w:val="20"/>
          <w:color w:val="auto"/>
        </w:rPr>
      </w:pPr>
      <w:r>
        <w:rPr>
          <w:rFonts w:ascii="Times New Roman" w:cs="Times New Roman" w:eastAsia="Times New Roman" w:hAnsi="Times New Roman"/>
          <w:sz w:val="13"/>
          <w:szCs w:val="13"/>
          <w:color w:val="008000"/>
        </w:rPr>
        <w:t>"Issuer") and the other parties thereto (the "Merger Agreement"), the shares of Common Stock were issued to the AyurMaya Fund (as defined below) in exchange for 9,334,735 shares of ACELYRIN common stock on the effective date of the merger contemplated by the Merger Agreement.</w:t>
      </w:r>
    </w:p>
    <w:p>
      <w:pPr>
        <w:spacing w:after="0" w:line="8" w:lineRule="exact"/>
        <w:rPr>
          <w:sz w:val="20"/>
          <w:szCs w:val="20"/>
          <w:color w:val="auto"/>
        </w:rPr>
      </w:pPr>
    </w:p>
    <w:p>
      <w:pPr>
        <w:ind w:right="10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estimated number of shares of Common Stock to be issued to the AyurMaya Fund (as defined below) pursuant to the Merger Agreement. The Reporting Persons will file an amendment to this Form 4 to the extent the actual number of shares of Common Stock issued differs in any material respect from the number reported in column (4).</w:t>
      </w:r>
    </w:p>
    <w:p>
      <w:pPr>
        <w:spacing w:after="0" w:line="7"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herein are held by AyurMaya Capital Management Fund, LP (the "AyurMaya Fund"). AyurMaya Capital Management Company, LP (the "Investment Manager"), a Delaware limited partnership, is the investment advisor to the AyurMaya Fund. Mr. David E. Goel ("Mr. Goel", and together with the Investment Manager, the "Reporting Persons"), serves as the managing member of AyurMaya Capital Management Company GP, LLC, the general partner of the Investment Manager.</w:t>
      </w:r>
    </w:p>
    <w:p>
      <w:pPr>
        <w:spacing w:after="0" w:line="20" w:lineRule="exact"/>
        <w:rPr>
          <w:rFonts w:ascii="Times New Roman" w:cs="Times New Roman" w:eastAsia="Times New Roman" w:hAnsi="Times New Roman"/>
          <w:sz w:val="13"/>
          <w:szCs w:val="13"/>
          <w:color w:val="008000"/>
        </w:rPr>
      </w:pPr>
    </w:p>
    <w:p>
      <w:pPr>
        <w:ind w:firstLine="7"/>
        <w:spacing w:after="0" w:line="258"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filing of this statement shall not be deemed an admission that either of the Reporting Persons is the beneficial owner of the securities reported herein for purposes of Section 16 of the Securities Act of 1934, as amended, or otherwise. Each of the Reporting Persons expressly disclaims beneficial ownership of the securities reported herein except to the extent of its or his pecuniary interest therein, if any.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right="400"/>
        <w:spacing w:after="0" w:line="272" w:lineRule="auto"/>
        <w:rPr>
          <w:sz w:val="20"/>
          <w:szCs w:val="20"/>
          <w:color w:val="auto"/>
        </w:rPr>
      </w:pPr>
      <w:r>
        <w:rPr>
          <w:rFonts w:ascii="Times New Roman" w:cs="Times New Roman" w:eastAsia="Times New Roman" w:hAnsi="Times New Roman"/>
          <w:sz w:val="13"/>
          <w:szCs w:val="13"/>
          <w:color w:val="008000"/>
        </w:rPr>
        <w:t>The Investment Manager may be deemed to be a director by deputization for purposes of Section 16 under the Securities Exchange Act of 1934 by virtue of the fact that Mr. Alan Colowick, Senior Managing Director of Matrix Capital Management Company LP, an affiliate of the Investment Manager, currently serves on the board of directors of the Issuer.</w:t>
      </w:r>
    </w:p>
    <w:p>
      <w:pPr>
        <w:spacing w:after="0" w:line="3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AyurMaya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8115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8115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Management Company,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11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2211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By AyurMaya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71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967105" cy="8255"/>
                    </a:xfrm>
                    <a:prstGeom prst="rect">
                      <a:avLst/>
                    </a:prstGeom>
                    <a:noFill/>
                  </pic:spPr>
                </pic:pic>
              </a:graphicData>
            </a:graphic>
          </wp:anchor>
        </w:drawing>
      </w:r>
    </w:p>
    <w:p>
      <w:pPr>
        <w:ind w:left="6540"/>
        <w:spacing w:after="0"/>
        <w:tabs>
          <w:tab w:leader="none" w:pos="8720" w:val="left"/>
        </w:tabs>
        <w:rPr>
          <w:sz w:val="20"/>
          <w:szCs w:val="20"/>
          <w:color w:val="auto"/>
        </w:rPr>
      </w:pPr>
      <w:r>
        <w:rPr>
          <w:rFonts w:ascii="Times New Roman" w:cs="Times New Roman" w:eastAsia="Times New Roman" w:hAnsi="Times New Roman"/>
          <w:sz w:val="17"/>
          <w:szCs w:val="17"/>
          <w:color w:val="0000FF"/>
        </w:rPr>
        <w:t>Management Company GP,</w:t>
      </w:r>
      <w:r>
        <w:rPr>
          <w:sz w:val="20"/>
          <w:szCs w:val="20"/>
          <w:color w:val="auto"/>
        </w:rPr>
        <w:tab/>
      </w:r>
      <w:r>
        <w:rPr>
          <w:rFonts w:ascii="Times New Roman" w:cs="Times New Roman" w:eastAsia="Times New Roman" w:hAnsi="Times New Roman"/>
          <w:sz w:val="17"/>
          <w:szCs w:val="17"/>
          <w:color w:val="0000FF"/>
        </w:rPr>
        <w:t>05/23/2025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30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David E. Goel,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649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2649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David E. Goel</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05/23/2025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27"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13" Type="http://schemas.openxmlformats.org/officeDocument/2006/relationships/hyperlink" Target="http://www.sec.gov/cgi-bin/browse-edgar?action=getcompany&amp;CIK=0001975990" TargetMode="External"/><Relationship Id="rId14" Type="http://schemas.openxmlformats.org/officeDocument/2006/relationships/hyperlink" Target="http://www.sec.gov/cgi-bin/browse-edgar?action=getcompany&amp;CIK=0001847367" TargetMode="External"/><Relationship Id="rId16" Type="http://schemas.openxmlformats.org/officeDocument/2006/relationships/hyperlink" Target="http://www.sec.gov/cgi-bin/browse-edgar?action=getcompany&amp;CIK=00015481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2025-05-23T15:27:46Z</dcterms:created>
  <dcterms:modified xsi:type="dcterms:W3CDTF">2025-05-23T15:27:46Z</dcterms:modified>
</cp:coreProperties>
</file>