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Alumis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Amelia Stoj</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900 Larkspur Landing Circle, Suite 150,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Larkspur, CA, 94939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(203) 687-6536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Capital Fund VI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4,247,670.00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4,247,670.00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4,247,670.00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Note to Row 7: 4,247,670 shares, except that Foresite Capital Management VI, LLC ("FCM VI"), the general partner of Foresite Capital Fund VI LP ("Fund VI"), may be deemed to have sole power to vote these shares, and James B. Tananbaum ("Tananbaum"), the managing member of FCM VI, may be deemed to have sole power to vote these</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Reporting</w:t>
      </w:r>
      <w:r>
        <w:rPr>
          <w:rFonts w:ascii="Times New Roman" w:cs="Times New Roman" w:eastAsia="Times New Roman" w:hAnsi="Times New Roman"/>
          <w:sz w:val="14"/>
          <w:szCs w:val="14"/>
          <w:color w:val="auto"/>
        </w:rPr>
        <w:t xml:space="preserve"> shares. Note to Row 8: See response to row 7. Note to Row 9: 4,247,670 shares, except that FCM VI, the general</w:t>
      </w:r>
    </w:p>
    <w:p>
      <w:pPr>
        <w:spacing w:after="0" w:line="1" w:lineRule="exact"/>
        <w:rPr>
          <w:sz w:val="20"/>
          <w:szCs w:val="20"/>
          <w:color w:val="auto"/>
        </w:rPr>
      </w:pPr>
    </w:p>
    <w:p>
      <w:pPr>
        <w:jc w:val="both"/>
        <w:ind w:left="920" w:hanging="919"/>
        <w:spacing w:after="0" w:line="206"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partner of Fund VI, may be deemed to have sole power to dispose of these shares, and Tananbaum, the managing member of FCM VI, may be deemed to have sole power to dispose of these shares. Note to Row 10: See response to row 9. Note to Row 13: This percentage is calculated based upon 123,139,425 shares of common stock of Alumis, Inc. (the "Issuer") outstanding as of March 12, 2026, as set forth in the Issuer's Form 10-K filed with the Securities and Exchange Commission ("SEC") on March 19,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Capital Management VI,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4,247,670.00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4,247,670.00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4,247,670.00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4,247,670 shares, all of which are directly owned by Fund VI. FCM VI, the general partner of Fund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VI, may be deemed to have sole power to vote these shares, and Tananbaum, the managing member of FCM VI, may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 deemed to have sole power to vote these shares. Note to Row 8: See response to row 7. Note to Row 9: 4,247,670</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all of which are directly owned by Fund VI. FCM VI, the general partner of Fund VI, may be deemed to have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sole power to dispose of these shares, and Tananbaum, the managing member of FCM VI, may be deemed to have sole</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Capital Fund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355" w:right="339" w:bottom="62"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62" w:gutter="0" w:footer="0" w:header="0"/>
          <w:type w:val="continuous"/>
        </w:sectPr>
      </w:pPr>
    </w:p>
    <w:bookmarkStart w:id="3" w:name="page4"/>
    <w:bookmarkEnd w:id="3"/>
    <w:p>
      <w:pPr>
        <w:spacing w:after="0" w:line="86"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5,702,536.00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5,702,536.00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5,702,536.00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5,702,536 shares, except that Foresite Capital Management V, LLC ("FCM V"), the general partner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Foresite Capital Fund V, L.P. ("Fund V"), may be deemed to have sole power to vote these shares, and Tananbaum,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managing member of FCM V, may be deemed to have sole power to vote these shares. Note to Row 8: See response to</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row 7. Note to Row 9: 5,702,536 shares, except that FCM V, the general partner of Fund V, may be deemed to have</w:t>
      </w:r>
    </w:p>
    <w:p>
      <w:pPr>
        <w:jc w:val="both"/>
        <w:ind w:left="920" w:hanging="919"/>
        <w:spacing w:after="0" w:line="201"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sole power to dispose of these shares, and Tananbaum, the managing member of FCM V, may be deemed to have sole 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Labs Co-Invest 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ind w:left="40"/>
        <w:spacing w:after="0" w:line="231" w:lineRule="auto"/>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2"/>
          <w:szCs w:val="22"/>
          <w:color w:val="auto"/>
        </w:rPr>
        <w:t>Beneficially</w:t>
      </w:r>
    </w:p>
    <w:p>
      <w:pPr>
        <w:sectPr>
          <w:pgSz w:w="11900" w:h="16925" w:orient="portrait"/>
          <w:cols w:equalWidth="0" w:num="1">
            <w:col w:w="11240"/>
          </w:cols>
          <w:pgMar w:left="320" w:top="112"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194,459.00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0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14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02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line="246"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7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194,459.00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194,459.00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194,459 shares, except that FCM V, the managing member of Labs Co-Invest V, LLC ("Labs Co-</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Invest"), may be deemed to have sole power to vote these shares, and Tananbaum, the managing member of FCM V,</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may be deemed to have sole power to vote these shares. Note to Row 8: See response to row 7. Note to Row 9:</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194,459 shares, except that FCM V, the managing member of Labs Co-Invest, may be deemed to have sole power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dispose of these shares, and Tananbaum, the managing member of FCM V, may be deemed to have sole power to</w:t>
      </w:r>
    </w:p>
    <w:p>
      <w:pPr>
        <w:spacing w:after="0" w:line="2" w:lineRule="exact"/>
        <w:rPr>
          <w:sz w:val="20"/>
          <w:szCs w:val="20"/>
          <w:color w:val="auto"/>
        </w:rPr>
      </w:pPr>
    </w:p>
    <w:p>
      <w:pPr>
        <w:jc w:val="both"/>
        <w:ind w:left="920" w:right="20"/>
        <w:spacing w:after="0" w:line="235" w:lineRule="auto"/>
        <w:rPr>
          <w:sz w:val="20"/>
          <w:szCs w:val="20"/>
          <w:color w:val="auto"/>
        </w:rPr>
      </w:pPr>
      <w:r>
        <w:rPr>
          <w:rFonts w:ascii="Times New Roman" w:cs="Times New Roman" w:eastAsia="Times New Roman" w:hAnsi="Times New Roman"/>
          <w:sz w:val="22"/>
          <w:szCs w:val="22"/>
          <w:color w:val="auto"/>
        </w:rPr>
        <w:t>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Capital Management 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5,896,995.00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5" w:name="page6"/>
    <w:bookmarkEnd w:id="5"/>
    <w:p>
      <w:pPr>
        <w:ind w:left="1480"/>
        <w:spacing w:after="0"/>
        <w:rPr>
          <w:sz w:val="20"/>
          <w:szCs w:val="20"/>
          <w:color w:val="auto"/>
        </w:rPr>
      </w:pPr>
      <w:r>
        <w:rPr>
          <w:rFonts w:ascii="Times New Roman" w:cs="Times New Roman" w:eastAsia="Times New Roman" w:hAnsi="Times New Roman"/>
          <w:sz w:val="22"/>
          <w:szCs w:val="22"/>
          <w:color w:val="auto"/>
        </w:rPr>
        <w:t>5,896,995.00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5,896,995.00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5,896,995 shares, of which 5,702,536 shares are directly owned by Fund V and 194,459 shares are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directly owned by Labs Co-Invest. FCM V, the general partner of Fund V and the managing member of Labs Co-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Invest, may be deemed to have sole power to vote these shares, and Tananbaum, the managing member of FCM V,</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may be deemed to have sole power to vote these shares. Note to Row 8: See response to row 7. Note to Row 9:</w:t>
      </w:r>
    </w:p>
    <w:p>
      <w:pPr>
        <w:jc w:val="both"/>
        <w:ind w:left="920" w:hanging="919"/>
        <w:spacing w:after="0" w:line="209"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5,896,995 shares, of which 5,702,536 shares are directly owned by Fund V and 194,459 shares are directly owned by Labs Co-Invest. FCM V, the general partner of Fund V and the managing member of Labs Co-Invest, may be deemed to have sole power to dispose of these shares, and Tananbaum, the managing member of FCM V, may be deemed to have sole 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Capital Opportunity Fund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2,908,332.00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2,908,332.00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sectPr>
      </w:pPr>
    </w:p>
    <w:bookmarkStart w:id="6" w:name="page7"/>
    <w:bookmarkEnd w:id="6"/>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2,908,332.00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2,908,332 shares, except that Foresite Capital Opportunity Management V, LLC ("FCOM V"),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general partner of Foresite Capital Opportunity Fund V, L.P. ("Opportunity Fund V"), may be deemed to have sole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power to vote these shares, and Tananbaum, the managing member of FCOM V, may be deemed to have sole power to</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vote these shares. Note to Row 8: See response to row 7. Note to Row 9: 2,908,332 shares, except that FCOM V, the</w:t>
      </w:r>
    </w:p>
    <w:p>
      <w:pPr>
        <w:jc w:val="both"/>
        <w:ind w:left="920" w:hanging="919"/>
        <w:spacing w:after="0" w:line="206"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general partner of Opportunity Fund V, may be deemed to have sole power to dispose of these shares, and Tananbaum, the managing member of FCOM V, may be deemed to have sole 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Capital Opportunity Management 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2,908,332.00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2,908,332.00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2,908,332.00</w:t>
      </w:r>
    </w:p>
    <w:p>
      <w:pPr>
        <w:sectPr>
          <w:pgSz w:w="11900" w:h="16838" w:orient="portrait"/>
          <w:cols w:equalWidth="0" w:num="2">
            <w:col w:w="1100" w:space="60"/>
            <w:col w:w="10080"/>
          </w:cols>
          <w:pgMar w:left="320" w:top="111" w:right="339" w:bottom="0" w:gutter="0" w:footer="0" w:header="0"/>
          <w:type w:val="continuous"/>
        </w:sectPr>
      </w:pPr>
    </w:p>
    <w:bookmarkStart w:id="7" w:name="page8"/>
    <w:bookmarkEnd w:id="7"/>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2,908,332 shares, all of which are directly owned by Opportunity Fund V. FCOM V, the general</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partner of Opportunity Fund V, may be deemed to have sole power to vote these shares, and Tananbaum, the managing</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member of FCOM V, may be deemed to have sole power to vote these shares. Note to Row 8: See response to row 7.</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Note to Row 9: 2,908,332 shares, all of which are directly owned by Opportunity Fund V. FCOM V, the general</w:t>
      </w:r>
    </w:p>
    <w:p>
      <w:pPr>
        <w:jc w:val="both"/>
        <w:ind w:left="920" w:hanging="919"/>
        <w:spacing w:after="0" w:line="206"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partner of Opportunity Fund V, may be deemed to have sole power to dispose of these shares, and Tananbaum, the managing member of FCOM V, may be deemed to have sole 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Labs Fund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1,960,337.00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1,960,337.00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1,960,337.00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1" w:right="339" w:bottom="0"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22"/>
          <w:szCs w:val="22"/>
          <w:color w:val="auto"/>
        </w:rPr>
        <w:t>1.6 %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1,960,337 shares, except that Foresite Labs Management I, LLC ("FLM I"),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Foresite Labs Fund I, L.P. ("Labs Fund I"), may be deemed to have sole power to vote these shares, and Tananbaum,</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managing member of FLM I, may be deemed to have sole power to vote these shares. Note to Row 8: See response</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to row 7. Note to Row 9: 1,960,337 shares, except that FLM I, the general partner of Labs Fund I, may be deemed to</w:t>
      </w:r>
    </w:p>
    <w:p>
      <w:pPr>
        <w:jc w:val="both"/>
        <w:ind w:left="920" w:hanging="919"/>
        <w:spacing w:after="0" w:line="201"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have sole power to dispose of these shares, and Tananbaum, the managing member of FLM I, may be deemed to have sole 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Labs Management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5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1,960,337.00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1,960,337.00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1,960,337.00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10080"/>
          </w:cols>
          <w:pgMar w:left="320" w:top="111" w:right="339" w:bottom="5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1,960,337 shares, all of which are directly owned by Labs Fund I. FLM I, the general partner of Labs</w:t>
      </w: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2" w:lineRule="exact"/>
              <w:rPr>
                <w:sz w:val="20"/>
                <w:szCs w:val="20"/>
                <w:color w:val="auto"/>
              </w:rPr>
            </w:pPr>
            <w:r>
              <w:rPr>
                <w:rFonts w:ascii="Times New Roman" w:cs="Times New Roman" w:eastAsia="Times New Roman" w:hAnsi="Times New Roman"/>
                <w:sz w:val="22"/>
                <w:szCs w:val="22"/>
                <w:color w:val="auto"/>
                <w:w w:val="97"/>
              </w:rPr>
              <w:t>Fund I, may be deemed to have sole power to vote these shares, and Tananbaum, the managing member of FLM I, may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 deemed to have sole power to vote these shares. Note to Row 8: See response to row 7. Note to Row 9: 1,960,337</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all of which are directly owned by Labs Fund I. FLM I, the general partner of Labs Fund I, may be deemed to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have sole power to dispose of these shares, and Tananbaum, the managing member of FLM I, may be deemed to have</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sole power to dispose of these shares. Note to Row 10: See response to row 9.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Foresite Labs Affiliates 2021,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6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6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Foresite Labs,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B. Tananbaum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11" w:name="page12"/>
    <w:bookmarkEnd w:id="11"/>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15,693,820.00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15,693,820.00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15,693,820.00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15,693,820 shares, of which 4,247,670 shares are directly owned by Fund VI, 5,702,536 shares are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directly owned by Fund V, 194,459 shares are directly owned by Labs Co-Invest, 2,908,332 shares are directly owned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by Opportunity Fund V, 1,960,337 shares are directly owned by Labs Fund I, and 680,486 shares are directly owned by</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TFL Investment Holdings, LLC ("TFL"). Tananbaum is the managing member of each of FCM VI, which is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general partner of Fund VI; FCM V, which is the general partner of Fund V and the managing member of Labs Co-</w:t>
      </w:r>
    </w:p>
    <w:p>
      <w:pPr>
        <w:spacing w:after="0" w:line="2"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Invest; FCOM V, which is the general partner of Opportunity Fund V; and FLM I, which is the general partner of Labs Fund I. Tananbaum is the manager of TFL, and James B. Tananbaum and Dana Shonfeld Tananbaum Family Trust, of which Tananbaum is a trustee, is the sole member of TFL. Tananbaum may be deemed to have sole power to vote the shares directly owned by Fund VI, Fund V, Labs Co-Invest, Opportunity Fund V, Labs Fund I and TFL. Note to Row</w:t>
      </w:r>
    </w:p>
    <w:p>
      <w:pPr>
        <w:spacing w:after="0" w:line="2" w:lineRule="exact"/>
        <w:rPr>
          <w:sz w:val="20"/>
          <w:szCs w:val="20"/>
          <w:color w:val="auto"/>
        </w:rPr>
      </w:pPr>
    </w:p>
    <w:p>
      <w:pPr>
        <w:jc w:val="both"/>
        <w:ind w:left="920" w:hanging="3"/>
        <w:spacing w:after="0" w:line="231" w:lineRule="auto"/>
        <w:tabs>
          <w:tab w:leader="none" w:pos="115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15,693,820 shares, of which 4,247,670 shares are directly owned by Fund VI, 5,702,536 shares are directly owned by Fund V, 194,459 shares are directly owned by Labs Co-Invest, 2,908,332 shares are directly owned by Opportunity Fund V, 1,960,337 shares are directly owned by Labs Fund I, and 680,486 shares are directly owned by TFL. Tananbaum is the managing member of each of FCM VI, which is the general partner of Fund VI; FCM V, which is the general partner of Fund V and the managing member of Labs Co-Invest; FCOM V, which is the general partner of Opportunity Fund V; and FLM I, which is the general partner of Labs Fund I. Tananbaum is the manager of TFL, and James B. Tananbaum and Dana Shonfeld Tananbaum Family Trust, of which Tananbaum is a trustee, is the sole member of TFL. Tananbaum may be deemed to have sole power to dispose of the shares directly owned by Fund VI, Fund V, Labs Co-Invest, Opportunity Fund V, Labs Fund I and TFL. Note to Row 13: This percentage is calculated based upon 123,139,425 shares of common stock of the Issuer outstanding as of March 12, 2026, as set forth in the Issuer's Form 10-K filed with the SEC on March 19, 2026.</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Alumis Inc.</w:t>
      </w:r>
    </w:p>
    <w:p>
      <w:pPr>
        <w:sectPr>
          <w:pgSz w:w="11900" w:h="16838" w:orient="portrait"/>
          <w:cols w:equalWidth="0" w:num="1">
            <w:col w:w="11240"/>
          </w:cols>
          <w:pgMar w:left="320" w:top="112" w:right="339" w:bottom="0" w:gutter="0" w:footer="0" w:header="0"/>
        </w:sectPr>
      </w:pPr>
    </w:p>
    <w:bookmarkStart w:id="12" w:name="page13"/>
    <w:bookmarkEnd w:id="12"/>
    <w:p>
      <w:pPr>
        <w:ind w:left="920" w:hanging="912"/>
        <w:spacing w:after="0"/>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280 East Grand Avenue, South San Francisco, CALIFORNIA , 94080.</w:t>
      </w:r>
    </w:p>
    <w:p>
      <w:pPr>
        <w:spacing w:after="0" w:line="44"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amends and restates the Statement on Schedule 13D initially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July 5, 2024 ("Original Schedule 13D"), as amended and restated by Amendment No. 1 filed with the SEC on May 7,</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2025, Amendment No. 2 filed with the SEC on June 10, 2025, and Amendment No. 3 filed with the SEC on January 12, 2026. This Amendment No. 4 relates to the beneficial ownership of Common Stock of Alumis, Inc., a corporation organized under the laws of the state of Delaware ("Issuer"). This Amendment No. 4 is being filed by Foresite Capital Fund VI, L.P. ("Fund VI"), Foresite Capital Management VI, LLC ("FCM VI"), Foresite Capital Fund V, L.P. ("Fund V"), Labs Co-Invest V, LLC ("Labs Co-Invest"), Foresite Capital Management V, LLC ("FCM V"), Foresite Capital Opportunity Fund V, L.P. ("Opportunity Fund V"), Foresite Capital Opportunity Management V, LLC ("FCOM V"), Foresite Labs Fund I, L.P. ("Labs Fund I"), Foresite Labs Management I, LLC ("FLM I"), Foresite Labs Affiliates 2021, LLC ("Labs Affiliates"), Foresite Labs, LLC ("Labs") and James B. Tananbaum ("Tananbaum" and together with Fund VI, FCM VI, Fund V, Labs Co-Invest, FCM V, Opportunity Fund V, FCOM V, Labs Fund I, FLM I, Labs Affiliates and Labs, the "Reporting Persons"). This Amendment No. 4 is being filed to (i) reflect the disposition of Common Stock by Labs Affiliates and Labs and (ii) update the aggregate percentage of Common Stock owned by</w:t>
      </w:r>
    </w:p>
    <w:p>
      <w:pPr>
        <w:spacing w:after="0" w:line="24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Tananbaum as a result of the disposition of Common Stock by Labs Affiliates and Labs.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The persons and entities filing this Amendment No. 4 are Fund VI, FCM VI, Fund V, Labs Co-Invest, FCM V, Opportunity Fund V, FCOM V, Labs Fund I, FLM I, Labs Affiliates, Labs and Tananbaum. FCM VI, the general partner of Fund VI, may be deemed to have sole power to vote and sole power to dispose of shares of the Issuer directly owned by Fund VI. FCM V, the general partner of Fund V and the managing member of Labs Co-Invest, may be deemed to have sole power to vote and sole power to dispose of shares of the Issuer directly owned by Fund V and Labs Co-Invest. FCOM V, the general partner of Opportunity Fund V, may be deemed to have sole power to vote and</w:t>
      </w:r>
    </w:p>
    <w:p>
      <w:pPr>
        <w:spacing w:after="0" w:line="3" w:lineRule="exact"/>
        <w:rPr>
          <w:sz w:val="20"/>
          <w:szCs w:val="20"/>
          <w:color w:val="auto"/>
        </w:rPr>
      </w:pPr>
    </w:p>
    <w:p>
      <w:pPr>
        <w:ind w:left="920" w:right="60" w:hanging="912"/>
        <w:spacing w:after="0" w:line="207" w:lineRule="auto"/>
        <w:tabs>
          <w:tab w:leader="none" w:pos="920" w:val="left"/>
        </w:tabs>
        <w:numPr>
          <w:ilvl w:val="0"/>
          <w:numId w:val="2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sole power to dispose of shares of the Issuer directly owned by Opportunity Fund V. FLM I, the general partner of Labs Fund I, may be deemed to have sole power to vote and sole power to dispose of the shares of the Issuer directly owned by Labs Fund I. Labs, the managing member of Labs Affiliates, may be deemed to have sole power to vote and sole power to dispose of shares of the Issuer directly owned by Labs Affiliates. Tananbaum, the managing member of each of FCM VI, FCM V, FCOM V and FLM I may be deemed to have sole power to vote and sole power to dispose of shares of the Issuer directly owned by Fund VI, Fund V, Labs Co-Invest, Opportunity Fund V and Labs Fund I. Tananbaum, a manager of Labs, may be deemed to have shared power to vote and sole power to dispose of shares of the Issuer directly owned by Labs Affiliates.</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the principal place of business for each of Fund VI, FCM VI, Fund V, Labs Co-Invest, FCM V,</w:t>
      </w:r>
    </w:p>
    <w:p>
      <w:pPr>
        <w:spacing w:after="0" w:line="14" w:lineRule="exact"/>
        <w:rPr>
          <w:rFonts w:ascii="Times New Roman" w:cs="Times New Roman" w:eastAsia="Times New Roman" w:hAnsi="Times New Roman"/>
          <w:sz w:val="43"/>
          <w:szCs w:val="43"/>
          <w:color w:val="auto"/>
          <w:vertAlign w:val="subscript"/>
        </w:rPr>
      </w:pPr>
    </w:p>
    <w:p>
      <w:pPr>
        <w:jc w:val="both"/>
        <w:ind w:left="920" w:right="240" w:hanging="912"/>
        <w:spacing w:after="0" w:line="184" w:lineRule="auto"/>
        <w:tabs>
          <w:tab w:leader="none" w:pos="920" w:val="left"/>
        </w:tabs>
        <w:numPr>
          <w:ilvl w:val="0"/>
          <w:numId w:val="2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Opportunity Fund V, FCOM V, Labs Fund I, FLM I and Tananbaum is c/o Foresite Capital Management, LLC, 900 Larkspur Landing Circle, Suite 150, Larkspur, CA 94939. The address of the principal place of business for each of Labs Affiliates and Labs is c/o Foresite Labs, LLC, 101 Mission Street, 12th Floor, San Francisco, CA 94105.</w:t>
      </w:r>
    </w:p>
    <w:p>
      <w:pPr>
        <w:spacing w:after="0" w:line="18" w:lineRule="exact"/>
        <w:rPr>
          <w:rFonts w:ascii="Times New Roman" w:cs="Times New Roman" w:eastAsia="Times New Roman" w:hAnsi="Times New Roman"/>
          <w:sz w:val="42"/>
          <w:szCs w:val="42"/>
          <w:color w:val="auto"/>
          <w:vertAlign w:val="subscript"/>
        </w:rPr>
      </w:pPr>
    </w:p>
    <w:p>
      <w:pPr>
        <w:ind w:left="920" w:right="300"/>
        <w:spacing w:after="0" w:line="247"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principal occupation of each of the Reporting Persons is the venture capital investment business. The principal business of each of Fund VI, Fund V, Labs Co-Invest, Opportunity Fund V, Labs Fund I and Labs Affiliates is to make investments in private and public companies. The principal business of FCM VI is to serve as the general partner of Fund VI, the principal business of FCM V is to serve as the general partner of Fund V and the managing</w:t>
      </w:r>
    </w:p>
    <w:p>
      <w:pPr>
        <w:spacing w:after="0" w:line="1" w:lineRule="exact"/>
        <w:rPr>
          <w:rFonts w:ascii="Times New Roman" w:cs="Times New Roman" w:eastAsia="Times New Roman" w:hAnsi="Times New Roman"/>
          <w:sz w:val="42"/>
          <w:szCs w:val="42"/>
          <w:color w:val="auto"/>
          <w:vertAlign w:val="subscript"/>
        </w:rPr>
      </w:pPr>
    </w:p>
    <w:p>
      <w:pPr>
        <w:ind w:left="920" w:right="140" w:hanging="912"/>
        <w:spacing w:after="0" w:line="233" w:lineRule="auto"/>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Labs Co-Invest, the principal business of FCOM V is to serve as the general partner of Opportunity Fund V and the principal business of FLM I is to serve as the general partner of Labs Fund I. The principal business of Labs is to engage in the business of data science and incubation in the fields of life sciences and healthcare. Tananbaum is the managing member of each of FCM VI, FCM V, FCOM V and FLM I. Tananbaum is also a manager of Labs and a member of the board of directors of the Issuer.</w:t>
      </w:r>
    </w:p>
    <w:p>
      <w:pPr>
        <w:spacing w:after="0" w:line="17"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2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Each of Fund VI, Fund V, Opportunity Fund V and Labs Fund I is a Delaware limited partnership. Each of FCM VI,</w:t>
      </w:r>
    </w:p>
    <w:p>
      <w:pPr>
        <w:spacing w:after="0" w:line="25" w:lineRule="exact"/>
        <w:rPr>
          <w:rFonts w:ascii="Times New Roman" w:cs="Times New Roman" w:eastAsia="Times New Roman" w:hAnsi="Times New Roman"/>
          <w:sz w:val="42"/>
          <w:szCs w:val="42"/>
          <w:color w:val="auto"/>
          <w:vertAlign w:val="subscript"/>
        </w:rPr>
      </w:pPr>
    </w:p>
    <w:p>
      <w:pPr>
        <w:ind w:left="920" w:right="840" w:hanging="912"/>
        <w:spacing w:after="0" w:line="237" w:lineRule="auto"/>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FCM V, FCOM V, FLM I, Labs Co-Invest, Labs Affiliates and Labs is a Delaware limited liability company. Tananbaum is a U.S. citizen.</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Acquisition of Common Stock In February 2021, Labs Affiliates purchased an aggregate of 5,500,000 shares of</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from the Issuer at a purchase price of $0.0001 per share, or $550 in the aggregate. Conversion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Simple Agreements for Future Equity (SAFEs) and Direct Purchase of Series Seed Redeemable Convertible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Preferred Stock In February 2021, Fund V and Labs Co-Invest purchased an aggregate of 10,000,000 shares of Series</w:t>
      </w:r>
    </w:p>
    <w:p>
      <w:pPr>
        <w:ind w:left="920"/>
        <w:spacing w:after="0" w:line="231" w:lineRule="auto"/>
        <w:rPr>
          <w:sz w:val="20"/>
          <w:szCs w:val="20"/>
          <w:color w:val="auto"/>
        </w:rPr>
      </w:pPr>
      <w:r>
        <w:rPr>
          <w:rFonts w:ascii="Times New Roman" w:cs="Times New Roman" w:eastAsia="Times New Roman" w:hAnsi="Times New Roman"/>
          <w:sz w:val="22"/>
          <w:szCs w:val="22"/>
          <w:color w:val="auto"/>
        </w:rPr>
        <w:t>Seed Redeemable Convertible Preferred Stock from the Issuer at a purchase price of $1.00 per share, or $10 million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in the aggregate. The purchase price consisted of (i) $7,381,810.80 new cash investment by Fund V and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cancellation of $1,709,089.20 in SAFEs held by Fund V converted in connection with such financing, and (ii)</w:t>
      </w:r>
    </w:p>
    <w:p>
      <w:pPr>
        <w:ind w:left="920"/>
        <w:spacing w:after="0"/>
        <w:rPr>
          <w:sz w:val="20"/>
          <w:szCs w:val="20"/>
          <w:color w:val="auto"/>
        </w:rPr>
      </w:pPr>
      <w:r>
        <w:rPr>
          <w:rFonts w:ascii="Times New Roman" w:cs="Times New Roman" w:eastAsia="Times New Roman" w:hAnsi="Times New Roman"/>
          <w:sz w:val="21"/>
          <w:szCs w:val="21"/>
          <w:color w:val="auto"/>
        </w:rPr>
        <w:t>$738,189.20 new cash investment by Labs Co-Invest and the cancellation of $170,910.80 in SAFEs held by Labs Co-</w:t>
      </w:r>
    </w:p>
    <w:p>
      <w:pPr>
        <w:ind w:left="920"/>
        <w:spacing w:after="0" w:line="231" w:lineRule="auto"/>
        <w:rPr>
          <w:sz w:val="20"/>
          <w:szCs w:val="20"/>
          <w:color w:val="auto"/>
        </w:rPr>
      </w:pPr>
      <w:r>
        <w:rPr>
          <w:rFonts w:ascii="Times New Roman" w:cs="Times New Roman" w:eastAsia="Times New Roman" w:hAnsi="Times New Roman"/>
          <w:sz w:val="22"/>
          <w:szCs w:val="22"/>
          <w:color w:val="auto"/>
        </w:rPr>
        <w:t>Invest converted in connection with such financing. Direct Purchase of Series A Redeemable Convertible Preferred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Stock In March 2021, Fund V purchased 5,250,000 shares of Series A Redeemable Convertible Preferred Stock and</w:t>
      </w:r>
    </w:p>
    <w:p>
      <w:pPr>
        <w:sectPr>
          <w:pgSz w:w="11900" w:h="16838" w:orient="portrait"/>
          <w:cols w:equalWidth="0" w:num="1">
            <w:col w:w="11160"/>
          </w:cols>
          <w:pgMar w:left="360" w:top="112" w:right="379" w:bottom="0" w:gutter="0" w:footer="0" w:header="0"/>
        </w:sectPr>
      </w:pPr>
    </w:p>
    <w:bookmarkStart w:id="13" w:name="page14"/>
    <w:bookmarkEnd w:id="13"/>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Opportunity Fund V purchased 2,250,000 shares of Series A Redeemable Convertible Preferred Stock at a purchase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of $4.00 per share, or $30.0 million in the aggregate. Convertible Promissory Notes In March 2021, the Issuer</w:t>
      </w:r>
    </w:p>
    <w:p>
      <w:pPr>
        <w:spacing w:after="0"/>
        <w:rPr>
          <w:sz w:val="20"/>
          <w:szCs w:val="20"/>
          <w:color w:val="auto"/>
        </w:rPr>
      </w:pPr>
      <w:r>
        <w:rPr>
          <w:rFonts w:ascii="Times New Roman" w:cs="Times New Roman" w:eastAsia="Times New Roman" w:hAnsi="Times New Roman"/>
          <w:sz w:val="21"/>
          <w:szCs w:val="21"/>
          <w:color w:val="auto"/>
        </w:rPr>
        <w:t>issued convertible promissory notes to Fund V, Opportunity Fund V and Labs Fund I with a total principal amount of</w:t>
      </w:r>
    </w:p>
    <w:p>
      <w:pPr>
        <w:spacing w:after="0" w:line="231" w:lineRule="auto"/>
        <w:rPr>
          <w:sz w:val="20"/>
          <w:szCs w:val="20"/>
          <w:color w:val="auto"/>
        </w:rPr>
      </w:pPr>
      <w:r>
        <w:rPr>
          <w:rFonts w:ascii="Times New Roman" w:cs="Times New Roman" w:eastAsia="Times New Roman" w:hAnsi="Times New Roman"/>
          <w:sz w:val="22"/>
          <w:szCs w:val="22"/>
          <w:color w:val="auto"/>
        </w:rPr>
        <w:t>$30.0 million in exchange for $30.0 million in cash. In August 2021, the Issuer issued additional convertible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promissory notes to Labs Fund I with a total principal amount of $1.5 million in exchange for $1.5 million in cash. In</w:t>
      </w:r>
    </w:p>
    <w:p>
      <w:pPr>
        <w:spacing w:after="0" w:line="231" w:lineRule="auto"/>
        <w:rPr>
          <w:sz w:val="20"/>
          <w:szCs w:val="20"/>
          <w:color w:val="auto"/>
        </w:rPr>
      </w:pPr>
      <w:r>
        <w:rPr>
          <w:rFonts w:ascii="Times New Roman" w:cs="Times New Roman" w:eastAsia="Times New Roman" w:hAnsi="Times New Roman"/>
          <w:sz w:val="22"/>
          <w:szCs w:val="22"/>
          <w:color w:val="auto"/>
        </w:rPr>
        <w:t>September 2021, the Issuer amended and restated all outstanding convertible promissory notes held by Fund 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Opportunity Fund V and Labs Fund I and issued an additional convertible promissory note to Labs Fund I with a total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 of $6.0 million in exchange for $6.0 million in cash. Series B-1 Redeemable Convertible Preferred</w:t>
      </w:r>
    </w:p>
    <w:p>
      <w:pPr>
        <w:spacing w:after="0" w:line="231" w:lineRule="auto"/>
        <w:rPr>
          <w:sz w:val="20"/>
          <w:szCs w:val="20"/>
          <w:color w:val="auto"/>
        </w:rPr>
      </w:pPr>
      <w:r>
        <w:rPr>
          <w:rFonts w:ascii="Times New Roman" w:cs="Times New Roman" w:eastAsia="Times New Roman" w:hAnsi="Times New Roman"/>
          <w:sz w:val="22"/>
          <w:szCs w:val="22"/>
          <w:color w:val="auto"/>
        </w:rPr>
        <w:t>Stock Financing In December 2021, convertible notes held by Fund V, Opportunity Fund V and Labs Fund 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automatically converted into an aggregate 9,760,088 shares of Series B-1 Redeemable Convertible Preferred Stock of</w:t>
      </w:r>
    </w:p>
    <w:p>
      <w:pPr>
        <w:spacing w:after="0" w:line="231" w:lineRule="auto"/>
        <w:rPr>
          <w:sz w:val="20"/>
          <w:szCs w:val="20"/>
          <w:color w:val="auto"/>
        </w:rPr>
      </w:pPr>
      <w:r>
        <w:rPr>
          <w:rFonts w:ascii="Times New Roman" w:cs="Times New Roman" w:eastAsia="Times New Roman" w:hAnsi="Times New Roman"/>
          <w:sz w:val="22"/>
          <w:szCs w:val="22"/>
          <w:color w:val="auto"/>
        </w:rPr>
        <w:t>the Issuer at a conversion price of $4.00 per share, resulting in the cancellation of the Issuer's indebtedness of</w:t>
      </w:r>
    </w:p>
    <w:p>
      <w:pPr>
        <w:spacing w:after="0" w:line="231" w:lineRule="auto"/>
        <w:rPr>
          <w:sz w:val="20"/>
          <w:szCs w:val="20"/>
          <w:color w:val="auto"/>
        </w:rPr>
      </w:pPr>
      <w:r>
        <w:rPr>
          <w:rFonts w:ascii="Times New Roman" w:cs="Times New Roman" w:eastAsia="Times New Roman" w:hAnsi="Times New Roman"/>
          <w:sz w:val="22"/>
          <w:szCs w:val="22"/>
          <w:color w:val="auto"/>
        </w:rPr>
        <w:t>$39,040,356.18 in the aggregate. As a result, Fund V acquired 2,618,356 shares of Series B-1 Redeemable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Convertible Preferred Stock of the Issuer, Opportunity Fund V acquired 2,618,356 shares of Series B-1 Redeemable</w:t>
      </w:r>
    </w:p>
    <w:p>
      <w:pPr>
        <w:spacing w:after="0" w:line="231" w:lineRule="auto"/>
        <w:rPr>
          <w:sz w:val="20"/>
          <w:szCs w:val="20"/>
          <w:color w:val="auto"/>
        </w:rPr>
      </w:pPr>
      <w:r>
        <w:rPr>
          <w:rFonts w:ascii="Times New Roman" w:cs="Times New Roman" w:eastAsia="Times New Roman" w:hAnsi="Times New Roman"/>
          <w:sz w:val="22"/>
          <w:szCs w:val="22"/>
          <w:color w:val="auto"/>
        </w:rPr>
        <w:t>Convertible Preferred Stock of the Issuer and Labs Fund I acquired 4,523,376 shares of Series B-1 Redeemable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Convertible Preferred Stock of the Issuer. Direct Purchase of Series B-2 Redeemable Convertible Preferred Stock In</w:t>
      </w:r>
    </w:p>
    <w:p>
      <w:pPr>
        <w:spacing w:after="0" w:line="231" w:lineRule="auto"/>
        <w:rPr>
          <w:sz w:val="20"/>
          <w:szCs w:val="20"/>
          <w:color w:val="auto"/>
        </w:rPr>
      </w:pPr>
      <w:r>
        <w:rPr>
          <w:rFonts w:ascii="Times New Roman" w:cs="Times New Roman" w:eastAsia="Times New Roman" w:hAnsi="Times New Roman"/>
          <w:sz w:val="22"/>
          <w:szCs w:val="22"/>
          <w:color w:val="auto"/>
        </w:rPr>
        <w:t>May 2023, Fund V purchased an aggregate of 1,939,643 shares of Series B-2 Redeemable Convertible Preferred</w:t>
      </w:r>
    </w:p>
    <w:p>
      <w:pPr>
        <w:spacing w:after="0" w:line="231" w:lineRule="auto"/>
        <w:rPr>
          <w:sz w:val="20"/>
          <w:szCs w:val="20"/>
          <w:color w:val="auto"/>
        </w:rPr>
      </w:pPr>
      <w:r>
        <w:rPr>
          <w:rFonts w:ascii="Times New Roman" w:cs="Times New Roman" w:eastAsia="Times New Roman" w:hAnsi="Times New Roman"/>
          <w:sz w:val="22"/>
          <w:szCs w:val="22"/>
          <w:color w:val="auto"/>
        </w:rPr>
        <w:t>Stock of the Issuer, Opportunity Fund V purchased an aggregate of 969,821 shares of Series B-2 Redeemable</w:t>
      </w:r>
    </w:p>
    <w:p>
      <w:pPr>
        <w:spacing w:after="0" w:line="231" w:lineRule="auto"/>
        <w:rPr>
          <w:sz w:val="20"/>
          <w:szCs w:val="20"/>
          <w:color w:val="auto"/>
        </w:rPr>
      </w:pPr>
      <w:r>
        <w:rPr>
          <w:rFonts w:ascii="Times New Roman" w:cs="Times New Roman" w:eastAsia="Times New Roman" w:hAnsi="Times New Roman"/>
          <w:sz w:val="22"/>
          <w:szCs w:val="22"/>
          <w:color w:val="auto"/>
        </w:rPr>
        <w:t>Convertible Preferred Stock of the Issuer, Labs Fund I purchased an aggregate of 969,821 shares of Redeemable</w:t>
      </w:r>
    </w:p>
    <w:p>
      <w:pPr>
        <w:spacing w:after="0" w:line="230" w:lineRule="auto"/>
        <w:rPr>
          <w:sz w:val="20"/>
          <w:szCs w:val="20"/>
          <w:color w:val="auto"/>
        </w:rPr>
      </w:pPr>
      <w:r>
        <w:rPr>
          <w:rFonts w:ascii="Times New Roman" w:cs="Times New Roman" w:eastAsia="Times New Roman" w:hAnsi="Times New Roman"/>
          <w:sz w:val="22"/>
          <w:szCs w:val="22"/>
          <w:color w:val="auto"/>
        </w:rPr>
        <w:t>Convertible Preferred Stock of the Issuer, and Fund VI purchased an aggregate of 969,821 shares of Redeemable</w:t>
      </w:r>
    </w:p>
    <w:p>
      <w:pPr>
        <w:spacing w:after="0" w:line="231" w:lineRule="auto"/>
        <w:rPr>
          <w:sz w:val="20"/>
          <w:szCs w:val="20"/>
          <w:color w:val="auto"/>
        </w:rPr>
      </w:pPr>
      <w:r>
        <w:rPr>
          <w:rFonts w:ascii="Times New Roman" w:cs="Times New Roman" w:eastAsia="Times New Roman" w:hAnsi="Times New Roman"/>
          <w:sz w:val="22"/>
          <w:szCs w:val="22"/>
          <w:color w:val="auto"/>
        </w:rPr>
        <w:t>Convertible Preferred Stock of the Issuer at a price of $5.00 per share, or $24,245,530 in the aggregate. In October</w:t>
      </w:r>
    </w:p>
    <w:p>
      <w:pPr>
        <w:spacing w:after="0"/>
        <w:rPr>
          <w:sz w:val="20"/>
          <w:szCs w:val="20"/>
          <w:color w:val="auto"/>
        </w:rPr>
      </w:pPr>
      <w:r>
        <w:rPr>
          <w:rFonts w:ascii="Times New Roman" w:cs="Times New Roman" w:eastAsia="Times New Roman" w:hAnsi="Times New Roman"/>
          <w:sz w:val="21"/>
          <w:szCs w:val="21"/>
          <w:color w:val="auto"/>
        </w:rPr>
        <w:t>2023, Fund V purchased an aggregate of 969,821 shares of Series B-2 Redeemable Convertible Preferred Stock of the</w:t>
      </w:r>
    </w:p>
    <w:p>
      <w:pPr>
        <w:spacing w:after="0" w:line="231" w:lineRule="auto"/>
        <w:rPr>
          <w:sz w:val="20"/>
          <w:szCs w:val="20"/>
          <w:color w:val="auto"/>
        </w:rPr>
      </w:pPr>
      <w:r>
        <w:rPr>
          <w:rFonts w:ascii="Times New Roman" w:cs="Times New Roman" w:eastAsia="Times New Roman" w:hAnsi="Times New Roman"/>
          <w:sz w:val="22"/>
          <w:szCs w:val="22"/>
          <w:color w:val="auto"/>
        </w:rPr>
        <w:t>Issuer, Opportunity Fund V purchased an aggregate of 484,910 shares of Series B-2 Redeemable Convertible</w:t>
      </w:r>
    </w:p>
    <w:p>
      <w:pPr>
        <w:spacing w:after="0" w:line="231" w:lineRule="auto"/>
        <w:rPr>
          <w:sz w:val="20"/>
          <w:szCs w:val="20"/>
          <w:color w:val="auto"/>
        </w:rPr>
      </w:pPr>
      <w:r>
        <w:rPr>
          <w:rFonts w:ascii="Times New Roman" w:cs="Times New Roman" w:eastAsia="Times New Roman" w:hAnsi="Times New Roman"/>
          <w:sz w:val="22"/>
          <w:szCs w:val="22"/>
          <w:color w:val="auto"/>
        </w:rPr>
        <w:t>Preferred Stock of the Issuer, Labs Fund I purchased an aggregate of 484,911 shares of Redeemable Convertible</w:t>
      </w:r>
    </w:p>
    <w:p>
      <w:pPr>
        <w:spacing w:after="0" w:line="231" w:lineRule="auto"/>
        <w:rPr>
          <w:sz w:val="20"/>
          <w:szCs w:val="20"/>
          <w:color w:val="auto"/>
        </w:rPr>
      </w:pPr>
      <w:r>
        <w:rPr>
          <w:rFonts w:ascii="Times New Roman" w:cs="Times New Roman" w:eastAsia="Times New Roman" w:hAnsi="Times New Roman"/>
          <w:sz w:val="22"/>
          <w:szCs w:val="22"/>
          <w:color w:val="auto"/>
        </w:rPr>
        <w:t>Preferred Stock of the Issuer, and Fund VI purchased an aggregate of 484,910 shares of Redeemable Convertible</w:t>
      </w:r>
    </w:p>
    <w:p>
      <w:pPr>
        <w:spacing w:after="0"/>
        <w:rPr>
          <w:sz w:val="20"/>
          <w:szCs w:val="20"/>
          <w:color w:val="auto"/>
        </w:rPr>
      </w:pPr>
      <w:r>
        <w:rPr>
          <w:rFonts w:ascii="Times New Roman" w:cs="Times New Roman" w:eastAsia="Times New Roman" w:hAnsi="Times New Roman"/>
          <w:sz w:val="21"/>
          <w:szCs w:val="21"/>
          <w:color w:val="auto"/>
        </w:rPr>
        <w:t>Preferred Stock of the Issuer at a price of $5.00 per share, or $12,122,760 in the aggregate. Direct Purchase of Series</w:t>
      </w:r>
    </w:p>
    <w:p>
      <w:pPr>
        <w:spacing w:after="0" w:line="231" w:lineRule="auto"/>
        <w:rPr>
          <w:sz w:val="20"/>
          <w:szCs w:val="20"/>
          <w:color w:val="auto"/>
        </w:rPr>
      </w:pPr>
      <w:r>
        <w:rPr>
          <w:rFonts w:ascii="Times New Roman" w:cs="Times New Roman" w:eastAsia="Times New Roman" w:hAnsi="Times New Roman"/>
          <w:sz w:val="22"/>
          <w:szCs w:val="22"/>
          <w:color w:val="auto"/>
        </w:rPr>
        <w:t>C Redeemable Convertible Preferred Stock In March 2024, Fund V purchased an aggregate of 2,389,859 shares of</w:t>
      </w:r>
    </w:p>
    <w:p>
      <w:pPr>
        <w:spacing w:after="0" w:line="231" w:lineRule="auto"/>
        <w:rPr>
          <w:sz w:val="20"/>
          <w:szCs w:val="20"/>
          <w:color w:val="auto"/>
        </w:rPr>
      </w:pPr>
      <w:r>
        <w:rPr>
          <w:rFonts w:ascii="Times New Roman" w:cs="Times New Roman" w:eastAsia="Times New Roman" w:hAnsi="Times New Roman"/>
          <w:sz w:val="22"/>
          <w:szCs w:val="22"/>
          <w:color w:val="auto"/>
        </w:rPr>
        <w:t>Series C Redeemable Convertible Preferred Stock of the Issuer, Opportunity Fund V purchased an aggregate of</w:t>
      </w:r>
    </w:p>
    <w:p>
      <w:pPr>
        <w:spacing w:after="0" w:line="231" w:lineRule="auto"/>
        <w:rPr>
          <w:sz w:val="20"/>
          <w:szCs w:val="20"/>
          <w:color w:val="auto"/>
        </w:rPr>
      </w:pPr>
      <w:r>
        <w:rPr>
          <w:rFonts w:ascii="Times New Roman" w:cs="Times New Roman" w:eastAsia="Times New Roman" w:hAnsi="Times New Roman"/>
          <w:sz w:val="22"/>
          <w:szCs w:val="22"/>
          <w:color w:val="auto"/>
        </w:rPr>
        <w:t>1,593,239 shares of Series C Redeemable Convertible Preferred Stock of the Issuer, Labs Fund I purchased an</w:t>
      </w:r>
    </w:p>
    <w:p>
      <w:pPr>
        <w:spacing w:after="0" w:line="230" w:lineRule="auto"/>
        <w:rPr>
          <w:sz w:val="20"/>
          <w:szCs w:val="20"/>
          <w:color w:val="auto"/>
        </w:rPr>
      </w:pPr>
      <w:r>
        <w:rPr>
          <w:rFonts w:ascii="Times New Roman" w:cs="Times New Roman" w:eastAsia="Times New Roman" w:hAnsi="Times New Roman"/>
          <w:sz w:val="22"/>
          <w:szCs w:val="22"/>
          <w:color w:val="auto"/>
        </w:rPr>
        <w:t>aggregate of 1,593,239 shares of Series C Redeemable Convertible Preferred Stock of the Issuer, and Fund VI</w:t>
      </w:r>
    </w:p>
    <w:p>
      <w:pPr>
        <w:spacing w:after="0" w:line="231" w:lineRule="auto"/>
        <w:rPr>
          <w:sz w:val="20"/>
          <w:szCs w:val="20"/>
          <w:color w:val="auto"/>
        </w:rPr>
      </w:pPr>
      <w:r>
        <w:rPr>
          <w:rFonts w:ascii="Times New Roman" w:cs="Times New Roman" w:eastAsia="Times New Roman" w:hAnsi="Times New Roman"/>
          <w:sz w:val="22"/>
          <w:szCs w:val="22"/>
          <w:color w:val="auto"/>
        </w:rPr>
        <w:t>purchased an aggregate of 3,983,098 shares of Series C Redeemable Convertible Preferred Stock of the Issuer at a</w:t>
      </w:r>
    </w:p>
    <w:p>
      <w:pPr>
        <w:spacing w:after="0" w:line="230" w:lineRule="auto"/>
        <w:rPr>
          <w:sz w:val="20"/>
          <w:szCs w:val="20"/>
          <w:color w:val="auto"/>
        </w:rPr>
      </w:pPr>
      <w:r>
        <w:rPr>
          <w:rFonts w:ascii="Times New Roman" w:cs="Times New Roman" w:eastAsia="Times New Roman" w:hAnsi="Times New Roman"/>
          <w:sz w:val="22"/>
          <w:szCs w:val="22"/>
          <w:color w:val="auto"/>
        </w:rPr>
        <w:t>price of $3.13826 per share, or $29,999,992.48 in the aggregate. In May 2024, Fund V purchased an aggregate of</w:t>
      </w:r>
    </w:p>
    <w:p>
      <w:pPr>
        <w:spacing w:after="0" w:line="231" w:lineRule="auto"/>
        <w:rPr>
          <w:sz w:val="20"/>
          <w:szCs w:val="20"/>
          <w:color w:val="auto"/>
        </w:rPr>
      </w:pPr>
      <w:r>
        <w:rPr>
          <w:rFonts w:ascii="Times New Roman" w:cs="Times New Roman" w:eastAsia="Times New Roman" w:hAnsi="Times New Roman"/>
          <w:sz w:val="22"/>
          <w:szCs w:val="22"/>
          <w:color w:val="auto"/>
        </w:rPr>
        <w:t>2,389,859 shares of Series C Redeemable Convertible Preferred Stock of the Issuer, Opportunity Fund V purchased</w:t>
      </w:r>
    </w:p>
    <w:p>
      <w:pPr>
        <w:spacing w:after="0" w:line="230" w:lineRule="auto"/>
        <w:rPr>
          <w:sz w:val="20"/>
          <w:szCs w:val="20"/>
          <w:color w:val="auto"/>
        </w:rPr>
      </w:pPr>
      <w:r>
        <w:rPr>
          <w:rFonts w:ascii="Times New Roman" w:cs="Times New Roman" w:eastAsia="Times New Roman" w:hAnsi="Times New Roman"/>
          <w:sz w:val="22"/>
          <w:szCs w:val="22"/>
          <w:color w:val="auto"/>
        </w:rPr>
        <w:t>an aggregate of 1,593,239 shares of Series C Redeemable Convertible Preferred Stock of the Issuer, Labs Fund I</w:t>
      </w:r>
    </w:p>
    <w:p>
      <w:pPr>
        <w:spacing w:after="0" w:line="231" w:lineRule="auto"/>
        <w:rPr>
          <w:sz w:val="20"/>
          <w:szCs w:val="20"/>
          <w:color w:val="auto"/>
        </w:rPr>
      </w:pPr>
      <w:r>
        <w:rPr>
          <w:rFonts w:ascii="Times New Roman" w:cs="Times New Roman" w:eastAsia="Times New Roman" w:hAnsi="Times New Roman"/>
          <w:sz w:val="22"/>
          <w:szCs w:val="22"/>
          <w:color w:val="auto"/>
        </w:rPr>
        <w:t>purchased an aggregate of 1,593,239 shares of Series C Redeemable Convertible Preferred Stock of the Issuer, and</w:t>
      </w:r>
    </w:p>
    <w:p>
      <w:pPr>
        <w:spacing w:after="0" w:line="230" w:lineRule="auto"/>
        <w:rPr>
          <w:sz w:val="20"/>
          <w:szCs w:val="20"/>
          <w:color w:val="auto"/>
        </w:rPr>
      </w:pPr>
      <w:r>
        <w:rPr>
          <w:rFonts w:ascii="Times New Roman" w:cs="Times New Roman" w:eastAsia="Times New Roman" w:hAnsi="Times New Roman"/>
          <w:sz w:val="22"/>
          <w:szCs w:val="22"/>
          <w:color w:val="auto"/>
        </w:rPr>
        <w:t>Fund VI purchased an aggregate of 3,983,098 shares of Series C Redeemable Convertible Preferred Stock of the</w:t>
      </w:r>
    </w:p>
    <w:p>
      <w:pPr>
        <w:spacing w:after="0" w:line="231" w:lineRule="auto"/>
        <w:rPr>
          <w:sz w:val="20"/>
          <w:szCs w:val="20"/>
          <w:color w:val="auto"/>
        </w:rPr>
      </w:pPr>
      <w:r>
        <w:rPr>
          <w:rFonts w:ascii="Times New Roman" w:cs="Times New Roman" w:eastAsia="Times New Roman" w:hAnsi="Times New Roman"/>
          <w:sz w:val="22"/>
          <w:szCs w:val="22"/>
          <w:color w:val="auto"/>
        </w:rPr>
        <w:t>Issuer at a price of $3.13826 per share, or $29,999,992.48 in the aggregate. Reverse Stock Split and Conversion On</w:t>
      </w:r>
    </w:p>
    <w:p>
      <w:pPr>
        <w:spacing w:after="0"/>
        <w:rPr>
          <w:sz w:val="20"/>
          <w:szCs w:val="20"/>
          <w:color w:val="auto"/>
        </w:rPr>
      </w:pPr>
      <w:r>
        <w:rPr>
          <w:rFonts w:ascii="Times New Roman" w:cs="Times New Roman" w:eastAsia="Times New Roman" w:hAnsi="Times New Roman"/>
          <w:sz w:val="21"/>
          <w:szCs w:val="21"/>
          <w:color w:val="auto"/>
        </w:rPr>
        <w:t>June 20, 2024, the Issuer effected a 1-for-4.675 reverse stock split of its issued and outstanding Common Stock, as a</w:t>
      </w:r>
    </w:p>
    <w:p>
      <w:pPr>
        <w:spacing w:after="0" w:line="231" w:lineRule="auto"/>
        <w:rPr>
          <w:sz w:val="20"/>
          <w:szCs w:val="20"/>
          <w:color w:val="auto"/>
        </w:rPr>
      </w:pPr>
      <w:r>
        <w:rPr>
          <w:rFonts w:ascii="Times New Roman" w:cs="Times New Roman" w:eastAsia="Times New Roman" w:hAnsi="Times New Roman"/>
          <w:sz w:val="22"/>
          <w:szCs w:val="22"/>
          <w:color w:val="auto"/>
        </w:rPr>
        <w:t>result of which Fund V held 1,944,577 shares of Series Seed Redeemable Convertible Preferred Stock of the Issuer;</w:t>
      </w:r>
    </w:p>
    <w:p>
      <w:pPr>
        <w:spacing w:after="0" w:line="231" w:lineRule="auto"/>
        <w:rPr>
          <w:sz w:val="20"/>
          <w:szCs w:val="20"/>
          <w:color w:val="auto"/>
        </w:rPr>
      </w:pPr>
      <w:r>
        <w:rPr>
          <w:rFonts w:ascii="Times New Roman" w:cs="Times New Roman" w:eastAsia="Times New Roman" w:hAnsi="Times New Roman"/>
          <w:sz w:val="22"/>
          <w:szCs w:val="22"/>
          <w:color w:val="auto"/>
        </w:rPr>
        <w:t>Labs Co-Invest held 194,459 shares of Series Seed Redeemable Convertible Preferred Stock of the Issuer; Fund V</w:t>
      </w:r>
    </w:p>
    <w:p>
      <w:pPr>
        <w:spacing w:after="0" w:line="231" w:lineRule="auto"/>
        <w:rPr>
          <w:sz w:val="20"/>
          <w:szCs w:val="20"/>
          <w:color w:val="auto"/>
        </w:rPr>
      </w:pPr>
      <w:r>
        <w:rPr>
          <w:rFonts w:ascii="Times New Roman" w:cs="Times New Roman" w:eastAsia="Times New Roman" w:hAnsi="Times New Roman"/>
          <w:sz w:val="22"/>
          <w:szCs w:val="22"/>
          <w:color w:val="auto"/>
        </w:rPr>
        <w:t>held 1,122,994 shares of Series A Redeemable Convertible Preferred Stock of the Issuer; Opportunity Fund V held</w:t>
      </w:r>
    </w:p>
    <w:p>
      <w:pPr>
        <w:spacing w:after="0" w:line="230" w:lineRule="auto"/>
        <w:rPr>
          <w:sz w:val="20"/>
          <w:szCs w:val="20"/>
          <w:color w:val="auto"/>
        </w:rPr>
      </w:pPr>
      <w:r>
        <w:rPr>
          <w:rFonts w:ascii="Times New Roman" w:cs="Times New Roman" w:eastAsia="Times New Roman" w:hAnsi="Times New Roman"/>
          <w:sz w:val="22"/>
          <w:szCs w:val="22"/>
          <w:color w:val="auto"/>
        </w:rPr>
        <w:t>481,283 shares of Series A Redeemable Convertible Preferred Stock of the Issuer; Fund V held 560,076 shares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Series B-1 Redeemable Convertible Preferred Stock of the Issuer; Opportunity Fund V held 560,076 shares of Series</w:t>
      </w:r>
    </w:p>
    <w:p>
      <w:pPr>
        <w:spacing w:after="0" w:line="231" w:lineRule="auto"/>
        <w:rPr>
          <w:sz w:val="20"/>
          <w:szCs w:val="20"/>
          <w:color w:val="auto"/>
        </w:rPr>
      </w:pPr>
      <w:r>
        <w:rPr>
          <w:rFonts w:ascii="Times New Roman" w:cs="Times New Roman" w:eastAsia="Times New Roman" w:hAnsi="Times New Roman"/>
          <w:sz w:val="22"/>
          <w:szCs w:val="22"/>
          <w:color w:val="auto"/>
        </w:rPr>
        <w:t>B-1 Redeemable Convertible Preferred Stock of the Issuer; Labs Fund I held 967,567 shares of Series B-1</w:t>
      </w:r>
    </w:p>
    <w:p>
      <w:pPr>
        <w:spacing w:after="0" w:line="231" w:lineRule="auto"/>
        <w:rPr>
          <w:sz w:val="20"/>
          <w:szCs w:val="20"/>
          <w:color w:val="auto"/>
        </w:rPr>
      </w:pPr>
      <w:r>
        <w:rPr>
          <w:rFonts w:ascii="Times New Roman" w:cs="Times New Roman" w:eastAsia="Times New Roman" w:hAnsi="Times New Roman"/>
          <w:sz w:val="22"/>
          <w:szCs w:val="22"/>
          <w:color w:val="auto"/>
        </w:rPr>
        <w:t>Redeemable Convertible Preferred Stock of the Issuer; Fund V held 622,344 shares of Series B-2 Redeemable</w:t>
      </w:r>
    </w:p>
    <w:p>
      <w:pPr>
        <w:spacing w:after="0" w:line="231" w:lineRule="auto"/>
        <w:rPr>
          <w:sz w:val="20"/>
          <w:szCs w:val="20"/>
          <w:color w:val="auto"/>
        </w:rPr>
      </w:pPr>
      <w:r>
        <w:rPr>
          <w:rFonts w:ascii="Times New Roman" w:cs="Times New Roman" w:eastAsia="Times New Roman" w:hAnsi="Times New Roman"/>
          <w:sz w:val="22"/>
          <w:szCs w:val="22"/>
          <w:color w:val="auto"/>
        </w:rPr>
        <w:t>Convertible Preferred Stock of the Issuer; Opportunity Fund V held 311,172 shares of Series B-2 Redeemable</w:t>
      </w:r>
    </w:p>
    <w:p>
      <w:pPr>
        <w:spacing w:after="0" w:line="230" w:lineRule="auto"/>
        <w:rPr>
          <w:sz w:val="20"/>
          <w:szCs w:val="20"/>
          <w:color w:val="auto"/>
        </w:rPr>
      </w:pPr>
      <w:r>
        <w:rPr>
          <w:rFonts w:ascii="Times New Roman" w:cs="Times New Roman" w:eastAsia="Times New Roman" w:hAnsi="Times New Roman"/>
          <w:sz w:val="22"/>
          <w:szCs w:val="22"/>
          <w:color w:val="auto"/>
        </w:rPr>
        <w:t>Convertible Preferred Stock of the Issuer; Labs Fund I held 311,172 shares of Series B-2 Redeemable Convertible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Preferred Stock of the Issuer; Fund VI held 311,172 shares of Series B-2 Redeemable Convertible Preferred Stock of</w:t>
      </w:r>
    </w:p>
    <w:p>
      <w:pPr>
        <w:spacing w:after="0" w:line="231" w:lineRule="auto"/>
        <w:rPr>
          <w:sz w:val="20"/>
          <w:szCs w:val="20"/>
          <w:color w:val="auto"/>
        </w:rPr>
      </w:pPr>
      <w:r>
        <w:rPr>
          <w:rFonts w:ascii="Times New Roman" w:cs="Times New Roman" w:eastAsia="Times New Roman" w:hAnsi="Times New Roman"/>
          <w:sz w:val="22"/>
          <w:szCs w:val="22"/>
          <w:color w:val="auto"/>
        </w:rPr>
        <w:t>the Issuer; Fund V held 1,022,398 shares of Series C Redeemable Convertible Preferred Stock of the Issuer;</w:t>
      </w:r>
    </w:p>
    <w:p>
      <w:pPr>
        <w:spacing w:after="0" w:line="231" w:lineRule="auto"/>
        <w:rPr>
          <w:sz w:val="20"/>
          <w:szCs w:val="20"/>
          <w:color w:val="auto"/>
        </w:rPr>
      </w:pPr>
      <w:r>
        <w:rPr>
          <w:rFonts w:ascii="Times New Roman" w:cs="Times New Roman" w:eastAsia="Times New Roman" w:hAnsi="Times New Roman"/>
          <w:sz w:val="22"/>
          <w:szCs w:val="22"/>
          <w:color w:val="auto"/>
        </w:rPr>
        <w:t>Opportunity Fund V held 681,598 shares of Series C Redeemable Convertible Preferred Stock of the Issuer; Labs</w:t>
      </w:r>
    </w:p>
    <w:p>
      <w:pPr>
        <w:spacing w:after="0" w:line="231" w:lineRule="auto"/>
        <w:rPr>
          <w:sz w:val="20"/>
          <w:szCs w:val="20"/>
          <w:color w:val="auto"/>
        </w:rPr>
      </w:pPr>
      <w:r>
        <w:rPr>
          <w:rFonts w:ascii="Times New Roman" w:cs="Times New Roman" w:eastAsia="Times New Roman" w:hAnsi="Times New Roman"/>
          <w:sz w:val="22"/>
          <w:szCs w:val="22"/>
          <w:color w:val="auto"/>
        </w:rPr>
        <w:t>Fund I held 681,598 shares of Series C Redeemable Convertible Preferred Stock of the Issuer; Fund VI held</w:t>
      </w:r>
    </w:p>
    <w:p>
      <w:pPr>
        <w:spacing w:after="0" w:line="230" w:lineRule="auto"/>
        <w:rPr>
          <w:sz w:val="20"/>
          <w:szCs w:val="20"/>
          <w:color w:val="auto"/>
        </w:rPr>
      </w:pPr>
      <w:r>
        <w:rPr>
          <w:rFonts w:ascii="Times New Roman" w:cs="Times New Roman" w:eastAsia="Times New Roman" w:hAnsi="Times New Roman"/>
          <w:sz w:val="22"/>
          <w:szCs w:val="22"/>
          <w:color w:val="auto"/>
        </w:rPr>
        <w:t>1,703,998 shares of Series C Redeemable Convertible Preferred Stock of the Issuer; and Labs Affiliates held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1,176,470 shares of Common Stock of the Issuer. In connection with the closing of the Issuer's initial public offering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July 1, 2024 (the "Initial Offering"), each share of Series Seed Redeemable Convertible Preferred Stock, Series A</w:t>
      </w:r>
    </w:p>
    <w:p>
      <w:pPr>
        <w:spacing w:after="0" w:line="231" w:lineRule="auto"/>
        <w:rPr>
          <w:sz w:val="20"/>
          <w:szCs w:val="20"/>
          <w:color w:val="auto"/>
        </w:rPr>
      </w:pPr>
      <w:r>
        <w:rPr>
          <w:rFonts w:ascii="Times New Roman" w:cs="Times New Roman" w:eastAsia="Times New Roman" w:hAnsi="Times New Roman"/>
          <w:sz w:val="22"/>
          <w:szCs w:val="22"/>
          <w:color w:val="auto"/>
        </w:rPr>
        <w:t>Redeemable Convertible Preferred Stock, Series B-1 Redeemable Convertible Preferred Stock, Series B-2</w:t>
      </w:r>
    </w:p>
    <w:p>
      <w:pPr>
        <w:spacing w:after="0" w:line="231" w:lineRule="auto"/>
        <w:rPr>
          <w:sz w:val="20"/>
          <w:szCs w:val="20"/>
          <w:color w:val="auto"/>
        </w:rPr>
      </w:pPr>
      <w:r>
        <w:rPr>
          <w:rFonts w:ascii="Times New Roman" w:cs="Times New Roman" w:eastAsia="Times New Roman" w:hAnsi="Times New Roman"/>
          <w:sz w:val="22"/>
          <w:szCs w:val="22"/>
          <w:color w:val="auto"/>
        </w:rPr>
        <w:t>Redeemable Convertible Preferred Stock and Series C Redeemable Convertible Preferred Stock automatically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converted into one share of Common Stock. Purchase in Initial Offering In connection with the Initial Offering, Fund</w:t>
      </w:r>
    </w:p>
    <w:p>
      <w:pPr>
        <w:spacing w:after="0" w:line="231" w:lineRule="auto"/>
        <w:rPr>
          <w:sz w:val="20"/>
          <w:szCs w:val="20"/>
          <w:color w:val="auto"/>
        </w:rPr>
      </w:pPr>
      <w:r>
        <w:rPr>
          <w:rFonts w:ascii="Times New Roman" w:cs="Times New Roman" w:eastAsia="Times New Roman" w:hAnsi="Times New Roman"/>
          <w:sz w:val="22"/>
          <w:szCs w:val="22"/>
          <w:color w:val="auto"/>
        </w:rPr>
        <w:t>V purchased 312,500 shares of the Issuer's Common Stock from the underwriters for $16.00 per share, or</w:t>
      </w:r>
    </w:p>
    <w:p>
      <w:pPr>
        <w:spacing w:after="0" w:line="231" w:lineRule="auto"/>
        <w:rPr>
          <w:sz w:val="20"/>
          <w:szCs w:val="20"/>
          <w:color w:val="auto"/>
        </w:rPr>
      </w:pPr>
      <w:r>
        <w:rPr>
          <w:rFonts w:ascii="Times New Roman" w:cs="Times New Roman" w:eastAsia="Times New Roman" w:hAnsi="Times New Roman"/>
          <w:sz w:val="22"/>
          <w:szCs w:val="22"/>
          <w:color w:val="auto"/>
        </w:rPr>
        <w:t>$5,000,000.00 in the aggregate; and Fund VI purchased 2,187,500 shares of the Issuer's Common Stock from the</w:t>
      </w:r>
    </w:p>
    <w:p>
      <w:pPr>
        <w:spacing w:after="0" w:line="231" w:lineRule="auto"/>
        <w:rPr>
          <w:sz w:val="20"/>
          <w:szCs w:val="20"/>
          <w:color w:val="auto"/>
        </w:rPr>
      </w:pPr>
      <w:r>
        <w:rPr>
          <w:rFonts w:ascii="Times New Roman" w:cs="Times New Roman" w:eastAsia="Times New Roman" w:hAnsi="Times New Roman"/>
          <w:sz w:val="22"/>
          <w:szCs w:val="22"/>
          <w:color w:val="auto"/>
        </w:rPr>
        <w:t>underwriters for $16.00 per share, or $35,000,000.00 in the aggregate. Such purchases occurred pursuant to and on</w:t>
      </w:r>
    </w:p>
    <w:p>
      <w:pPr>
        <w:spacing w:after="0"/>
        <w:rPr>
          <w:sz w:val="20"/>
          <w:szCs w:val="20"/>
          <w:color w:val="auto"/>
        </w:rPr>
      </w:pPr>
      <w:r>
        <w:rPr>
          <w:rFonts w:ascii="Times New Roman" w:cs="Times New Roman" w:eastAsia="Times New Roman" w:hAnsi="Times New Roman"/>
          <w:sz w:val="21"/>
          <w:szCs w:val="21"/>
          <w:color w:val="auto"/>
        </w:rPr>
        <w:t>the terms set forth in the Issuer's Prospectus filed pursuant to Rule 424(b)(4) on June 28, 2024 with the SEC (File No.</w:t>
      </w:r>
    </w:p>
    <w:p>
      <w:pPr>
        <w:spacing w:after="0" w:line="231" w:lineRule="auto"/>
        <w:rPr>
          <w:sz w:val="20"/>
          <w:szCs w:val="20"/>
          <w:color w:val="auto"/>
        </w:rPr>
      </w:pPr>
      <w:r>
        <w:rPr>
          <w:rFonts w:ascii="Times New Roman" w:cs="Times New Roman" w:eastAsia="Times New Roman" w:hAnsi="Times New Roman"/>
          <w:sz w:val="22"/>
          <w:szCs w:val="22"/>
          <w:color w:val="auto"/>
        </w:rPr>
        <w:t>333-280068) (the "Prospectus"). Open Market Purchase On May 2, 2025, Fund VI purchased 25,000 shares of the</w:t>
      </w:r>
    </w:p>
    <w:p>
      <w:pPr>
        <w:spacing w:after="0" w:line="231" w:lineRule="auto"/>
        <w:rPr>
          <w:sz w:val="20"/>
          <w:szCs w:val="20"/>
          <w:color w:val="auto"/>
        </w:rPr>
      </w:pPr>
      <w:r>
        <w:rPr>
          <w:rFonts w:ascii="Times New Roman" w:cs="Times New Roman" w:eastAsia="Times New Roman" w:hAnsi="Times New Roman"/>
          <w:sz w:val="22"/>
          <w:szCs w:val="22"/>
          <w:color w:val="auto"/>
        </w:rPr>
        <w:t>Issuer's Common Stock at a price of $4.62 per share, or $115,500 in the aggregate, in an open market purchase. On</w:t>
      </w:r>
    </w:p>
    <w:p>
      <w:pPr>
        <w:spacing w:after="0" w:line="231" w:lineRule="auto"/>
        <w:rPr>
          <w:sz w:val="20"/>
          <w:szCs w:val="20"/>
          <w:color w:val="auto"/>
        </w:rPr>
      </w:pPr>
      <w:r>
        <w:rPr>
          <w:rFonts w:ascii="Times New Roman" w:cs="Times New Roman" w:eastAsia="Times New Roman" w:hAnsi="Times New Roman"/>
          <w:sz w:val="22"/>
          <w:szCs w:val="22"/>
          <w:color w:val="auto"/>
        </w:rPr>
        <w:t>May 6, 2025, Fund VI purchased 20,000 shares of the Issuer's Common Stock at a price of $4.34 per share, or</w:t>
      </w:r>
    </w:p>
    <w:p>
      <w:pPr>
        <w:spacing w:after="0" w:line="230" w:lineRule="auto"/>
        <w:rPr>
          <w:sz w:val="20"/>
          <w:szCs w:val="20"/>
          <w:color w:val="auto"/>
        </w:rPr>
      </w:pPr>
      <w:r>
        <w:rPr>
          <w:rFonts w:ascii="Times New Roman" w:cs="Times New Roman" w:eastAsia="Times New Roman" w:hAnsi="Times New Roman"/>
          <w:sz w:val="22"/>
          <w:szCs w:val="22"/>
          <w:color w:val="auto"/>
        </w:rPr>
        <w:t>$86,800 in the aggregate, in an open market purchase. On November 17, 2025, Opportunity Fund V purchased (i)</w:t>
      </w:r>
    </w:p>
    <w:p>
      <w:pPr>
        <w:spacing w:after="0" w:line="231" w:lineRule="auto"/>
        <w:rPr>
          <w:sz w:val="20"/>
          <w:szCs w:val="20"/>
          <w:color w:val="auto"/>
        </w:rPr>
      </w:pPr>
      <w:r>
        <w:rPr>
          <w:rFonts w:ascii="Times New Roman" w:cs="Times New Roman" w:eastAsia="Times New Roman" w:hAnsi="Times New Roman"/>
          <w:sz w:val="22"/>
          <w:szCs w:val="22"/>
          <w:color w:val="auto"/>
        </w:rPr>
        <w:t>50,000 shares of the Issuer's Common Stock at a price of $5.60 per share, or $280,000 in the aggregate, in an open</w:t>
      </w:r>
    </w:p>
    <w:p>
      <w:pPr>
        <w:spacing w:after="0" w:line="230" w:lineRule="auto"/>
        <w:rPr>
          <w:sz w:val="20"/>
          <w:szCs w:val="20"/>
          <w:color w:val="auto"/>
        </w:rPr>
      </w:pPr>
      <w:r>
        <w:rPr>
          <w:rFonts w:ascii="Times New Roman" w:cs="Times New Roman" w:eastAsia="Times New Roman" w:hAnsi="Times New Roman"/>
          <w:sz w:val="22"/>
          <w:szCs w:val="22"/>
          <w:color w:val="auto"/>
        </w:rPr>
        <w:t>market purchase and (ii) 150,000 shares of the Issuer's Common Stock at a price of $5.59 per share, or $838,500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aggregate, in an open market purchase On November 18, 2025, Opportunity Fund V purchased 117,374 shares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Issuer's Common Stock at a price of $6.19 per share, or $726,545.06 in the aggregate, in an open market</w:t>
      </w:r>
    </w:p>
    <w:p>
      <w:pPr>
        <w:sectPr>
          <w:pgSz w:w="11900" w:h="16871" w:orient="portrait"/>
          <w:cols w:equalWidth="0" w:num="1">
            <w:col w:w="10220"/>
          </w:cols>
          <w:pgMar w:left="1280" w:top="112" w:right="399" w:bottom="0" w:gutter="0" w:footer="0" w:header="0"/>
        </w:sectPr>
      </w:pPr>
    </w:p>
    <w:bookmarkStart w:id="14" w:name="page15"/>
    <w:bookmarkEnd w:id="14"/>
    <w:p>
      <w:pPr>
        <w:spacing w:after="0" w:line="84" w:lineRule="exact"/>
        <w:rPr>
          <w:sz w:val="20"/>
          <w:szCs w:val="20"/>
          <w:color w:val="auto"/>
        </w:rPr>
      </w:pPr>
    </w:p>
    <w:p>
      <w:pPr>
        <w:ind w:left="920"/>
        <w:spacing w:after="0" w:line="233" w:lineRule="auto"/>
        <w:rPr>
          <w:sz w:val="20"/>
          <w:szCs w:val="20"/>
          <w:color w:val="auto"/>
        </w:rPr>
      </w:pPr>
      <w:r>
        <w:rPr>
          <w:rFonts w:ascii="Times New Roman" w:cs="Times New Roman" w:eastAsia="Times New Roman" w:hAnsi="Times New Roman"/>
          <w:sz w:val="22"/>
          <w:szCs w:val="22"/>
          <w:color w:val="auto"/>
        </w:rPr>
        <w:t>purchase. On November 19, 2025, Opportunity Fund V purchased 190,500 shares of the Issuer's Common Stock at a price of $6.56 per share, or $1,249,680 in the aggregate, in an open market purchase. On November 21, 2025, Opportunity Fund V purchased 72,212 shares of the Issuer's Common Stock at a price of $7.38 per share, or $532,924.56 in the aggregate, in an open market purchase. Follow-on Offering The Issuer filed a Prospectus Supplement pursuant to Rule 424(b)(5) on January 8, 2026 with the SEC (the "2026 Prospectus Supplement") that details the Issuer's offering of 17,650,000 shares of Common Stock (the "Follow-on Offering"). On January 8, 2026, in connection with the Follow-on Offering, Fund V purchased 117,647 shares of the Issuer's Common Stock at a price of $17.00 per share, or $1,999,999 in the aggregate and Opportunity Fund V purchased 294,117 shares of the Issuer's Common Stock at a price of $17.00 per share, or $4,999,989 in the aggregate. Such purchases occurred pursuant to and on the terms set forth in the 2026 Prospectus Supplement. Source of Funds The source of the funds for all purchases and acquisitions by Fund VI, Fund V, Labs Co-Invest, Opportunity Fund V, Labs Fund I and Labs Affiliates was from working capital. No part of the purchase price was borrowed by Fund VI, Fund V, Labs Co-Invest, Opportunity Fund V, Labs Fund I and Labs Affiliates for the purpose of acquiring any securities discussed in this Item 3.</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The Reporting Persons hold their securities of the Issuer for investment purposes. Depending on the factors discussed herein, the Reporting Persons may, from time to time, acquire additional shares of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w:t>
      </w:r>
    </w:p>
    <w:p>
      <w:pPr>
        <w:spacing w:after="0" w:line="1" w:lineRule="exact"/>
        <w:rPr>
          <w:sz w:val="20"/>
          <w:szCs w:val="20"/>
          <w:color w:val="auto"/>
        </w:rPr>
      </w:pPr>
    </w:p>
    <w:p>
      <w:pPr>
        <w:ind w:left="920" w:right="80" w:hanging="912"/>
        <w:spacing w:after="0" w:line="196" w:lineRule="auto"/>
        <w:tabs>
          <w:tab w:leader="none" w:pos="920" w:val="left"/>
        </w:tabs>
        <w:numPr>
          <w:ilvl w:val="0"/>
          <w:numId w:val="2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123,139,425 shares of common stock of the Issuer outstanding as of March 12, 2026, as set forth in the Issuer's Form 10-K filed with the SEC on March 19, 2026.</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 to Item 5(a) above.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April 1, 2026, Labs Affiliates effected a pro rata distribution without additional consideration of 1,176,470 shares</w:t>
      </w:r>
    </w:p>
    <w:p>
      <w:pPr>
        <w:spacing w:after="0" w:line="25" w:lineRule="exact"/>
        <w:rPr>
          <w:rFonts w:ascii="Times New Roman" w:cs="Times New Roman" w:eastAsia="Times New Roman" w:hAnsi="Times New Roman"/>
          <w:sz w:val="22"/>
          <w:szCs w:val="22"/>
          <w:color w:val="auto"/>
        </w:rPr>
      </w:pPr>
    </w:p>
    <w:p>
      <w:pPr>
        <w:ind w:left="920" w:right="880" w:hanging="912"/>
        <w:spacing w:after="0" w:line="237" w:lineRule="auto"/>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Common Stock to its members. On April 1, 2026, Labs effected a pro rata distribution without additional consideration of 1,123,337.00 shares of Common Stock to its members.</w:t>
      </w:r>
    </w:p>
    <w:p>
      <w:pPr>
        <w:spacing w:after="0" w:line="16" w:lineRule="exact"/>
        <w:rPr>
          <w:rFonts w:ascii="Times New Roman" w:cs="Times New Roman" w:eastAsia="Times New Roman" w:hAnsi="Times New Roman"/>
          <w:sz w:val="22"/>
          <w:szCs w:val="22"/>
          <w:color w:val="auto"/>
        </w:rPr>
      </w:pPr>
    </w:p>
    <w:p>
      <w:pPr>
        <w:ind w:left="92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Under certain circumstances set forth in the limited partnership agreement of each of Fund VI, Fund V, Opportunity Fund V and Labs Fund I and the limited liability company agreement of each of FCM VI, FCM V, FCOM V, FLM I,</w:t>
      </w:r>
    </w:p>
    <w:p>
      <w:pPr>
        <w:jc w:val="both"/>
        <w:ind w:left="920" w:right="200" w:hanging="912"/>
        <w:spacing w:after="0" w:line="235" w:lineRule="auto"/>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Labs Co-Invest, Labs Affiliates and Labs,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In connection with the issuance of the Series Seed Redeemable Convertible Preferred Stock, Series A Redeemable Convertible Preferred Stock, Series B-1 Redeemable Convertible Preferred Stock, Series B-2 Redeemable Convertible Preferred Stock and Series C Redeemable Convertible Preferred Stock of the Issuer, Fund VI, Fund V, Labs Co-Invest, Opportunity Fund V, Labs Fund I and certain other investors entered into an Amended and Restated Investors' Rights Agreement dated March 4, 2024 (the "Rights Agreement"). The Rights Agreement grants to Fund VI, Fund V, Labs Co-Invest, Opportunity Fund V, Labs Fund I and certain other parties thereto certain rights including demand registration rights, piggyback registration rights and Form S-3 registration rights. Such registration rights will expire, with respect to any particular stockholder, upon the earliest to occur of: (a) the closing of a Deemed Liquidation Event (as defined therein) (b) such time after consummation of the IPO (as defined therein) as Rule 144 or another similar exemption under the Securities Act (as defined therein) is available for the sale of all of such holder's shares without limitation during a three-month period without registration; or (c) the fifth anniversary of the IPO (as defined therein). The rights set forth in the Rights Agreement are more fully described in the Prospectus and incorporated herein by reference. Fund VI, Fund V, Labs Co-Invest, Opportunity Fund V, Labs Fund I entered into a letter agreement with Morgan Stanley &amp; Co, LLC, Leerink Partners LLC, Cantor Fitzgerald &amp; Co., and Guggenheim Securities, LLC, as representatives of the underwriters, on March 4, 2024 (together, the "Lock-Up Agreements"). Pursuant to the Lock-Up Agreements, Fund VI, Fund V, Labs Co-Invest, Opportunity Fund V, Labs Fund I and Tananbaum agreed that they would not, during the period ending 180 days after the date set forth on the Prospectus and subject to limited exceptions,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or any other securities so owned convertible into or exercisable</w:t>
      </w:r>
    </w:p>
    <w:p>
      <w:pPr>
        <w:sectPr>
          <w:pgSz w:w="11900" w:h="16922" w:orient="portrait"/>
          <w:cols w:equalWidth="0" w:num="1">
            <w:col w:w="11120"/>
          </w:cols>
          <w:pgMar w:left="360" w:top="112" w:right="419" w:bottom="0" w:gutter="0" w:footer="0" w:header="0"/>
        </w:sectPr>
      </w:pPr>
    </w:p>
    <w:bookmarkStart w:id="15" w:name="page16"/>
    <w:bookmarkEnd w:id="15"/>
    <w:p>
      <w:pPr>
        <w:ind w:left="920" w:right="20"/>
        <w:spacing w:after="0" w:line="233" w:lineRule="auto"/>
        <w:rPr>
          <w:sz w:val="20"/>
          <w:szCs w:val="20"/>
          <w:color w:val="auto"/>
        </w:rPr>
      </w:pPr>
      <w:r>
        <w:rPr>
          <w:rFonts w:ascii="Times New Roman" w:cs="Times New Roman" w:eastAsia="Times New Roman" w:hAnsi="Times New Roman"/>
          <w:sz w:val="22"/>
          <w:szCs w:val="22"/>
          <w:color w:val="auto"/>
        </w:rPr>
        <w:t>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Such Lock-Up Agreement is more fully described in the Prospectus and incorporated herein by reference. In connection with the Follow-On Offering, each of Tananbaum, Fund V and Opportunity Fund V entered into a lock-up agreement, pursuant to which each such party agreed, subject to certain exceptions, not to sell, transfer or otherwise convey certain of the Issuer's securities held by Fund V or Opportunity Fund V for 60 days following the date of the 2026 Prospectus Supplement. The terms and provisions of such lock-up agreement are described more fully in 2026 Prospectus Supplement, and the above summary is qualified by reference to such description and the full text of the lock-up agreement, a form of which is filed as Exhibit E to this Statement and is incorporated herein by reference. Tananbaum, in his capacity as a director of the Issuer, along with the other directors of the Issuer, entered into an Indemnification Agreement with the Issuer. Such Indemnification Agreement is more fully described in the Prospectus and incorporated herein by reference.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3" w:lineRule="auto"/>
        <w:rPr>
          <w:sz w:val="20"/>
          <w:szCs w:val="20"/>
          <w:color w:val="auto"/>
        </w:rPr>
      </w:pPr>
      <w:r>
        <w:rPr>
          <w:rFonts w:ascii="Times New Roman" w:cs="Times New Roman" w:eastAsia="Times New Roman" w:hAnsi="Times New Roman"/>
          <w:sz w:val="22"/>
          <w:szCs w:val="22"/>
          <w:color w:val="auto"/>
        </w:rPr>
        <w:t>EXHIBIT A Agreement of Joint Filing. The undersigned hereby agree that a single Schedule 13D (or any amendment thereto) relating to the Common Stock of Alumis, Inc. shall be filed on behalf of each of the Reporting Persons. Note that copies of the applicable Agreement of Joint Filing are already on file with the appropriate agencies. EXHIBIT B Amended and Restated Investors' Rights Agreement, filed on June 7, 2024 as Exhibit 4.2 to the Issuer's Registration Statement on Form S-1 (File No. 333-80068), and incorporated herein by reference. EXHIBIT C Form of Lock-Up Agreement, filed as Exhibit A to the Underwriting Agreement filed on June 24, 2024 as Exhibit 1.1 to the Issuer's Amendment No. 2 to Form S-1 Registration Statement (File No. 333-80068), and incorporated herein by reference. EXHIBIT D Form of Indemnification Agreement, filed as Exhibit 10.10 to the Issuer's Amendment No. 2 to Form S-1 Registration Statement (File No. 333-80068) is incorporated herein by reference. EXHIBIT E Form of Lock-Up Agreement, filed as Exhibit A to the Underwriting Agreement filed on January 9, 2026 as Exhibit 1.1 to the Issuer's Form 8-K (File No. 001-42143), and incorporated herein by reference.</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Foresite Capital Fund VI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James Tananbaum,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Foresite Capital Management VI, LLC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James Tananbaum, Managing Member</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Foresite Capital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James Tananbaum,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Labs Co-Invest 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James Tananbaum,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Foresite Capital Management V, LLC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James Tananbaum, Managing Member</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Foresite Capital Opportunity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James Tananbaum, Managing Member of the</w:t>
      </w:r>
    </w:p>
    <w:p>
      <w:pPr>
        <w:sectPr>
          <w:pgSz w:w="11900" w:h="16838" w:orient="portrait"/>
          <w:cols w:equalWidth="0" w:num="1">
            <w:col w:w="11140"/>
          </w:cols>
          <w:pgMar w:left="360" w:top="112" w:right="399" w:bottom="0" w:gutter="0" w:footer="0" w:header="0"/>
        </w:sectPr>
      </w:pPr>
    </w:p>
    <w:bookmarkStart w:id="16" w:name="page17"/>
    <w:bookmarkEnd w:id="16"/>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Foresite Capital Opportunity Management V,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James Tananbaum, Managing Member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tbl>
      <w:tblPr>
        <w:tblLayout w:type="fixed"/>
        <w:tblInd w:w="1340" w:type="dxa"/>
        <w:tblCellMar>
          <w:top w:w="0" w:type="dxa"/>
          <w:left w:w="0" w:type="dxa"/>
          <w:bottom w:w="0" w:type="dxa"/>
          <w:right w:w="0" w:type="dxa"/>
        </w:tblCellMar>
      </w:tblP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Foresite Labs Fund I, L.P.</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00" w:type="dxa"/>
            <w:vAlign w:val="bottom"/>
          </w:tcPr>
          <w:p>
            <w:pPr>
              <w:ind w:left="3240"/>
              <w:spacing w:after="0"/>
              <w:rPr>
                <w:sz w:val="20"/>
                <w:szCs w:val="20"/>
                <w:color w:val="auto"/>
              </w:rPr>
            </w:pPr>
            <w:r>
              <w:rPr>
                <w:rFonts w:ascii="Times New Roman" w:cs="Times New Roman" w:eastAsia="Times New Roman" w:hAnsi="Times New Roman"/>
                <w:sz w:val="22"/>
                <w:szCs w:val="22"/>
                <w:color w:val="auto"/>
              </w:rPr>
              <w:t>Signature:</w:t>
            </w: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James B. Tananbaum</w:t>
            </w:r>
          </w:p>
        </w:tc>
        <w:tc>
          <w:tcPr>
            <w:tcW w:w="0" w:type="dxa"/>
            <w:vAlign w:val="bottom"/>
          </w:tcPr>
          <w:p>
            <w:pPr>
              <w:spacing w:after="0"/>
              <w:rPr>
                <w:sz w:val="1"/>
                <w:szCs w:val="1"/>
                <w:color w:val="auto"/>
              </w:rPr>
            </w:pPr>
          </w:p>
        </w:tc>
      </w:tr>
      <w:tr>
        <w:trPr>
          <w:trHeight w:val="258"/>
        </w:trPr>
        <w:tc>
          <w:tcPr>
            <w:tcW w:w="4300" w:type="dxa"/>
            <w:vAlign w:val="bottom"/>
            <w:vMerge w:val="restart"/>
          </w:tcPr>
          <w:p>
            <w:pPr>
              <w:ind w:left="3240"/>
              <w:spacing w:after="0"/>
              <w:rPr>
                <w:sz w:val="20"/>
                <w:szCs w:val="20"/>
                <w:color w:val="auto"/>
              </w:rPr>
            </w:pPr>
            <w:r>
              <w:rPr>
                <w:rFonts w:ascii="Times New Roman" w:cs="Times New Roman" w:eastAsia="Times New Roman" w:hAnsi="Times New Roman"/>
                <w:sz w:val="22"/>
                <w:szCs w:val="22"/>
                <w:color w:val="auto"/>
                <w:w w:val="97"/>
              </w:rPr>
              <w:t>Name/Title:</w:t>
            </w: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James Tananbaum, Managing Member of the</w:t>
            </w:r>
          </w:p>
        </w:tc>
        <w:tc>
          <w:tcPr>
            <w:tcW w:w="0" w:type="dxa"/>
            <w:vAlign w:val="bottom"/>
          </w:tcPr>
          <w:p>
            <w:pPr>
              <w:spacing w:after="0"/>
              <w:rPr>
                <w:sz w:val="1"/>
                <w:szCs w:val="1"/>
                <w:color w:val="auto"/>
              </w:rPr>
            </w:pPr>
          </w:p>
        </w:tc>
      </w:tr>
      <w:tr>
        <w:trPr>
          <w:trHeight w:val="282"/>
        </w:trPr>
        <w:tc>
          <w:tcPr>
            <w:tcW w:w="4300" w:type="dxa"/>
            <w:vAlign w:val="bottom"/>
            <w:vMerge w:val="continue"/>
          </w:tcPr>
          <w:p>
            <w:pPr>
              <w:spacing w:after="0"/>
              <w:rPr>
                <w:sz w:val="24"/>
                <w:szCs w:val="24"/>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Partner</w:t>
            </w:r>
          </w:p>
        </w:tc>
        <w:tc>
          <w:tcPr>
            <w:tcW w:w="0" w:type="dxa"/>
            <w:vAlign w:val="bottom"/>
          </w:tcPr>
          <w:p>
            <w:pPr>
              <w:spacing w:after="0"/>
              <w:rPr>
                <w:sz w:val="1"/>
                <w:szCs w:val="1"/>
                <w:color w:val="auto"/>
              </w:rPr>
            </w:pPr>
          </w:p>
        </w:tc>
      </w:tr>
      <w:tr>
        <w:trPr>
          <w:trHeight w:val="297"/>
        </w:trPr>
        <w:tc>
          <w:tcPr>
            <w:tcW w:w="4300" w:type="dxa"/>
            <w:vAlign w:val="bottom"/>
          </w:tcPr>
          <w:p>
            <w:pPr>
              <w:ind w:left="3240"/>
              <w:spacing w:after="0"/>
              <w:rPr>
                <w:sz w:val="20"/>
                <w:szCs w:val="20"/>
                <w:color w:val="auto"/>
              </w:rPr>
            </w:pPr>
            <w:r>
              <w:rPr>
                <w:rFonts w:ascii="Times New Roman" w:cs="Times New Roman" w:eastAsia="Times New Roman" w:hAnsi="Times New Roman"/>
                <w:sz w:val="22"/>
                <w:szCs w:val="22"/>
                <w:color w:val="auto"/>
              </w:rPr>
              <w:t>Date:</w:t>
            </w:r>
          </w:p>
        </w:tc>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04/03/2026</w:t>
            </w:r>
          </w:p>
        </w:tc>
        <w:tc>
          <w:tcPr>
            <w:tcW w:w="0" w:type="dxa"/>
            <w:vAlign w:val="bottom"/>
          </w:tcPr>
          <w:p>
            <w:pPr>
              <w:spacing w:after="0"/>
              <w:rPr>
                <w:sz w:val="1"/>
                <w:szCs w:val="1"/>
                <w:color w:val="auto"/>
              </w:rPr>
            </w:pPr>
          </w:p>
        </w:tc>
      </w:tr>
      <w:tr>
        <w:trPr>
          <w:trHeight w:val="405"/>
        </w:trPr>
        <w:tc>
          <w:tcPr>
            <w:tcW w:w="430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Foresite Labs Management I, LLC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James Tananbaum, Managing Member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Foresite Labs Affiliates 2021,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James Tananbaum, Managing Member of the</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Foresite Labs, LLC</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James Tananbaum, Manager</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James B. Tananbaum</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B. Tananbaum</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James B. Tananbaum</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sectPr>
      <w:pgSz w:w="11900" w:h="16838" w:orient="portrait"/>
      <w:cols w:equalWidth="0" w:num="1">
        <w:col w:w="9580"/>
      </w:cols>
      <w:pgMar w:left="1440" w:top="11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2"/>
      <w:numFmt w:val="bullet"/>
      <w:start w:val="1"/>
    </w:lvl>
  </w:abstractNum>
  <w:abstractNum w:abstractNumId="1">
    <w:nsid w:val="109CF92E"/>
    <w:multiLevelType w:val="hybridMultilevel"/>
    <w:lvl w:ilvl="0">
      <w:lvlJc w:val="left"/>
      <w:lvlText w:val="3"/>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6"/>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3"/>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2"/>
      <w:numFmt w:val="bullet"/>
      <w:start w:val="1"/>
    </w:lvl>
  </w:abstractNum>
  <w:abstractNum w:abstractNumId="16">
    <w:nsid w:val="628C895D"/>
    <w:multiLevelType w:val="hybridMultilevel"/>
    <w:lvl w:ilvl="0">
      <w:lvlJc w:val="left"/>
      <w:lvlText w:val="2"/>
      <w:numFmt w:val="bullet"/>
      <w:start w:val="1"/>
    </w:lvl>
  </w:abstractNum>
  <w:abstractNum w:abstractNumId="17">
    <w:nsid w:val="333AB105"/>
    <w:multiLevelType w:val="hybridMultilevel"/>
    <w:lvl w:ilvl="0">
      <w:lvlJc w:val="left"/>
      <w:lvlText w:val="2"/>
      <w:numFmt w:val="bullet"/>
      <w:start w:val="1"/>
    </w:lvl>
  </w:abstractNum>
  <w:abstractNum w:abstractNumId="18">
    <w:nsid w:val="721DA317"/>
    <w:multiLevelType w:val="hybridMultilevel"/>
    <w:lvl w:ilvl="0">
      <w:lvlJc w:val="left"/>
      <w:lvlText w:val="2"/>
      <w:numFmt w:val="bullet"/>
      <w:start w:val="1"/>
    </w:lvl>
  </w:abstractNum>
  <w:abstractNum w:abstractNumId="19">
    <w:nsid w:val="2443A858"/>
    <w:multiLevelType w:val="hybridMultilevel"/>
    <w:lvl w:ilvl="0">
      <w:lvlJc w:val="left"/>
      <w:lvlText w:val="3"/>
      <w:numFmt w:val="bullet"/>
      <w:start w:val="1"/>
    </w:lvl>
  </w:abstractNum>
  <w:abstractNum w:abstractNumId="20">
    <w:nsid w:val="2D1D5AE9"/>
    <w:multiLevelType w:val="hybridMultilevel"/>
    <w:lvl w:ilvl="0">
      <w:lvlJc w:val="left"/>
      <w:lvlText w:val="4"/>
      <w:numFmt w:val="bullet"/>
      <w:start w:val="1"/>
    </w:lvl>
  </w:abstractNum>
  <w:abstractNum w:abstractNumId="21">
    <w:nsid w:val="6763845E"/>
    <w:multiLevelType w:val="hybridMultilevel"/>
    <w:lvl w:ilvl="0">
      <w:lvlJc w:val="left"/>
      <w:lvlText w:val="%1:"/>
      <w:numFmt w:val="decimal"/>
      <w:start w:val="9"/>
    </w:lvl>
  </w:abstractNum>
  <w:abstractNum w:abstractNumId="22">
    <w:nsid w:val="75A2A8D4"/>
    <w:multiLevelType w:val="hybridMultilevel"/>
    <w:lvl w:ilvl="0">
      <w:lvlJc w:val="left"/>
      <w:lvlText w:val="(%1)"/>
      <w:numFmt w:val="lowerLetter"/>
      <w:start w:val="3"/>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2026-04-03T14:53:14Z</dcterms:created>
  <dcterms:modified xsi:type="dcterms:W3CDTF">2026-04-03T14:53:14Z</dcterms:modified>
</cp:coreProperties>
</file>