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52026_100826.xml.htm"/>
      <w:bookmarkStart w:id="1" w:name="ksform408052026_1008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Pangali Sanam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ALUMIS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 EAST GRAND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ALUMIS INC.</w:t>
              </w:r>
            </w:hyperlink>
            <w:r>
              <w:rPr/>
              <w:t xml:space="preserve"> [ </w:t>
            </w:r>
            <w:r>
              <w:rPr>
                <w:rFonts w:ascii="Times;serif" w:hAnsi="Times;serif"/>
                <w:color w:val="0000FF"/>
                <w:sz w:val="24"/>
                <w:shd w:fill="FFFFFF" w:val="clear"/>
              </w:rPr>
              <w:t>ALMS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1,364</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26.37</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9,747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the Issuer's policy requiring sell-to-cover to satisfy tax obligations of the Reporting Person incurred with the vesting and settlement of restricted stock units granted on July 29, 2025,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sale price. These shares were sold in multiple transactions at prices ranging from $25.62 to $26.42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Sanam Pangali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3806" TargetMode="External"/><Relationship Id="rId5" Type="http://schemas.openxmlformats.org/officeDocument/2006/relationships/hyperlink" Target="http://www.sec.gov/cgi-bin/browse-edgar?action=getcompany&amp;CIK=00018473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3709</Characters>
  <CharactersWithSpaces>4331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