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ALUMIS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7,362,035.00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7,362,035.00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7,362,035.00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7,362,035.00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7,362,035.00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7,362,035.00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7,362,035.00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7,362,035.00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7,362,035.00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ALUMIS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659"/>
        <w:spacing w:after="0"/>
        <w:rPr>
          <w:sz w:val="20"/>
          <w:szCs w:val="20"/>
          <w:color w:val="auto"/>
        </w:rPr>
      </w:pPr>
      <w:r>
        <w:rPr>
          <w:rFonts w:ascii="Times New Roman" w:cs="Times New Roman" w:eastAsia="Times New Roman" w:hAnsi="Times New Roman"/>
          <w:sz w:val="22"/>
          <w:szCs w:val="22"/>
          <w:color w:val="auto"/>
        </w:rPr>
        <w:t>280 East Grand Avenue, South San Francisco, California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right="1920"/>
        <w:spacing w:after="0" w:line="310"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30"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0980"/>
          </w:cols>
          <w:pgMar w:left="360" w:top="112" w:right="55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5620" w:firstLine="6"/>
        <w:spacing w:after="0" w:line="309"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20"/>
        <w:spacing w:after="0" w:line="258" w:lineRule="auto"/>
        <w:rPr>
          <w:sz w:val="20"/>
          <w:szCs w:val="20"/>
          <w:color w:val="auto"/>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7,362,035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60"/>
          </w:cols>
          <w:pgMar w:left="360" w:top="112" w:right="55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5.98%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980"/>
          </w:cols>
          <w:pgMar w:left="360" w:top="112" w:right="5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08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7,362,035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496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7,362,035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060"/>
          </w:cols>
          <w:pgMar w:left="360" w:top="112" w:right="559" w:bottom="0" w:gutter="0" w:footer="0" w:header="0"/>
          <w:type w:val="continuous"/>
        </w:sectPr>
      </w:pPr>
    </w:p>
    <w:bookmarkStart w:id="4" w:name="page5"/>
    <w:bookmarkEnd w:id="4"/>
    <w:p>
      <w:pPr>
        <w:jc w:val="both"/>
        <w:ind w:left="920"/>
        <w:spacing w:after="0"/>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Item 4: Information with respect to the Reporting Persons' ownership of the Common Stock as of April 7, 2026 is incorporated by reference to items (5) - (9) and (11) of the cover page of the respective Reporting Person. The amount beneficially owned by each Reporting Person is determined using 123,139,425 shares outstanding as of March 12, 2026, as reported by the issuer on its 10-K filed with the SEC on March 19,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April 7, 2026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2026-04-07T15:28:54Z</dcterms:created>
  <dcterms:modified xsi:type="dcterms:W3CDTF">2026-04-07T15:28:54Z</dcterms:modified>
</cp:coreProperties>
</file>