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June 18, 2024.</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333-280068​</w:t>
      </w:r>
    </w:p>
    <w:p>
      <w:pPr>
        <w:spacing w:after="0" w:line="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34"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AMENDMENT NO. 1 TO</w:t>
      </w:r>
    </w:p>
    <w:p>
      <w:pPr>
        <w:spacing w:after="0" w:line="2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1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1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UNDER</w:t>
      </w:r>
    </w:p>
    <w:p>
      <w:pPr>
        <w:spacing w:after="0" w:line="2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p>
      <w:pPr>
        <w:spacing w:after="0" w:line="1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Alumis Inc.</w:t>
      </w:r>
    </w:p>
    <w:tbl>
      <w:tblPr>
        <w:tblLayout w:type="fixed"/>
        <w:tblInd w:w="500" w:type="dxa"/>
        <w:tblCellMar>
          <w:top w:w="0" w:type="dxa"/>
          <w:left w:w="0" w:type="dxa"/>
          <w:bottom w:w="0" w:type="dxa"/>
          <w:right w:w="0" w:type="dxa"/>
        </w:tblCellMar>
      </w:tblPr>
      <w:tr>
        <w:trPr>
          <w:trHeight w:val="219"/>
        </w:trPr>
        <w:tc>
          <w:tcPr>
            <w:tcW w:w="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r>
              <w:rPr>
                <w:rFonts w:ascii="Times New Roman" w:cs="Times New Roman" w:eastAsia="Times New Roman" w:hAnsi="Times New Roman"/>
                <w:sz w:val="16"/>
                <w:szCs w:val="16"/>
                <w:color w:val="auto"/>
              </w:rPr>
              <w:t>​</w:t>
            </w:r>
          </w:p>
        </w:tc>
        <w:tc>
          <w:tcPr>
            <w:tcW w:w="6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57"/>
        </w:trPr>
        <w:tc>
          <w:tcPr>
            <w:tcW w:w="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420" w:type="dxa"/>
            <w:vAlign w:val="bottom"/>
          </w:tcPr>
          <w:p>
            <w:pPr>
              <w:ind w:left="84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 ​</w:t>
            </w:r>
          </w:p>
        </w:tc>
        <w:tc>
          <w:tcPr>
            <w:tcW w:w="3080" w:type="dxa"/>
            <w:vAlign w:val="bottom"/>
          </w:tcPr>
          <w:p>
            <w:pPr>
              <w:jc w:val="right"/>
              <w:ind w:right="1328"/>
              <w:spacing w:after="0"/>
              <w:rPr>
                <w:sz w:val="20"/>
                <w:szCs w:val="20"/>
                <w:color w:val="auto"/>
              </w:rPr>
            </w:pPr>
            <w:r>
              <w:rPr>
                <w:rFonts w:ascii="Times New Roman" w:cs="Times New Roman" w:eastAsia="Times New Roman" w:hAnsi="Times New Roman"/>
                <w:sz w:val="17"/>
                <w:szCs w:val="17"/>
                <w:b w:val="1"/>
                <w:bCs w:val="1"/>
                <w:color w:val="auto"/>
              </w:rPr>
              <w:t>2834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2200" w:type="dxa"/>
            <w:vAlign w:val="bottom"/>
          </w:tcPr>
          <w:p>
            <w:pPr>
              <w:jc w:val="right"/>
              <w:ind w:right="627"/>
              <w:spacing w:after="0"/>
              <w:rPr>
                <w:sz w:val="20"/>
                <w:szCs w:val="20"/>
                <w:color w:val="auto"/>
              </w:rPr>
            </w:pPr>
            <w:r>
              <w:rPr>
                <w:rFonts w:ascii="Times New Roman" w:cs="Times New Roman" w:eastAsia="Times New Roman" w:hAnsi="Times New Roman"/>
                <w:sz w:val="17"/>
                <w:szCs w:val="17"/>
                <w:b w:val="1"/>
                <w:bCs w:val="1"/>
                <w:color w:val="auto"/>
              </w:rPr>
              <w:t>86-1771129</w:t>
            </w:r>
          </w:p>
        </w:tc>
        <w:tc>
          <w:tcPr>
            <w:tcW w:w="50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134"/>
        </w:trPr>
        <w:tc>
          <w:tcPr>
            <w:tcW w:w="38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2420" w:type="dxa"/>
            <w:vAlign w:val="bottom"/>
          </w:tcPr>
          <w:p>
            <w:pPr>
              <w:ind w:left="320"/>
              <w:spacing w:after="0" w:line="134"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540" w:type="dxa"/>
            <w:vAlign w:val="bottom"/>
          </w:tcPr>
          <w:p>
            <w:pPr>
              <w:ind w:left="360"/>
              <w:spacing w:after="0" w:line="134" w:lineRule="exact"/>
              <w:rPr>
                <w:sz w:val="20"/>
                <w:szCs w:val="20"/>
                <w:color w:val="auto"/>
              </w:rPr>
            </w:pPr>
            <w:r>
              <w:rPr>
                <w:rFonts w:ascii="Times New Roman" w:cs="Times New Roman" w:eastAsia="Times New Roman" w:hAnsi="Times New Roman"/>
                <w:sz w:val="13"/>
                <w:szCs w:val="13"/>
                <w:color w:val="auto"/>
              </w:rPr>
              <w:t>​ ​</w:t>
            </w:r>
          </w:p>
        </w:tc>
        <w:tc>
          <w:tcPr>
            <w:tcW w:w="3080" w:type="dxa"/>
            <w:vAlign w:val="bottom"/>
          </w:tcPr>
          <w:p>
            <w:pPr>
              <w:ind w:left="700"/>
              <w:spacing w:after="0" w:line="134" w:lineRule="exact"/>
              <w:rPr>
                <w:sz w:val="20"/>
                <w:szCs w:val="20"/>
                <w:color w:val="auto"/>
              </w:rPr>
            </w:pPr>
            <w:r>
              <w:rPr>
                <w:rFonts w:ascii="Times New Roman" w:cs="Times New Roman" w:eastAsia="Times New Roman" w:hAnsi="Times New Roman"/>
                <w:sz w:val="13"/>
                <w:szCs w:val="13"/>
                <w:color w:val="auto"/>
              </w:rPr>
              <w:t>(Primary Standard Industrial</w:t>
            </w:r>
          </w:p>
        </w:tc>
        <w:tc>
          <w:tcPr>
            <w:tcW w:w="640" w:type="dxa"/>
            <w:vAlign w:val="bottom"/>
          </w:tcPr>
          <w:p>
            <w:pPr>
              <w:ind w:left="40"/>
              <w:spacing w:after="0" w:line="134" w:lineRule="exact"/>
              <w:rPr>
                <w:sz w:val="20"/>
                <w:szCs w:val="20"/>
                <w:color w:val="auto"/>
              </w:rPr>
            </w:pPr>
            <w:r>
              <w:rPr>
                <w:rFonts w:ascii="Times New Roman" w:cs="Times New Roman" w:eastAsia="Times New Roman" w:hAnsi="Times New Roman"/>
                <w:sz w:val="13"/>
                <w:szCs w:val="13"/>
                <w:color w:val="auto"/>
              </w:rPr>
              <w:t>​ ​</w:t>
            </w:r>
          </w:p>
        </w:tc>
        <w:tc>
          <w:tcPr>
            <w:tcW w:w="22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rPr>
              <w:t>(I.R.S. Employer</w:t>
            </w:r>
          </w:p>
        </w:tc>
        <w:tc>
          <w:tcPr>
            <w:tcW w:w="500" w:type="dxa"/>
            <w:vAlign w:val="bottom"/>
          </w:tcPr>
          <w:p>
            <w:pPr>
              <w:ind w:left="460"/>
              <w:spacing w:after="0" w:line="134" w:lineRule="exact"/>
              <w:rPr>
                <w:sz w:val="20"/>
                <w:szCs w:val="20"/>
                <w:color w:val="auto"/>
              </w:rPr>
            </w:pPr>
            <w:r>
              <w:rPr>
                <w:rFonts w:ascii="Times New Roman" w:cs="Times New Roman" w:eastAsia="Times New Roman" w:hAnsi="Times New Roman"/>
                <w:sz w:val="13"/>
                <w:szCs w:val="13"/>
                <w:color w:val="auto"/>
              </w:rPr>
              <w:t>​</w:t>
            </w:r>
          </w:p>
        </w:tc>
      </w:tr>
      <w:tr>
        <w:trPr>
          <w:trHeight w:val="219"/>
        </w:trPr>
        <w:tc>
          <w:tcPr>
            <w:tcW w:w="380" w:type="dxa"/>
            <w:vAlign w:val="bottom"/>
          </w:tcPr>
          <w:p>
            <w:pPr>
              <w:spacing w:after="0"/>
              <w:rPr>
                <w:sz w:val="19"/>
                <w:szCs w:val="19"/>
                <w:color w:val="auto"/>
              </w:rPr>
            </w:pPr>
          </w:p>
        </w:tc>
        <w:tc>
          <w:tcPr>
            <w:tcW w:w="24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incorporation or organization)</w:t>
            </w: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3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Classification Code Number)</w:t>
            </w:r>
            <w:r>
              <w:rPr>
                <w:rFonts w:ascii="Times New Roman" w:cs="Times New Roman" w:eastAsia="Times New Roman" w:hAnsi="Times New Roman"/>
                <w:sz w:val="16"/>
                <w:szCs w:val="16"/>
                <w:color w:val="auto"/>
              </w:rPr>
              <w:t>​</w:t>
            </w:r>
          </w:p>
        </w:tc>
        <w:tc>
          <w:tcPr>
            <w:tcW w:w="64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Identification Number)</w:t>
            </w:r>
          </w:p>
        </w:tc>
        <w:tc>
          <w:tcPr>
            <w:tcW w:w="500" w:type="dxa"/>
            <w:vAlign w:val="bottom"/>
          </w:tcPr>
          <w:p>
            <w:pPr>
              <w:spacing w:after="0"/>
              <w:rPr>
                <w:sz w:val="19"/>
                <w:szCs w:val="19"/>
                <w:color w:val="auto"/>
              </w:rPr>
            </w:pPr>
          </w:p>
        </w:tc>
      </w:tr>
    </w:tbl>
    <w:p>
      <w:pPr>
        <w:spacing w:after="0" w:line="12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Alumis Inc.</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280 East Grand Avenue</w:t>
      </w:r>
    </w:p>
    <w:p>
      <w:pPr>
        <w:jc w:val="center"/>
        <w:ind w:right="-419"/>
        <w:spacing w:after="0" w:line="232" w:lineRule="auto"/>
        <w:rPr>
          <w:sz w:val="20"/>
          <w:szCs w:val="20"/>
          <w:color w:val="auto"/>
        </w:rPr>
      </w:pPr>
      <w:r>
        <w:rPr>
          <w:rFonts w:ascii="Times New Roman" w:cs="Times New Roman" w:eastAsia="Times New Roman" w:hAnsi="Times New Roman"/>
          <w:sz w:val="17"/>
          <w:szCs w:val="17"/>
          <w:b w:val="1"/>
          <w:bCs w:val="1"/>
          <w:color w:val="auto"/>
        </w:rPr>
        <w:t>South San Francisco, California 94080</w:t>
      </w: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(650) 231-6625</w:t>
      </w:r>
    </w:p>
    <w:p>
      <w:pPr>
        <w:spacing w:after="0" w:line="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p>
    <w:p>
      <w:pPr>
        <w:spacing w:after="0" w:line="7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Martin Babler</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jc w:val="center"/>
        <w:ind w:right="-419"/>
        <w:spacing w:after="0" w:line="232" w:lineRule="auto"/>
        <w:rPr>
          <w:sz w:val="20"/>
          <w:szCs w:val="20"/>
          <w:color w:val="auto"/>
        </w:rPr>
      </w:pPr>
      <w:r>
        <w:rPr>
          <w:rFonts w:ascii="Times New Roman" w:cs="Times New Roman" w:eastAsia="Times New Roman" w:hAnsi="Times New Roman"/>
          <w:sz w:val="17"/>
          <w:szCs w:val="17"/>
          <w:b w:val="1"/>
          <w:bCs w:val="1"/>
          <w:color w:val="auto"/>
        </w:rPr>
        <w:t>280 East Grand Avenue</w:t>
      </w:r>
    </w:p>
    <w:p>
      <w:pPr>
        <w:jc w:val="center"/>
        <w:ind w:right="-419"/>
        <w:spacing w:after="0" w:line="232" w:lineRule="auto"/>
        <w:rPr>
          <w:sz w:val="20"/>
          <w:szCs w:val="20"/>
          <w:color w:val="auto"/>
        </w:rPr>
      </w:pPr>
      <w:r>
        <w:rPr>
          <w:rFonts w:ascii="Times New Roman" w:cs="Times New Roman" w:eastAsia="Times New Roman" w:hAnsi="Times New Roman"/>
          <w:sz w:val="17"/>
          <w:szCs w:val="17"/>
          <w:b w:val="1"/>
          <w:bCs w:val="1"/>
          <w:color w:val="auto"/>
        </w:rPr>
        <w:t>South San Francisco, California 94080</w:t>
      </w: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(650) 231-6625</w:t>
      </w:r>
    </w:p>
    <w:p>
      <w:pPr>
        <w:spacing w:after="0" w:line="5" w:lineRule="exact"/>
        <w:rPr>
          <w:sz w:val="24"/>
          <w:szCs w:val="24"/>
          <w:color w:val="auto"/>
        </w:rPr>
      </w:pPr>
    </w:p>
    <w:tbl>
      <w:tblPr>
        <w:tblLayout w:type="fixed"/>
        <w:tblInd w:w="50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9340" w:type="dxa"/>
            <w:vAlign w:val="bottom"/>
            <w:gridSpan w:val="5"/>
          </w:tcPr>
          <w:p>
            <w:pPr>
              <w:jc w:val="center"/>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p>
        </w:tc>
        <w:tc>
          <w:tcPr>
            <w:tcW w:w="220" w:type="dxa"/>
            <w:vAlign w:val="bottom"/>
          </w:tcPr>
          <w:p>
            <w:pPr>
              <w:spacing w:after="0"/>
              <w:rPr>
                <w:sz w:val="15"/>
                <w:szCs w:val="15"/>
                <w:color w:val="auto"/>
              </w:rPr>
            </w:pPr>
          </w:p>
        </w:tc>
      </w:tr>
      <w:tr>
        <w:trPr>
          <w:trHeight w:val="264"/>
        </w:trPr>
        <w:tc>
          <w:tcPr>
            <w:tcW w:w="2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Copies to:</w:t>
            </w:r>
          </w:p>
        </w:tc>
        <w:tc>
          <w:tcPr>
            <w:tcW w:w="4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175"/>
        </w:trPr>
        <w:tc>
          <w:tcPr>
            <w:tcW w:w="200" w:type="dxa"/>
            <w:vAlign w:val="bottom"/>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w:t>
            </w:r>
          </w:p>
        </w:tc>
        <w:tc>
          <w:tcPr>
            <w:tcW w:w="27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4"/>
              </w:rPr>
              <w:t>Dave Peinsipp</w:t>
            </w:r>
          </w:p>
        </w:tc>
        <w:tc>
          <w:tcPr>
            <w:tcW w:w="46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b w:val="1"/>
                <w:bCs w:val="1"/>
                <w:color w:val="auto"/>
              </w:rPr>
              <w:t>​ ​</w:t>
            </w:r>
          </w:p>
        </w:tc>
        <w:tc>
          <w:tcPr>
            <w:tcW w:w="292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4"/>
              </w:rPr>
              <w:t>John Schroer</w:t>
            </w:r>
          </w:p>
        </w:tc>
        <w:tc>
          <w:tcPr>
            <w:tcW w:w="46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b w:val="1"/>
                <w:bCs w:val="1"/>
                <w:color w:val="auto"/>
              </w:rPr>
              <w:t>​ ​</w:t>
            </w:r>
          </w:p>
        </w:tc>
        <w:tc>
          <w:tcPr>
            <w:tcW w:w="276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5"/>
              </w:rPr>
              <w:t>B. Shayne Kennedy</w:t>
            </w:r>
          </w:p>
        </w:tc>
        <w:tc>
          <w:tcPr>
            <w:tcW w:w="22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b w:val="1"/>
                <w:bCs w:val="1"/>
                <w:color w:val="auto"/>
              </w:rPr>
              <w:t>​</w:t>
            </w:r>
          </w:p>
        </w:tc>
      </w:tr>
      <w:tr>
        <w:trPr>
          <w:trHeight w:val="173"/>
        </w:trPr>
        <w:tc>
          <w:tcPr>
            <w:tcW w:w="200" w:type="dxa"/>
            <w:vAlign w:val="bottom"/>
          </w:tcPr>
          <w:p>
            <w:pPr>
              <w:spacing w:after="0"/>
              <w:rPr>
                <w:sz w:val="15"/>
                <w:szCs w:val="15"/>
                <w:color w:val="auto"/>
              </w:rPr>
            </w:pPr>
          </w:p>
        </w:tc>
        <w:tc>
          <w:tcPr>
            <w:tcW w:w="27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5"/>
              </w:rPr>
              <w:t>Kristin VanderPas</w:t>
            </w:r>
          </w:p>
        </w:tc>
        <w:tc>
          <w:tcPr>
            <w:tcW w:w="460" w:type="dxa"/>
            <w:vAlign w:val="bottom"/>
          </w:tcPr>
          <w:p>
            <w:pPr>
              <w:spacing w:after="0"/>
              <w:rPr>
                <w:sz w:val="15"/>
                <w:szCs w:val="15"/>
                <w:color w:val="auto"/>
              </w:rPr>
            </w:pPr>
          </w:p>
        </w:tc>
        <w:tc>
          <w:tcPr>
            <w:tcW w:w="292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5"/>
              </w:rPr>
              <w:t>Chief Financial Officer</w:t>
            </w:r>
          </w:p>
        </w:tc>
        <w:tc>
          <w:tcPr>
            <w:tcW w:w="460" w:type="dxa"/>
            <w:vAlign w:val="bottom"/>
          </w:tcPr>
          <w:p>
            <w:pPr>
              <w:spacing w:after="0"/>
              <w:rPr>
                <w:sz w:val="15"/>
                <w:szCs w:val="15"/>
                <w:color w:val="auto"/>
              </w:rPr>
            </w:pPr>
          </w:p>
        </w:tc>
        <w:tc>
          <w:tcPr>
            <w:tcW w:w="276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6"/>
              </w:rPr>
              <w:t>Ross McAloon</w:t>
            </w:r>
          </w:p>
        </w:tc>
        <w:tc>
          <w:tcPr>
            <w:tcW w:w="220" w:type="dxa"/>
            <w:vAlign w:val="bottom"/>
          </w:tcPr>
          <w:p>
            <w:pPr>
              <w:spacing w:after="0"/>
              <w:rPr>
                <w:sz w:val="15"/>
                <w:szCs w:val="15"/>
                <w:color w:val="auto"/>
              </w:rPr>
            </w:pPr>
          </w:p>
        </w:tc>
      </w:tr>
      <w:tr>
        <w:trPr>
          <w:trHeight w:val="165"/>
        </w:trPr>
        <w:tc>
          <w:tcPr>
            <w:tcW w:w="200" w:type="dxa"/>
            <w:vAlign w:val="bottom"/>
          </w:tcPr>
          <w:p>
            <w:pPr>
              <w:spacing w:after="0"/>
              <w:rPr>
                <w:sz w:val="14"/>
                <w:szCs w:val="14"/>
                <w:color w:val="auto"/>
              </w:rPr>
            </w:pPr>
          </w:p>
        </w:tc>
        <w:tc>
          <w:tcPr>
            <w:tcW w:w="274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b w:val="1"/>
                <w:bCs w:val="1"/>
                <w:color w:val="auto"/>
                <w:w w:val="96"/>
              </w:rPr>
              <w:t>Lauren Creel</w:t>
            </w:r>
          </w:p>
        </w:tc>
        <w:tc>
          <w:tcPr>
            <w:tcW w:w="460" w:type="dxa"/>
            <w:vAlign w:val="bottom"/>
          </w:tcPr>
          <w:p>
            <w:pPr>
              <w:spacing w:after="0"/>
              <w:rPr>
                <w:sz w:val="14"/>
                <w:szCs w:val="14"/>
                <w:color w:val="auto"/>
              </w:rPr>
            </w:pPr>
          </w:p>
        </w:tc>
        <w:tc>
          <w:tcPr>
            <w:tcW w:w="292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b w:val="1"/>
                <w:bCs w:val="1"/>
                <w:color w:val="auto"/>
                <w:w w:val="94"/>
              </w:rPr>
              <w:t>280 East Grand Avenue</w:t>
            </w:r>
          </w:p>
        </w:tc>
        <w:tc>
          <w:tcPr>
            <w:tcW w:w="460" w:type="dxa"/>
            <w:vAlign w:val="bottom"/>
          </w:tcPr>
          <w:p>
            <w:pPr>
              <w:spacing w:after="0"/>
              <w:rPr>
                <w:sz w:val="14"/>
                <w:szCs w:val="14"/>
                <w:color w:val="auto"/>
              </w:rPr>
            </w:pPr>
          </w:p>
        </w:tc>
        <w:tc>
          <w:tcPr>
            <w:tcW w:w="276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b w:val="1"/>
                <w:bCs w:val="1"/>
                <w:color w:val="auto"/>
                <w:w w:val="94"/>
              </w:rPr>
              <w:t>Latham &amp; Watkins LLP</w:t>
            </w:r>
          </w:p>
        </w:tc>
        <w:tc>
          <w:tcPr>
            <w:tcW w:w="220" w:type="dxa"/>
            <w:vAlign w:val="bottom"/>
          </w:tcPr>
          <w:p>
            <w:pPr>
              <w:spacing w:after="0"/>
              <w:rPr>
                <w:sz w:val="14"/>
                <w:szCs w:val="14"/>
                <w:color w:val="auto"/>
              </w:rPr>
            </w:pPr>
          </w:p>
        </w:tc>
      </w:tr>
      <w:tr>
        <w:trPr>
          <w:trHeight w:val="173"/>
        </w:trPr>
        <w:tc>
          <w:tcPr>
            <w:tcW w:w="200" w:type="dxa"/>
            <w:vAlign w:val="bottom"/>
          </w:tcPr>
          <w:p>
            <w:pPr>
              <w:spacing w:after="0"/>
              <w:rPr>
                <w:sz w:val="15"/>
                <w:szCs w:val="15"/>
                <w:color w:val="auto"/>
              </w:rPr>
            </w:pPr>
          </w:p>
        </w:tc>
        <w:tc>
          <w:tcPr>
            <w:tcW w:w="27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6"/>
              </w:rPr>
              <w:t>Cooley LLP</w:t>
            </w:r>
          </w:p>
        </w:tc>
        <w:tc>
          <w:tcPr>
            <w:tcW w:w="460" w:type="dxa"/>
            <w:vAlign w:val="bottom"/>
          </w:tcPr>
          <w:p>
            <w:pPr>
              <w:spacing w:after="0"/>
              <w:rPr>
                <w:sz w:val="15"/>
                <w:szCs w:val="15"/>
                <w:color w:val="auto"/>
              </w:rPr>
            </w:pPr>
          </w:p>
        </w:tc>
        <w:tc>
          <w:tcPr>
            <w:tcW w:w="292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4"/>
              </w:rPr>
              <w:t>South San Francisco, California 94080</w:t>
            </w:r>
          </w:p>
        </w:tc>
        <w:tc>
          <w:tcPr>
            <w:tcW w:w="460" w:type="dxa"/>
            <w:vAlign w:val="bottom"/>
          </w:tcPr>
          <w:p>
            <w:pPr>
              <w:spacing w:after="0"/>
              <w:rPr>
                <w:sz w:val="15"/>
                <w:szCs w:val="15"/>
                <w:color w:val="auto"/>
              </w:rPr>
            </w:pPr>
          </w:p>
        </w:tc>
        <w:tc>
          <w:tcPr>
            <w:tcW w:w="276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4"/>
              </w:rPr>
              <w:t>505 Montgomery Street, Suite 2000</w:t>
            </w:r>
          </w:p>
        </w:tc>
        <w:tc>
          <w:tcPr>
            <w:tcW w:w="220" w:type="dxa"/>
            <w:vAlign w:val="bottom"/>
          </w:tcPr>
          <w:p>
            <w:pPr>
              <w:spacing w:after="0"/>
              <w:rPr>
                <w:sz w:val="15"/>
                <w:szCs w:val="15"/>
                <w:color w:val="auto"/>
              </w:rPr>
            </w:pPr>
          </w:p>
        </w:tc>
      </w:tr>
      <w:tr>
        <w:trPr>
          <w:trHeight w:val="165"/>
        </w:trPr>
        <w:tc>
          <w:tcPr>
            <w:tcW w:w="200" w:type="dxa"/>
            <w:vAlign w:val="bottom"/>
          </w:tcPr>
          <w:p>
            <w:pPr>
              <w:spacing w:after="0"/>
              <w:rPr>
                <w:sz w:val="14"/>
                <w:szCs w:val="14"/>
                <w:color w:val="auto"/>
              </w:rPr>
            </w:pPr>
          </w:p>
        </w:tc>
        <w:tc>
          <w:tcPr>
            <w:tcW w:w="274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b w:val="1"/>
                <w:bCs w:val="1"/>
                <w:color w:val="auto"/>
                <w:w w:val="94"/>
              </w:rPr>
              <w:t>3 Embarcadero Center, 20th Floor</w:t>
            </w:r>
          </w:p>
        </w:tc>
        <w:tc>
          <w:tcPr>
            <w:tcW w:w="460" w:type="dxa"/>
            <w:vAlign w:val="bottom"/>
          </w:tcPr>
          <w:p>
            <w:pPr>
              <w:spacing w:after="0"/>
              <w:rPr>
                <w:sz w:val="14"/>
                <w:szCs w:val="14"/>
                <w:color w:val="auto"/>
              </w:rPr>
            </w:pPr>
          </w:p>
        </w:tc>
        <w:tc>
          <w:tcPr>
            <w:tcW w:w="292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b w:val="1"/>
                <w:bCs w:val="1"/>
                <w:color w:val="auto"/>
                <w:w w:val="94"/>
              </w:rPr>
              <w:t>(650) 231-6625</w:t>
            </w:r>
          </w:p>
        </w:tc>
        <w:tc>
          <w:tcPr>
            <w:tcW w:w="460" w:type="dxa"/>
            <w:vAlign w:val="bottom"/>
          </w:tcPr>
          <w:p>
            <w:pPr>
              <w:spacing w:after="0"/>
              <w:rPr>
                <w:sz w:val="14"/>
                <w:szCs w:val="14"/>
                <w:color w:val="auto"/>
              </w:rPr>
            </w:pPr>
          </w:p>
        </w:tc>
        <w:tc>
          <w:tcPr>
            <w:tcW w:w="276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b w:val="1"/>
                <w:bCs w:val="1"/>
                <w:color w:val="auto"/>
                <w:w w:val="93"/>
              </w:rPr>
              <w:t>San Francisco, California 94111</w:t>
            </w:r>
          </w:p>
        </w:tc>
        <w:tc>
          <w:tcPr>
            <w:tcW w:w="220" w:type="dxa"/>
            <w:vAlign w:val="bottom"/>
          </w:tcPr>
          <w:p>
            <w:pPr>
              <w:spacing w:after="0"/>
              <w:rPr>
                <w:sz w:val="14"/>
                <w:szCs w:val="14"/>
                <w:color w:val="auto"/>
              </w:rPr>
            </w:pPr>
          </w:p>
        </w:tc>
      </w:tr>
      <w:tr>
        <w:trPr>
          <w:trHeight w:val="173"/>
        </w:trPr>
        <w:tc>
          <w:tcPr>
            <w:tcW w:w="200" w:type="dxa"/>
            <w:vAlign w:val="bottom"/>
          </w:tcPr>
          <w:p>
            <w:pPr>
              <w:spacing w:after="0"/>
              <w:rPr>
                <w:sz w:val="15"/>
                <w:szCs w:val="15"/>
                <w:color w:val="auto"/>
              </w:rPr>
            </w:pPr>
          </w:p>
        </w:tc>
        <w:tc>
          <w:tcPr>
            <w:tcW w:w="27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3"/>
              </w:rPr>
              <w:t>San Francisco, California 94111</w:t>
            </w:r>
          </w:p>
        </w:tc>
        <w:tc>
          <w:tcPr>
            <w:tcW w:w="4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6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5"/>
              </w:rPr>
              <w:t>(415) 391-0600</w:t>
            </w:r>
          </w:p>
        </w:tc>
        <w:tc>
          <w:tcPr>
            <w:tcW w:w="220" w:type="dxa"/>
            <w:vAlign w:val="bottom"/>
          </w:tcPr>
          <w:p>
            <w:pPr>
              <w:spacing w:after="0"/>
              <w:rPr>
                <w:sz w:val="15"/>
                <w:szCs w:val="15"/>
                <w:color w:val="auto"/>
              </w:rPr>
            </w:pPr>
          </w:p>
        </w:tc>
      </w:tr>
      <w:tr>
        <w:trPr>
          <w:trHeight w:val="223"/>
        </w:trPr>
        <w:tc>
          <w:tcPr>
            <w:tcW w:w="2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(415) 693-2000</w:t>
            </w:r>
          </w:p>
        </w:tc>
        <w:tc>
          <w:tcPr>
            <w:tcW w:w="4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15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As soon as practicable after this registration statement becomes effective.</w:t>
      </w:r>
    </w:p>
    <w:p>
      <w:pPr>
        <w:spacing w:after="0" w:line="104" w:lineRule="exact"/>
        <w:rPr>
          <w:sz w:val="24"/>
          <w:szCs w:val="24"/>
          <w:color w:val="auto"/>
        </w:rPr>
      </w:pPr>
    </w:p>
    <w:p>
      <w:pPr>
        <w:jc w:val="both"/>
        <w:ind w:left="500" w:right="40"/>
        <w:spacing w:after="0" w:line="218"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38" w:lineRule="exact"/>
        <w:rPr>
          <w:sz w:val="24"/>
          <w:szCs w:val="24"/>
          <w:color w:val="auto"/>
        </w:rPr>
      </w:pPr>
    </w:p>
    <w:p>
      <w:pPr>
        <w:jc w:val="both"/>
        <w:ind w:left="500" w:right="60"/>
        <w:spacing w:after="0" w:line="221"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7" w:lineRule="exact"/>
        <w:rPr>
          <w:sz w:val="24"/>
          <w:szCs w:val="24"/>
          <w:color w:val="auto"/>
        </w:rPr>
      </w:pPr>
    </w:p>
    <w:p>
      <w:pPr>
        <w:jc w:val="both"/>
        <w:ind w:left="500" w:right="60"/>
        <w:spacing w:after="0" w:line="218"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38" w:lineRule="exact"/>
        <w:rPr>
          <w:sz w:val="24"/>
          <w:szCs w:val="24"/>
          <w:color w:val="auto"/>
        </w:rPr>
      </w:pPr>
    </w:p>
    <w:p>
      <w:pPr>
        <w:jc w:val="both"/>
        <w:ind w:left="500" w:right="60"/>
        <w:spacing w:after="0" w:line="218"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38" w:lineRule="exact"/>
        <w:rPr>
          <w:sz w:val="24"/>
          <w:szCs w:val="24"/>
          <w:color w:val="auto"/>
        </w:rPr>
      </w:pPr>
    </w:p>
    <w:p>
      <w:pPr>
        <w:jc w:val="both"/>
        <w:ind w:left="500" w:right="60"/>
        <w:spacing w:after="0" w:line="24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80"/>
          </w:cols>
          <w:pgMar w:left="580" w:top="205" w:right="1039" w:bottom="1440" w:gutter="0" w:footer="0" w:header="0"/>
        </w:sectPr>
      </w:pPr>
    </w:p>
    <w:tbl>
      <w:tblPr>
        <w:tblLayout w:type="fixed"/>
        <w:tblInd w:w="500" w:type="dxa"/>
        <w:tblCellMar>
          <w:top w:w="0" w:type="dxa"/>
          <w:left w:w="0" w:type="dxa"/>
          <w:bottom w:w="0" w:type="dxa"/>
          <w:right w:w="0" w:type="dxa"/>
        </w:tblCellMar>
      </w:tblPr>
      <w:tr>
        <w:trPr>
          <w:trHeight w:val="206"/>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Large​</w:t>
            </w:r>
          </w:p>
        </w:tc>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accelerated filer</w:t>
            </w:r>
          </w:p>
        </w:tc>
        <w:tc>
          <w:tcPr>
            <w:tcW w:w="2800" w:type="dxa"/>
            <w:vAlign w:val="bottom"/>
            <w:gridSpan w:val="3"/>
          </w:tcPr>
          <w:p>
            <w:pPr>
              <w:jc w:val="right"/>
              <w:ind w:right="1735"/>
              <w:spacing w:after="0" w:line="196" w:lineRule="exact"/>
              <w:rPr>
                <w:sz w:val="20"/>
                <w:szCs w:val="20"/>
                <w:color w:val="auto"/>
              </w:rPr>
            </w:pPr>
            <w:r>
              <w:rPr>
                <w:rFonts w:ascii="Times New Roman" w:cs="Times New Roman" w:eastAsia="Times New Roman" w:hAnsi="Times New Roman"/>
                <w:sz w:val="17"/>
                <w:szCs w:val="17"/>
                <w:color w:val="auto"/>
              </w:rPr>
              <w:t xml:space="preserve">​ ​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 ​ ​</w:t>
            </w:r>
          </w:p>
        </w:tc>
        <w:tc>
          <w:tcPr>
            <w:tcW w:w="398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rPr>
              <w:t>​ ​ Accelerated filer</w:t>
            </w:r>
          </w:p>
        </w:tc>
        <w:tc>
          <w:tcPr>
            <w:tcW w:w="0" w:type="dxa"/>
            <w:vAlign w:val="bottom"/>
          </w:tcPr>
          <w:p>
            <w:pPr>
              <w:spacing w:after="0"/>
              <w:rPr>
                <w:sz w:val="1"/>
                <w:szCs w:val="1"/>
                <w:color w:val="auto"/>
              </w:rPr>
            </w:pPr>
          </w:p>
        </w:tc>
      </w:tr>
      <w:tr>
        <w:trPr>
          <w:trHeight w:val="176"/>
        </w:trPr>
        <w:tc>
          <w:tcPr>
            <w:tcW w:w="4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spacing w:after="0"/>
              <w:rPr>
                <w:sz w:val="15"/>
                <w:szCs w:val="15"/>
                <w:color w:val="auto"/>
              </w:rPr>
            </w:pPr>
          </w:p>
        </w:tc>
        <w:tc>
          <w:tcPr>
            <w:tcW w:w="480" w:type="dxa"/>
            <w:vAlign w:val="bottom"/>
          </w:tcPr>
          <w:p>
            <w:pPr>
              <w:ind w:left="300"/>
              <w:spacing w:after="0" w:line="176" w:lineRule="exact"/>
              <w:rPr>
                <w:sz w:val="20"/>
                <w:szCs w:val="20"/>
                <w:color w:val="auto"/>
              </w:rPr>
            </w:pPr>
            <w:r>
              <w:rPr>
                <w:rFonts w:ascii="Times New Roman" w:cs="Times New Roman" w:eastAsia="Times New Roman" w:hAnsi="Times New Roman"/>
                <w:sz w:val="17"/>
                <w:szCs w:val="17"/>
                <w:color w:val="auto"/>
              </w:rPr>
              <w:t>​ ​</w:t>
            </w:r>
          </w:p>
        </w:tc>
        <w:tc>
          <w:tcPr>
            <w:tcW w:w="220" w:type="dxa"/>
            <w:vAlign w:val="bottom"/>
            <w:vMerge w:val="restart"/>
          </w:tcPr>
          <w:p>
            <w:pPr>
              <w:ind w:left="20"/>
              <w:spacing w:after="0" w:line="171" w:lineRule="exact"/>
              <w:rPr>
                <w:sz w:val="20"/>
                <w:szCs w:val="20"/>
                <w:color w:val="auto"/>
              </w:rPr>
            </w:pPr>
            <w:r>
              <w:rPr>
                <w:rFonts w:ascii="MS PGothic" w:cs="MS PGothic" w:eastAsia="MS PGothic" w:hAnsi="MS PGothic"/>
                <w:sz w:val="17"/>
                <w:szCs w:val="17"/>
                <w:color w:val="auto"/>
              </w:rPr>
              <w:t>☒</w:t>
            </w:r>
          </w:p>
        </w:tc>
        <w:tc>
          <w:tcPr>
            <w:tcW w:w="2100" w:type="dxa"/>
            <w:vAlign w:val="bottom"/>
          </w:tcPr>
          <w:p>
            <w:pPr>
              <w:jc w:val="right"/>
              <w:ind w:right="1735"/>
              <w:spacing w:after="0" w:line="176" w:lineRule="exact"/>
              <w:rPr>
                <w:sz w:val="20"/>
                <w:szCs w:val="20"/>
                <w:color w:val="auto"/>
              </w:rPr>
            </w:pPr>
            <w:r>
              <w:rPr>
                <w:rFonts w:ascii="Times New Roman" w:cs="Times New Roman" w:eastAsia="Times New Roman" w:hAnsi="Times New Roman"/>
                <w:sz w:val="17"/>
                <w:szCs w:val="17"/>
                <w:color w:val="auto"/>
              </w:rPr>
              <w:t>​ ​ ​</w:t>
            </w:r>
          </w:p>
        </w:tc>
        <w:tc>
          <w:tcPr>
            <w:tcW w:w="2000" w:type="dxa"/>
            <w:vAlign w:val="bottom"/>
          </w:tcPr>
          <w:p>
            <w:pPr>
              <w:ind w:left="1820"/>
              <w:spacing w:after="0" w:line="176" w:lineRule="exact"/>
              <w:rPr>
                <w:sz w:val="20"/>
                <w:szCs w:val="20"/>
                <w:color w:val="auto"/>
              </w:rPr>
            </w:pPr>
            <w:r>
              <w:rPr>
                <w:rFonts w:ascii="Times New Roman" w:cs="Times New Roman" w:eastAsia="Times New Roman" w:hAnsi="Times New Roman"/>
                <w:sz w:val="17"/>
                <w:szCs w:val="17"/>
                <w:color w:val="auto"/>
              </w:rPr>
              <w:t>​ ​</w:t>
            </w:r>
          </w:p>
        </w:tc>
        <w:tc>
          <w:tcPr>
            <w:tcW w:w="1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0" w:type="dxa"/>
            <w:vAlign w:val="bottom"/>
          </w:tcPr>
          <w:p>
            <w:pPr>
              <w:spacing w:after="0"/>
              <w:rPr>
                <w:sz w:val="1"/>
                <w:szCs w:val="1"/>
                <w:color w:val="auto"/>
              </w:rPr>
            </w:pPr>
          </w:p>
        </w:tc>
      </w:tr>
      <w:tr>
        <w:trPr>
          <w:trHeight w:val="47"/>
        </w:trPr>
        <w:tc>
          <w:tcPr>
            <w:tcW w:w="186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Non-accelerated filer</w:t>
            </w:r>
          </w:p>
        </w:tc>
        <w:tc>
          <w:tcPr>
            <w:tcW w:w="4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spacing w:after="0"/>
              <w:rPr>
                <w:sz w:val="21"/>
                <w:szCs w:val="21"/>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 ​ ​</w:t>
            </w:r>
          </w:p>
        </w:tc>
        <w:tc>
          <w:tcPr>
            <w:tcW w:w="2100" w:type="dxa"/>
            <w:vAlign w:val="bottom"/>
          </w:tcPr>
          <w:p>
            <w:pPr>
              <w:jc w:val="right"/>
              <w:ind w:right="1735"/>
              <w:spacing w:after="0"/>
              <w:rPr>
                <w:sz w:val="20"/>
                <w:szCs w:val="20"/>
                <w:color w:val="auto"/>
              </w:rPr>
            </w:pPr>
            <w:r>
              <w:rPr>
                <w:rFonts w:ascii="Times New Roman" w:cs="Times New Roman" w:eastAsia="Times New Roman" w:hAnsi="Times New Roman"/>
                <w:sz w:val="17"/>
                <w:szCs w:val="17"/>
                <w:color w:val="auto"/>
              </w:rPr>
              <w:t>​ ​ ​</w:t>
            </w:r>
          </w:p>
        </w:tc>
        <w:tc>
          <w:tcPr>
            <w:tcW w:w="398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rPr>
              <w:t>​ ​ 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 ​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p>
    <w:p>
      <w:pPr>
        <w:spacing w:after="0" w:line="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 ​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 ​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p>
    <w:p>
      <w:pPr>
        <w:spacing w:after="0" w:line="232" w:lineRule="exact"/>
        <w:rPr>
          <w:sz w:val="24"/>
          <w:szCs w:val="24"/>
          <w:color w:val="auto"/>
        </w:rPr>
      </w:pPr>
    </w:p>
    <w:p>
      <w:pPr>
        <w:sectPr>
          <w:pgSz w:w="11900" w:h="16838" w:orient="portrait"/>
          <w:cols w:equalWidth="0" w:num="2">
            <w:col w:w="9140" w:space="660"/>
            <w:col w:w="480"/>
          </w:cols>
          <w:pgMar w:left="580" w:top="205" w:right="1039" w:bottom="1440" w:gutter="0" w:footer="0" w:header="0"/>
          <w:type w:val="continuous"/>
        </w:sectPr>
      </w:pPr>
    </w:p>
    <w:p>
      <w:pPr>
        <w:spacing w:after="0" w:line="13" w:lineRule="exact"/>
        <w:rPr>
          <w:sz w:val="24"/>
          <w:szCs w:val="24"/>
          <w:color w:val="auto"/>
        </w:rPr>
      </w:pPr>
    </w:p>
    <w:p>
      <w:pPr>
        <w:jc w:val="both"/>
        <w:ind w:left="500" w:right="60"/>
        <w:spacing w:after="0" w:line="21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p>
    <w:p>
      <w:pPr>
        <w:jc w:val="both"/>
        <w:ind w:left="500" w:right="40"/>
        <w:spacing w:after="0" w:line="243"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86995</wp:posOffset>
            </wp:positionV>
            <wp:extent cx="6189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tbl>
      <w:tblPr>
        <w:tblLayout w:type="fixed"/>
        <w:tblInd w:w="880" w:type="dxa"/>
        <w:tblCellMar>
          <w:top w:w="0" w:type="dxa"/>
          <w:left w:w="0" w:type="dxa"/>
          <w:bottom w:w="0" w:type="dxa"/>
          <w:right w:w="0" w:type="dxa"/>
        </w:tblCellMar>
      </w:tblPr>
      <w:tr>
        <w:trPr>
          <w:trHeight w:val="1827"/>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statement filed with the</w:t>
            </w:r>
          </w:p>
        </w:tc>
        <w:tc>
          <w:tcPr>
            <w:tcW w:w="340" w:type="dxa"/>
            <w:vAlign w:val="bottom"/>
            <w:textDirection w:val="btLr"/>
          </w:tcPr>
          <w:p>
            <w:pPr>
              <w:ind w:left="35"/>
              <w:spacing w:after="0"/>
              <w:rPr>
                <w:sz w:val="20"/>
                <w:szCs w:val="20"/>
                <w:color w:val="auto"/>
              </w:rPr>
            </w:pPr>
            <w:r>
              <w:rPr>
                <w:rFonts w:ascii="Arial" w:cs="Arial" w:eastAsia="Arial" w:hAnsi="Arial"/>
                <w:sz w:val="16"/>
                <w:szCs w:val="16"/>
                <w:b w:val="1"/>
                <w:bCs w:val="1"/>
                <w:color w:val="FF665B"/>
              </w:rPr>
              <w:t>these securities in any</w:t>
            </w:r>
          </w:p>
        </w:tc>
      </w:tr>
      <w:tr>
        <w:trPr>
          <w:trHeight w:val="3731"/>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securities may not be sold until the registration</w:t>
            </w:r>
          </w:p>
        </w:tc>
        <w:tc>
          <w:tcPr>
            <w:tcW w:w="340" w:type="dxa"/>
            <w:vAlign w:val="bottom"/>
            <w:textDirection w:val="btLr"/>
          </w:tcPr>
          <w:p>
            <w:pPr>
              <w:ind w:left="35"/>
              <w:spacing w:after="0"/>
              <w:rPr>
                <w:sz w:val="20"/>
                <w:szCs w:val="20"/>
                <w:color w:val="auto"/>
              </w:rPr>
            </w:pPr>
            <w:r>
              <w:rPr>
                <w:rFonts w:ascii="Arial" w:cs="Arial" w:eastAsia="Arial" w:hAnsi="Arial"/>
                <w:sz w:val="16"/>
                <w:szCs w:val="16"/>
                <w:b w:val="1"/>
                <w:bCs w:val="1"/>
                <w:color w:val="FF665B"/>
              </w:rPr>
              <w:t>offer to sell nor does it seek an offer to buy</w:t>
            </w:r>
          </w:p>
        </w:tc>
      </w:tr>
      <w:tr>
        <w:trPr>
          <w:trHeight w:val="551"/>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w w:val="99"/>
              </w:rPr>
              <w:t>These</w:t>
            </w:r>
          </w:p>
        </w:tc>
        <w:tc>
          <w:tcPr>
            <w:tcW w:w="340" w:type="dxa"/>
            <w:vAlign w:val="bottom"/>
            <w:textDirection w:val="btLr"/>
          </w:tcPr>
          <w:p>
            <w:pPr>
              <w:ind w:left="35"/>
              <w:spacing w:after="0"/>
              <w:rPr>
                <w:sz w:val="20"/>
                <w:szCs w:val="20"/>
                <w:color w:val="auto"/>
              </w:rPr>
            </w:pPr>
            <w:r>
              <w:rPr>
                <w:rFonts w:ascii="Arial" w:cs="Arial" w:eastAsia="Arial" w:hAnsi="Arial"/>
                <w:sz w:val="16"/>
                <w:szCs w:val="16"/>
                <w:b w:val="1"/>
                <w:bCs w:val="1"/>
                <w:color w:val="FF665B"/>
              </w:rPr>
              <w:t>not an</w:t>
            </w:r>
          </w:p>
        </w:tc>
      </w:tr>
      <w:tr>
        <w:trPr>
          <w:trHeight w:val="6598"/>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The information in this preliminary prospectus is not complete and may be changed.</w:t>
            </w:r>
          </w:p>
        </w:tc>
        <w:tc>
          <w:tcPr>
            <w:tcW w:w="340" w:type="dxa"/>
            <w:vAlign w:val="bottom"/>
            <w:textDirection w:val="btLr"/>
          </w:tcPr>
          <w:p>
            <w:pPr>
              <w:ind w:left="168"/>
              <w:spacing w:after="0"/>
              <w:rPr>
                <w:sz w:val="20"/>
                <w:szCs w:val="20"/>
                <w:color w:val="auto"/>
              </w:rPr>
            </w:pPr>
            <w:r>
              <w:rPr>
                <w:rFonts w:ascii="Arial" w:cs="Arial" w:eastAsia="Arial" w:hAnsi="Arial"/>
                <w:sz w:val="15"/>
                <w:szCs w:val="15"/>
                <w:b w:val="1"/>
                <w:bCs w:val="1"/>
                <w:color w:val="FF665B"/>
                <w:w w:val="71"/>
              </w:rPr>
              <w:t>Securities and Exchange Commission is effective. This preliminary prospectus isjurisdictionwheretheofferorsaleisnotpermitted.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FF665B"/>
        </w:rPr>
        <w:t>Subject to Completion.</w:t>
      </w:r>
    </w:p>
    <w:p>
      <w:pPr>
        <w:spacing w:after="0" w:line="39"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FF665B"/>
        </w:rPr>
        <w:t>Dated June 18, 2024.</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i w:val="1"/>
          <w:i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24130</wp:posOffset>
            </wp:positionV>
            <wp:extent cx="1954530" cy="50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453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Georgia" w:cs="Georgia" w:eastAsia="Georgia" w:hAnsi="Georgia"/>
          <w:sz w:val="22"/>
          <w:szCs w:val="22"/>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99695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49" w:lineRule="exact"/>
        <w:rPr>
          <w:sz w:val="20"/>
          <w:szCs w:val="20"/>
          <w:color w:val="auto"/>
        </w:rPr>
      </w:pPr>
    </w:p>
    <w:p>
      <w:pPr>
        <w:jc w:val="both"/>
        <w:ind w:right="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This is an initial public offering of shares of common stock of Alumis Inc. We are offering             shares of our common stock to be sold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69215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5" w:lineRule="exact"/>
        <w:rPr>
          <w:sz w:val="20"/>
          <w:szCs w:val="20"/>
          <w:color w:val="auto"/>
        </w:rPr>
      </w:pPr>
    </w:p>
    <w:p>
      <w:pPr>
        <w:jc w:val="both"/>
        <w:ind w:right="79"/>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Prior to this offering, there has been no public market for our common stock. It is currently estimated that the initial public offering price per share will be between $            and $            . We have applied to list our common stock on the Nasdaq Global Market (Nasdaq) under the symbol “ALMS.” We believe that upon the completion of this offering, we will meet the standards for listing on Nasdaq, and the closing of this offering is contingent upon such listing.</w:t>
      </w:r>
    </w:p>
    <w:p>
      <w:pPr>
        <w:spacing w:after="0" w:line="7" w:lineRule="exact"/>
        <w:rPr>
          <w:sz w:val="20"/>
          <w:szCs w:val="20"/>
          <w:color w:val="auto"/>
        </w:rPr>
      </w:pPr>
    </w:p>
    <w:p>
      <w:pPr>
        <w:jc w:val="both"/>
        <w:ind w:right="79"/>
        <w:spacing w:after="0" w:line="22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have two classes of common stock: the voting common stock offered hereby and non-voting common stock. The rights of the holders of common stock and non-voting common stock are identical, except with respect to voting and conversion. Each share of common stock is entitled to one vote and is not convertible into any other class of our share capital. Shares of non-voting common stock are non-voting, except as may be required by law. Each share of non-voting common stock may be converted at any time into one share of common stock at the option of its holder, subject to the beneficial ownership limitations provided for in our amended and restated certificate of incorporation. See the section titled “Description of Capital Stock” beginning on page </w:t>
      </w:r>
      <w:r>
        <w:rPr>
          <w:rFonts w:ascii="Times New Roman" w:cs="Times New Roman" w:eastAsia="Times New Roman" w:hAnsi="Times New Roman"/>
          <w:sz w:val="18"/>
          <w:szCs w:val="18"/>
          <w:b w:val="1"/>
          <w:bCs w:val="1"/>
          <w:i w:val="1"/>
          <w:iCs w:val="1"/>
          <w:u w:val="single" w:color="auto"/>
          <w:color w:val="0000EE"/>
        </w:rPr>
        <w:t>184</w:t>
      </w:r>
      <w:r>
        <w:rPr>
          <w:rFonts w:ascii="Times New Roman" w:cs="Times New Roman" w:eastAsia="Times New Roman" w:hAnsi="Times New Roman"/>
          <w:sz w:val="18"/>
          <w:szCs w:val="18"/>
          <w:b w:val="1"/>
          <w:bCs w:val="1"/>
          <w:i w:val="1"/>
          <w:iCs w:val="1"/>
          <w:color w:val="0000EE"/>
        </w:rPr>
        <w:t xml:space="preserve"> </w:t>
      </w:r>
      <w:r>
        <w:rPr>
          <w:rFonts w:ascii="Times New Roman" w:cs="Times New Roman" w:eastAsia="Times New Roman" w:hAnsi="Times New Roman"/>
          <w:sz w:val="18"/>
          <w:szCs w:val="18"/>
          <w:b w:val="1"/>
          <w:bCs w:val="1"/>
          <w:i w:val="1"/>
          <w:iCs w:val="1"/>
          <w:color w:val="000000"/>
        </w:rPr>
        <w:t>of this prospectus for more information on the rights of the holders of our common stock and non-voting</w:t>
      </w:r>
      <w:r>
        <w:rPr>
          <w:rFonts w:ascii="Times New Roman" w:cs="Times New Roman" w:eastAsia="Times New Roman" w:hAnsi="Times New Roman"/>
          <w:sz w:val="18"/>
          <w:szCs w:val="18"/>
          <w:b w:val="1"/>
          <w:bCs w:val="1"/>
          <w:i w:val="1"/>
          <w:iCs w:val="1"/>
          <w:color w:val="0000EE"/>
        </w:rPr>
        <w:t xml:space="preserve"> </w:t>
      </w:r>
      <w:r>
        <w:rPr>
          <w:rFonts w:ascii="Times New Roman" w:cs="Times New Roman" w:eastAsia="Times New Roman" w:hAnsi="Times New Roman"/>
          <w:sz w:val="18"/>
          <w:szCs w:val="18"/>
          <w:b w:val="1"/>
          <w:bCs w:val="1"/>
          <w:i w:val="1"/>
          <w:iCs w:val="1"/>
          <w:color w:val="000000"/>
        </w:rPr>
        <w:t>common stock. We are offering voting common stock in this offering, and unless otherwise noted, all references in this prospectus to our “common stock” “common shares” or “shares” refer to our voting common stock. The non-voting common stock will not be listed for trading on any securities exchange.</w:t>
      </w:r>
    </w:p>
    <w:p>
      <w:pPr>
        <w:spacing w:after="0" w:line="3" w:lineRule="exact"/>
        <w:rPr>
          <w:sz w:val="20"/>
          <w:szCs w:val="20"/>
          <w:color w:val="auto"/>
        </w:rPr>
      </w:pPr>
    </w:p>
    <w:p>
      <w:pPr>
        <w:jc w:val="both"/>
        <w:ind w:right="9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See the section titled “Risk Factors” beginning on page </w:t>
      </w:r>
      <w:r>
        <w:rPr>
          <w:rFonts w:ascii="Times New Roman" w:cs="Times New Roman" w:eastAsia="Times New Roman" w:hAnsi="Times New Roman"/>
          <w:sz w:val="22"/>
          <w:szCs w:val="22"/>
          <w:b w:val="1"/>
          <w:bCs w:val="1"/>
          <w:i w:val="1"/>
          <w:iCs w:val="1"/>
          <w:u w:val="single" w:color="auto"/>
          <w:color w:val="0000EE"/>
        </w:rPr>
        <w:t>13</w:t>
      </w:r>
      <w:r>
        <w:rPr>
          <w:rFonts w:ascii="Times New Roman" w:cs="Times New Roman" w:eastAsia="Times New Roman" w:hAnsi="Times New Roman"/>
          <w:sz w:val="22"/>
          <w:szCs w:val="22"/>
          <w:b w:val="1"/>
          <w:bCs w:val="1"/>
          <w:i w:val="1"/>
          <w:iCs w:val="1"/>
          <w:color w:val="auto"/>
        </w:rPr>
        <w:t xml:space="preserve"> to read about factors you should consider before buying shares of the common stock.</w:t>
      </w:r>
    </w:p>
    <w:p>
      <w:pPr>
        <w:spacing w:after="0" w:line="7" w:lineRule="exact"/>
        <w:rPr>
          <w:sz w:val="20"/>
          <w:szCs w:val="20"/>
          <w:color w:val="auto"/>
        </w:rPr>
      </w:pPr>
    </w:p>
    <w:p>
      <w:pPr>
        <w:jc w:val="both"/>
        <w:ind w:right="9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69215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4" w:lineRule="exact"/>
        <w:rPr>
          <w:sz w:val="20"/>
          <w:szCs w:val="20"/>
          <w:color w:val="auto"/>
        </w:rPr>
      </w:pPr>
    </w:p>
    <w:p>
      <w:pPr>
        <w:jc w:val="both"/>
        <w:ind w:right="99"/>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as defined under the U.S. federal securities laws and, as such, may elect to comply with certain reduced public company reporting requirements in future reports after the closing of this offering. See the section titled “Prospectus Summary—Implications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69850</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74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Total   ​</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Initial public offering price</w:t>
            </w:r>
          </w:p>
        </w:tc>
        <w:tc>
          <w:tcPr>
            <w:tcW w:w="1740" w:type="dxa"/>
            <w:vAlign w:val="bottom"/>
            <w:vMerge w:val="restart"/>
            <w:shd w:val="clear" w:color="auto" w:fill="CCEEFF"/>
          </w:tcPr>
          <w:p>
            <w:pPr>
              <w:ind w:left="168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line="20" w:lineRule="exact"/>
              <w:rPr>
                <w:sz w:val="1"/>
                <w:szCs w:val="1"/>
                <w:color w:val="auto"/>
              </w:rPr>
            </w:pPr>
          </w:p>
        </w:tc>
      </w:tr>
      <w:tr>
        <w:trPr>
          <w:trHeight w:val="196"/>
        </w:trPr>
        <w:tc>
          <w:tcPr>
            <w:tcW w:w="4800" w:type="dxa"/>
            <w:vAlign w:val="bottom"/>
            <w:vMerge w:val="continue"/>
            <w:shd w:val="clear" w:color="auto" w:fill="CCEEFF"/>
          </w:tcPr>
          <w:p>
            <w:pPr>
              <w:spacing w:after="0"/>
              <w:rPr>
                <w:sz w:val="17"/>
                <w:szCs w:val="17"/>
                <w:color w:val="auto"/>
              </w:rPr>
            </w:pPr>
          </w:p>
        </w:tc>
        <w:tc>
          <w:tcPr>
            <w:tcW w:w="174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i w:val="1"/>
                <w:iCs w:val="1"/>
                <w:color w:val="auto"/>
              </w:rPr>
              <w:t xml:space="preserve">​​$            </w:t>
            </w:r>
          </w:p>
        </w:tc>
        <w:tc>
          <w:tcPr>
            <w:tcW w:w="140" w:type="dxa"/>
            <w:vAlign w:val="bottom"/>
            <w:vMerge w:val="continue"/>
            <w:shd w:val="clear" w:color="auto" w:fill="CCEEFF"/>
          </w:tcPr>
          <w:p>
            <w:pPr>
              <w:spacing w:after="0"/>
              <w:rPr>
                <w:sz w:val="17"/>
                <w:szCs w:val="17"/>
                <w:color w:val="auto"/>
              </w:rPr>
            </w:pPr>
          </w:p>
        </w:tc>
        <w:tc>
          <w:tcPr>
            <w:tcW w:w="78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 xml:space="preserve">​​$            </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Underwriting discounts and commissions</w:t>
            </w:r>
            <w:r>
              <w:rPr>
                <w:rFonts w:ascii="Times New Roman" w:cs="Times New Roman" w:eastAsia="Times New Roman" w:hAnsi="Times New Roman"/>
                <w:sz w:val="23"/>
                <w:szCs w:val="23"/>
                <w:i w:val="1"/>
                <w:iCs w:val="1"/>
                <w:color w:val="auto"/>
                <w:vertAlign w:val="superscript"/>
              </w:rPr>
              <w:t>(1)</w:t>
            </w:r>
          </w:p>
        </w:tc>
        <w:tc>
          <w:tcPr>
            <w:tcW w:w="1740" w:type="dxa"/>
            <w:vAlign w:val="bottom"/>
          </w:tcPr>
          <w:p>
            <w:pPr>
              <w:ind w:left="168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54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Proceeds, before expenses, to Alumis</w:t>
            </w:r>
          </w:p>
        </w:tc>
        <w:tc>
          <w:tcPr>
            <w:tcW w:w="1740" w:type="dxa"/>
            <w:vAlign w:val="bottom"/>
            <w:shd w:val="clear" w:color="auto" w:fill="CCEEFF"/>
          </w:tcPr>
          <w:p>
            <w:pPr>
              <w:ind w:left="168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540" w:type="dxa"/>
            <w:vAlign w:val="bottom"/>
            <w:shd w:val="clear" w:color="auto" w:fill="CCEEFF"/>
          </w:tcPr>
          <w:p>
            <w:pPr>
              <w:spacing w:after="0"/>
              <w:rPr>
                <w:sz w:val="17"/>
                <w:szCs w:val="17"/>
                <w:color w:val="auto"/>
              </w:rPr>
            </w:pP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-410845</wp:posOffset>
            </wp:positionV>
            <wp:extent cx="47745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128905</wp:posOffset>
            </wp:positionV>
            <wp:extent cx="548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16" w:lineRule="exact"/>
        <w:rPr>
          <w:sz w:val="20"/>
          <w:szCs w:val="20"/>
          <w:color w:val="auto"/>
        </w:rPr>
      </w:pPr>
    </w:p>
    <w:p>
      <w:pPr>
        <w:ind w:left="360" w:right="99" w:hanging="356"/>
        <w:spacing w:after="0" w:line="253" w:lineRule="auto"/>
        <w:tabs>
          <w:tab w:leader="none" w:pos="3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See the section titled “Underwriting” beginning on page </w:t>
      </w:r>
      <w:r>
        <w:rPr>
          <w:rFonts w:ascii="Times New Roman" w:cs="Times New Roman" w:eastAsia="Times New Roman" w:hAnsi="Times New Roman"/>
          <w:sz w:val="18"/>
          <w:szCs w:val="18"/>
          <w:i w:val="1"/>
          <w:iCs w:val="1"/>
          <w:u w:val="single" w:color="auto"/>
          <w:color w:val="0000EE"/>
        </w:rPr>
        <w:t>195</w:t>
      </w:r>
      <w:r>
        <w:rPr>
          <w:rFonts w:ascii="Times New Roman" w:cs="Times New Roman" w:eastAsia="Times New Roman" w:hAnsi="Times New Roman"/>
          <w:sz w:val="18"/>
          <w:szCs w:val="18"/>
          <w:i w:val="1"/>
          <w:iCs w:val="1"/>
          <w:color w:val="auto"/>
        </w:rPr>
        <w:t xml:space="preserve"> for additional information regarding underwriter compensation.</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86995</wp:posOffset>
            </wp:positionV>
            <wp:extent cx="1097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5" w:lineRule="exact"/>
        <w:rPr>
          <w:sz w:val="20"/>
          <w:szCs w:val="20"/>
          <w:color w:val="auto"/>
        </w:rPr>
      </w:pPr>
    </w:p>
    <w:p>
      <w:pPr>
        <w:jc w:val="both"/>
        <w:ind w:right="99"/>
        <w:spacing w:after="0" w:line="237" w:lineRule="auto"/>
        <w:rPr>
          <w:sz w:val="20"/>
          <w:szCs w:val="20"/>
          <w:color w:val="auto"/>
        </w:rPr>
      </w:pPr>
      <w:r>
        <w:rPr>
          <w:rFonts w:ascii="Times New Roman" w:cs="Times New Roman" w:eastAsia="Times New Roman" w:hAnsi="Times New Roman"/>
          <w:sz w:val="18"/>
          <w:szCs w:val="18"/>
          <w:i w:val="1"/>
          <w:iCs w:val="1"/>
          <w:color w:val="auto"/>
        </w:rPr>
        <w:t>We have granted the underwriters an option to purchase up to an additional             shares from us at the initial public offering price, less the underwriting discount and commissions. The underwriters may exercise this right at any time within 30 days after the date of this prospectus.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underwriters expect to deliver the shares to purchasers on or about 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95885</wp:posOffset>
            </wp:positionV>
            <wp:extent cx="1097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64" w:lineRule="exact"/>
        <w:rPr>
          <w:sz w:val="20"/>
          <w:szCs w:val="20"/>
          <w:color w:val="auto"/>
        </w:rPr>
      </w:pPr>
    </w:p>
    <w:p>
      <w:pPr>
        <w:ind w:left="6160" w:right="19" w:hanging="6339"/>
        <w:spacing w:after="0" w:line="226" w:lineRule="auto"/>
        <w:tabs>
          <w:tab w:leader="none" w:pos="6140" w:val="left"/>
        </w:tabs>
        <w:rPr>
          <w:sz w:val="20"/>
          <w:szCs w:val="20"/>
          <w:color w:val="auto"/>
        </w:rPr>
      </w:pPr>
      <w:r>
        <w:rPr>
          <w:rFonts w:ascii="Arial" w:cs="Arial" w:eastAsia="Arial" w:hAnsi="Arial"/>
          <w:sz w:val="25"/>
          <w:szCs w:val="25"/>
          <w:b w:val="1"/>
          <w:bCs w:val="1"/>
          <w:i w:val="1"/>
          <w:iCs w:val="1"/>
          <w:color w:val="auto"/>
        </w:rPr>
        <w:t>Morgan​ Stanley​​Leerink Partners​​Cantor​​</w:t>
        <w:tab/>
        <w:t>Guggenheim ​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0</wp:posOffset>
            </wp:positionV>
            <wp:extent cx="10972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Prospectus dated 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245745</wp:posOffset>
            </wp:positionV>
            <wp:extent cx="68065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400" w:space="180"/>
            <w:col w:w="829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p>
      <w:pPr>
        <w:jc w:val="both"/>
        <w:ind w:left="1260"/>
        <w:spacing w:after="0"/>
        <w:tabs>
          <w:tab w:leader="none" w:pos="4680" w:val="left"/>
          <w:tab w:leader="none" w:pos="5460" w:val="left"/>
          <w:tab w:leader="none" w:pos="890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1"/>
          <w:szCs w:val="21"/>
          <w:b w:val="1"/>
          <w:bCs w:val="1"/>
          <w:color w:val="auto"/>
          <w:vertAlign w:val="subscript"/>
        </w:rPr>
        <w:t xml:space="preserve">​ ​ </w:t>
      </w:r>
      <w:r>
        <w:rPr>
          <w:rFonts w:ascii="Times New Roman" w:cs="Times New Roman" w:eastAsia="Times New Roman" w:hAnsi="Times New Roman"/>
          <w:sz w:val="21"/>
          <w:szCs w:val="21"/>
          <w:b w:val="1"/>
          <w:bCs w:val="1"/>
          <w:color w:val="auto"/>
        </w:rPr>
        <w:t xml:space="preserve">Page </w:t>
      </w:r>
      <w:r>
        <w:rPr>
          <w:rFonts w:ascii="Times New Roman" w:cs="Times New Roman" w:eastAsia="Times New Roman" w:hAnsi="Times New Roman"/>
          <w:sz w:val="21"/>
          <w:szCs w:val="2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1208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5" w:lineRule="exact"/>
        <w:rPr>
          <w:sz w:val="20"/>
          <w:szCs w:val="20"/>
          <w:color w:val="auto"/>
        </w:rPr>
      </w:pPr>
    </w:p>
    <w:tbl>
      <w:tblPr>
        <w:tblLayout w:type="fixed"/>
        <w:tblInd w:w="1260" w:type="dxa"/>
        <w:tblCellMar>
          <w:top w:w="0" w:type="dxa"/>
          <w:left w:w="0" w:type="dxa"/>
          <w:bottom w:w="0" w:type="dxa"/>
          <w:right w:w="0" w:type="dxa"/>
        </w:tblCellMar>
      </w:tblPr>
      <w:tr>
        <w:trPr>
          <w:trHeight w:val="51"/>
        </w:trPr>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6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40" w:type="dxa"/>
            <w:vAlign w:val="bottom"/>
            <w:tcBorders>
              <w:right w:val="single" w:sz="8" w:color="auto"/>
            </w:tcBorders>
            <w:shd w:val="clear" w:color="auto" w:fill="CCEEFF"/>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160" w:type="dxa"/>
            <w:vAlign w:val="bottom"/>
            <w:tcBorders>
              <w:lef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rPr>
              <w:t>CERTAIN RELATIONSHIPS AND</w:t>
            </w: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PROSPECTUS SUMMARY</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3"/>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 ​ ​</w:t>
            </w:r>
          </w:p>
        </w:tc>
        <w:tc>
          <w:tcPr>
            <w:tcW w:w="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70"/>
              </w:rPr>
              <w:t>1</w:t>
            </w:r>
          </w:p>
        </w:tc>
        <w:tc>
          <w:tcPr>
            <w:tcW w:w="160" w:type="dxa"/>
            <w:vAlign w:val="bottom"/>
            <w:tcBorders>
              <w:left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2680" w:type="dxa"/>
            <w:vAlign w:val="bottom"/>
            <w:tcBorders>
              <w:bottom w:val="single" w:sz="8" w:color="0000EE"/>
            </w:tcBorders>
            <w:gridSpan w:val="10"/>
            <w:vMerge w:val="continue"/>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20" w:type="dxa"/>
            <w:vAlign w:val="bottom"/>
            <w:gridSpan w:val="6"/>
            <w:vMerge w:val="restart"/>
          </w:tcPr>
          <w:p>
            <w:pPr>
              <w:spacing w:after="0" w:line="163" w:lineRule="exact"/>
              <w:rPr>
                <w:sz w:val="20"/>
                <w:szCs w:val="20"/>
                <w:color w:val="auto"/>
              </w:rPr>
            </w:pPr>
            <w:r>
              <w:rPr>
                <w:rFonts w:ascii="Times New Roman" w:cs="Times New Roman" w:eastAsia="Times New Roman" w:hAnsi="Times New Roman"/>
                <w:sz w:val="18"/>
                <w:szCs w:val="18"/>
                <w:color w:val="0000EE"/>
              </w:rPr>
              <w:t>RELATED PERSON</w:t>
            </w:r>
          </w:p>
        </w:tc>
        <w:tc>
          <w:tcPr>
            <w:tcW w:w="8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2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4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620" w:type="dxa"/>
            <w:vAlign w:val="bottom"/>
            <w:tcBorders>
              <w:bottom w:val="single" w:sz="8" w:color="0000EE"/>
            </w:tcBorders>
            <w:gridSpan w:val="6"/>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440" w:type="dxa"/>
            <w:vAlign w:val="bottom"/>
            <w:gridSpan w:val="15"/>
            <w:vMerge w:val="continue"/>
          </w:tcPr>
          <w:p>
            <w:pPr>
              <w:spacing w:after="0"/>
              <w:rPr>
                <w:sz w:val="2"/>
                <w:szCs w:val="2"/>
                <w:color w:val="auto"/>
              </w:rPr>
            </w:pPr>
          </w:p>
        </w:tc>
        <w:tc>
          <w:tcPr>
            <w:tcW w:w="680" w:type="dxa"/>
            <w:vAlign w:val="bottom"/>
            <w:gridSpan w:val="5"/>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0" w:type="dxa"/>
            <w:vAlign w:val="bottom"/>
            <w:gridSpan w:val="14"/>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TRANSACTIONS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0" w:type="dxa"/>
            <w:vAlign w:val="bottom"/>
            <w:gridSpan w:val="1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440" w:type="dxa"/>
            <w:vAlign w:val="bottom"/>
            <w:gridSpan w:val="15"/>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SPECIAL NOTE REGARDING</w:t>
            </w:r>
          </w:p>
        </w:tc>
        <w:tc>
          <w:tcPr>
            <w:tcW w:w="2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left w:val="single" w:sz="8" w:color="CCEEFF"/>
            </w:tcBorders>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200" w:type="dxa"/>
            <w:vAlign w:val="bottom"/>
            <w:gridSpan w:val="1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40" w:type="dxa"/>
            <w:vAlign w:val="bottom"/>
            <w:gridSpan w:val="15"/>
            <w:vMerge w:val="continue"/>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440" w:type="dxa"/>
            <w:vAlign w:val="bottom"/>
            <w:gridSpan w:val="15"/>
            <w:vMerge w:val="continue"/>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tcBorders>
              <w:left w:val="single" w:sz="8" w:color="CCEEFF"/>
            </w:tcBorders>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rPr>
              <w:t>PRINCIPAL STOCKHOLDERS</w:t>
            </w: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2340" w:type="dxa"/>
            <w:vAlign w:val="bottom"/>
            <w:tcBorders>
              <w:top w:val="single" w:sz="8" w:color="0000EE"/>
              <w:bottom w:val="single" w:sz="8" w:color="0000EE"/>
              <w:right w:val="single" w:sz="8" w:color="CCEEFF"/>
            </w:tcBorders>
            <w:gridSpan w:val="10"/>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FORWARD-LOOKING</w:t>
            </w:r>
          </w:p>
        </w:tc>
        <w:tc>
          <w:tcPr>
            <w:tcW w:w="9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bottom w:val="single" w:sz="8" w:color="0000EE"/>
            </w:tcBorders>
            <w:gridSpan w:val="9"/>
            <w:vMerge w:val="continue"/>
          </w:tcPr>
          <w:p>
            <w:pPr>
              <w:spacing w:after="0"/>
              <w:rPr>
                <w:sz w:val="18"/>
                <w:szCs w:val="18"/>
                <w:color w:val="auto"/>
              </w:rPr>
            </w:pPr>
          </w:p>
        </w:tc>
        <w:tc>
          <w:tcPr>
            <w:tcW w:w="5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7"/>
              </w:rPr>
              <w:t>STATEMENTS</w:t>
            </w:r>
          </w:p>
        </w:tc>
        <w:tc>
          <w:tcPr>
            <w:tcW w:w="2080" w:type="dxa"/>
            <w:vAlign w:val="bottom"/>
            <w:gridSpan w:val="10"/>
            <w:shd w:val="clear" w:color="auto" w:fill="CCEEFF"/>
          </w:tcPr>
          <w:p>
            <w:pPr>
              <w:spacing w:after="0"/>
              <w:rPr>
                <w:sz w:val="17"/>
                <w:szCs w:val="17"/>
                <w:color w:val="auto"/>
              </w:rPr>
            </w:pPr>
          </w:p>
        </w:tc>
        <w:tc>
          <w:tcPr>
            <w:tcW w:w="520" w:type="dxa"/>
            <w:vAlign w:val="bottom"/>
            <w:gridSpan w:val="4"/>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73</w:t>
            </w:r>
          </w:p>
        </w:tc>
        <w:tc>
          <w:tcPr>
            <w:tcW w:w="160" w:type="dxa"/>
            <w:vAlign w:val="bottom"/>
            <w:tcBorders>
              <w:left w:val="single" w:sz="8" w:color="CCEEFF"/>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3480" w:type="dxa"/>
            <w:vAlign w:val="bottom"/>
            <w:gridSpan w:val="16"/>
          </w:tcPr>
          <w:p>
            <w:pPr>
              <w:ind w:left="100"/>
              <w:spacing w:after="0" w:line="18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EE"/>
              </w:rPr>
              <w:t xml:space="preserve">MARKET, INDUSTRY AND OTHER DATA </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color w:val="0000EE"/>
              </w:rPr>
              <w:t xml:space="preserve"> 75 </w:t>
            </w:r>
            <w:r>
              <w:rPr>
                <w:rFonts w:ascii="Times New Roman" w:cs="Times New Roman" w:eastAsia="Times New Roman" w:hAnsi="Times New Roman"/>
                <w:sz w:val="18"/>
                <w:szCs w:val="18"/>
                <w:b w:val="1"/>
                <w:bCs w:val="1"/>
                <w:color w:val="000000"/>
              </w:rPr>
              <w:t>​</w:t>
            </w:r>
          </w:p>
        </w:tc>
        <w:tc>
          <w:tcPr>
            <w:tcW w:w="3480" w:type="dxa"/>
            <w:vAlign w:val="bottom"/>
            <w:gridSpan w:val="16"/>
          </w:tcPr>
          <w:p>
            <w:pPr>
              <w:ind w:left="100"/>
              <w:spacing w:after="0" w:line="18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Borders>
              <w:top w:val="single" w:sz="8" w:color="0000EE"/>
            </w:tcBorders>
            <w:gridSpan w:val="12"/>
            <w:vMerge w:val="restart"/>
          </w:tcPr>
          <w:p>
            <w:pPr>
              <w:spacing w:after="0"/>
              <w:rPr>
                <w:sz w:val="20"/>
                <w:szCs w:val="20"/>
                <w:color w:val="auto"/>
              </w:rPr>
            </w:pPr>
            <w:r>
              <w:rPr>
                <w:rFonts w:ascii="Times New Roman" w:cs="Times New Roman" w:eastAsia="Times New Roman" w:hAnsi="Times New Roman"/>
                <w:sz w:val="18"/>
                <w:szCs w:val="18"/>
                <w:color w:val="0000EE"/>
              </w:rPr>
              <w:t>CERTAIN MATERIAL U.S. FEDERAL</w:t>
            </w: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78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76</w:t>
            </w:r>
          </w:p>
        </w:tc>
        <w:tc>
          <w:tcPr>
            <w:tcW w:w="1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020" w:type="dxa"/>
            <w:vAlign w:val="bottom"/>
            <w:tcBorders>
              <w:bottom w:val="single" w:sz="8" w:color="0000EE"/>
            </w:tcBorders>
            <w:gridSpan w:val="1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940" w:type="dxa"/>
            <w:vAlign w:val="bottom"/>
            <w:gridSpan w:val="12"/>
            <w:vMerge w:val="restart"/>
          </w:tcPr>
          <w:p>
            <w:pPr>
              <w:spacing w:after="0" w:line="169" w:lineRule="exact"/>
              <w:rPr>
                <w:sz w:val="20"/>
                <w:szCs w:val="20"/>
                <w:color w:val="auto"/>
              </w:rPr>
            </w:pPr>
            <w:r>
              <w:rPr>
                <w:rFonts w:ascii="Times New Roman" w:cs="Times New Roman" w:eastAsia="Times New Roman" w:hAnsi="Times New Roman"/>
                <w:sz w:val="18"/>
                <w:szCs w:val="18"/>
                <w:color w:val="0000EE"/>
              </w:rPr>
              <w:t>INCOME TAX CONSEQUENCES TO</w:t>
            </w: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4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6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color w:val="0000EE"/>
              </w:rPr>
              <w:t>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940" w:type="dxa"/>
            <w:vAlign w:val="bottom"/>
            <w:tcBorders>
              <w:bottom w:val="single" w:sz="8" w:color="0000EE"/>
            </w:tcBorders>
            <w:gridSpan w:val="1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440" w:type="dxa"/>
            <w:vAlign w:val="bottom"/>
            <w:gridSpan w:val="15"/>
            <w:vMerge w:val="continue"/>
          </w:tcPr>
          <w:p>
            <w:pPr>
              <w:spacing w:after="0"/>
              <w:rPr>
                <w:sz w:val="2"/>
                <w:szCs w:val="2"/>
                <w:color w:val="auto"/>
              </w:rPr>
            </w:pPr>
          </w:p>
        </w:tc>
        <w:tc>
          <w:tcPr>
            <w:tcW w:w="680" w:type="dxa"/>
            <w:vAlign w:val="bottom"/>
            <w:gridSpan w:val="5"/>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NON-U.S. HOLDERS</w:t>
            </w:r>
          </w:p>
        </w:tc>
        <w:tc>
          <w:tcPr>
            <w:tcW w:w="1500" w:type="dxa"/>
            <w:vAlign w:val="bottom"/>
            <w:gridSpan w:val="7"/>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00" w:type="dxa"/>
            <w:vAlign w:val="bottom"/>
            <w:gridSpan w:val="7"/>
            <w:vMerge w:val="continue"/>
          </w:tcPr>
          <w:p>
            <w:pPr>
              <w:spacing w:after="0" w:line="20" w:lineRule="exact"/>
              <w:rPr>
                <w:sz w:val="1"/>
                <w:szCs w:val="1"/>
                <w:color w:val="auto"/>
              </w:rPr>
            </w:pPr>
          </w:p>
        </w:tc>
        <w:tc>
          <w:tcPr>
            <w:tcW w:w="150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Borders>
              <w:bottom w:val="single" w:sz="8" w:color="CCEEFF"/>
            </w:tcBorders>
            <w:shd w:val="clear" w:color="auto" w:fill="CCEEFF"/>
          </w:tcPr>
          <w:p>
            <w:pPr>
              <w:spacing w:after="0"/>
              <w:rPr>
                <w:sz w:val="10"/>
                <w:szCs w:val="10"/>
                <w:color w:val="auto"/>
              </w:rPr>
            </w:pPr>
          </w:p>
        </w:tc>
        <w:tc>
          <w:tcPr>
            <w:tcW w:w="1480" w:type="dxa"/>
            <w:vAlign w:val="bottom"/>
            <w:tcBorders>
              <w:bottom w:val="single" w:sz="8" w:color="CCEEFF"/>
            </w:tcBorders>
            <w:gridSpan w:val="5"/>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80" w:type="dxa"/>
            <w:vAlign w:val="bottom"/>
            <w:tcBorders>
              <w:bottom w:val="single" w:sz="8" w:color="CCEEFF"/>
            </w:tcBorders>
            <w:gridSpan w:val="2"/>
            <w:vMerge w:val="restart"/>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79</w:t>
            </w:r>
          </w:p>
        </w:tc>
        <w:tc>
          <w:tcPr>
            <w:tcW w:w="16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700" w:type="dxa"/>
            <w:vAlign w:val="bottom"/>
            <w:tcBorders>
              <w:bottom w:val="single" w:sz="8" w:color="0000EE"/>
            </w:tcBorders>
            <w:gridSpan w:val="7"/>
            <w:vMerge w:val="continue"/>
          </w:tcPr>
          <w:p>
            <w:pPr>
              <w:spacing w:after="0"/>
              <w:rPr>
                <w:sz w:val="10"/>
                <w:szCs w:val="10"/>
                <w:color w:val="auto"/>
              </w:rPr>
            </w:pPr>
          </w:p>
        </w:tc>
        <w:tc>
          <w:tcPr>
            <w:tcW w:w="15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CCEEFF"/>
            </w:tcBorders>
            <w:shd w:val="clear" w:color="auto" w:fill="CCEEFF"/>
          </w:tcPr>
          <w:p>
            <w:pPr>
              <w:spacing w:after="0"/>
              <w:rPr>
                <w:sz w:val="6"/>
                <w:szCs w:val="6"/>
                <w:color w:val="auto"/>
              </w:rPr>
            </w:pPr>
          </w:p>
        </w:tc>
        <w:tc>
          <w:tcPr>
            <w:tcW w:w="1480" w:type="dxa"/>
            <w:vAlign w:val="bottom"/>
            <w:tcBorders>
              <w:bottom w:val="single" w:sz="8" w:color="0000EE"/>
            </w:tcBorders>
            <w:gridSpan w:val="5"/>
            <w:vMerge w:val="continue"/>
            <w:shd w:val="clear" w:color="auto" w:fill="CCEEFF"/>
          </w:tcPr>
          <w:p>
            <w:pPr>
              <w:spacing w:after="0"/>
              <w:rPr>
                <w:sz w:val="6"/>
                <w:szCs w:val="6"/>
                <w:color w:val="auto"/>
              </w:rPr>
            </w:pPr>
          </w:p>
        </w:tc>
        <w:tc>
          <w:tcPr>
            <w:tcW w:w="920" w:type="dxa"/>
            <w:vAlign w:val="bottom"/>
            <w:tcBorders>
              <w:bottom w:val="single" w:sz="8" w:color="CCEEFF"/>
            </w:tcBorders>
            <w:gridSpan w:val="5"/>
            <w:shd w:val="clear" w:color="auto" w:fill="CCEEFF"/>
          </w:tcPr>
          <w:p>
            <w:pPr>
              <w:spacing w:after="0"/>
              <w:rPr>
                <w:sz w:val="6"/>
                <w:szCs w:val="6"/>
                <w:color w:val="auto"/>
              </w:rPr>
            </w:pPr>
          </w:p>
        </w:tc>
        <w:tc>
          <w:tcPr>
            <w:tcW w:w="100" w:type="dxa"/>
            <w:vAlign w:val="bottom"/>
            <w:tcBorders>
              <w:bottom w:val="single" w:sz="8" w:color="CCEEFF"/>
              <w:right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gridSpan w:val="2"/>
            <w:vMerge w:val="continue"/>
            <w:shd w:val="clear" w:color="auto" w:fill="CCEEFF"/>
          </w:tcPr>
          <w:p>
            <w:pPr>
              <w:spacing w:after="0"/>
              <w:rPr>
                <w:sz w:val="6"/>
                <w:szCs w:val="6"/>
                <w:color w:val="auto"/>
              </w:rPr>
            </w:pPr>
          </w:p>
        </w:tc>
        <w:tc>
          <w:tcPr>
            <w:tcW w:w="180" w:type="dxa"/>
            <w:vAlign w:val="bottom"/>
            <w:tcBorders>
              <w:bottom w:val="single" w:sz="8" w:color="0000EE"/>
            </w:tcBorders>
            <w:gridSpan w:val="2"/>
            <w:vMerge w:val="continue"/>
            <w:shd w:val="clear" w:color="auto" w:fill="CCEEFF"/>
          </w:tcPr>
          <w:p>
            <w:pPr>
              <w:spacing w:after="0"/>
              <w:rPr>
                <w:sz w:val="6"/>
                <w:szCs w:val="6"/>
                <w:color w:val="auto"/>
              </w:rPr>
            </w:pPr>
          </w:p>
        </w:tc>
        <w:tc>
          <w:tcPr>
            <w:tcW w:w="160" w:type="dxa"/>
            <w:vAlign w:val="bottom"/>
            <w:tcBorders>
              <w:left w:val="single" w:sz="8" w:color="CCEEFF"/>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rPr>
              <w:t>UNDERWRITING</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780" w:type="dxa"/>
            <w:vAlign w:val="bottom"/>
            <w:gridSpan w:val="9"/>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1"/>
                <w:szCs w:val="11"/>
                <w:color w:val="auto"/>
              </w:rPr>
            </w:pPr>
          </w:p>
        </w:tc>
        <w:tc>
          <w:tcPr>
            <w:tcW w:w="8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9"/>
              </w:rPr>
              <w:t>DILUTION</w:t>
            </w:r>
          </w:p>
        </w:tc>
        <w:tc>
          <w:tcPr>
            <w:tcW w:w="460" w:type="dxa"/>
            <w:vAlign w:val="bottom"/>
          </w:tcPr>
          <w:p>
            <w:pPr>
              <w:spacing w:after="0"/>
              <w:rPr>
                <w:sz w:val="11"/>
                <w:szCs w:val="11"/>
                <w:color w:val="auto"/>
              </w:rPr>
            </w:pPr>
          </w:p>
        </w:tc>
        <w:tc>
          <w:tcPr>
            <w:tcW w:w="1060" w:type="dxa"/>
            <w:vAlign w:val="bottom"/>
            <w:gridSpan w:val="6"/>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11"/>
                <w:szCs w:val="11"/>
                <w:color w:val="auto"/>
              </w:rPr>
            </w:pPr>
          </w:p>
        </w:tc>
        <w:tc>
          <w:tcPr>
            <w:tcW w:w="1460" w:type="dxa"/>
            <w:vAlign w:val="bottom"/>
            <w:tcBorders>
              <w:bottom w:val="single" w:sz="8" w:color="0000EE"/>
            </w:tcBorders>
            <w:gridSpan w:val="4"/>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780" w:type="dxa"/>
            <w:vAlign w:val="bottom"/>
            <w:gridSpan w:val="9"/>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80" w:type="dxa"/>
            <w:vAlign w:val="bottom"/>
            <w:tcBorders>
              <w:bottom w:val="single" w:sz="8" w:color="0000EE"/>
            </w:tcBorders>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gridSpan w:val="6"/>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180" w:type="dxa"/>
            <w:vAlign w:val="bottom"/>
            <w:tcBorders>
              <w:bottom w:val="single" w:sz="8" w:color="0000EE"/>
            </w:tcBorders>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3480" w:type="dxa"/>
            <w:vAlign w:val="bottom"/>
            <w:gridSpan w:val="16"/>
            <w:vMerge w:val="restart"/>
          </w:tcPr>
          <w:p>
            <w:pPr>
              <w:ind w:left="100"/>
              <w:spacing w:after="0"/>
              <w:rPr>
                <w:sz w:val="20"/>
                <w:szCs w:val="20"/>
                <w:color w:val="auto"/>
              </w:rPr>
            </w:pPr>
            <w:r>
              <w:rPr>
                <w:rFonts w:ascii="Times New Roman" w:cs="Times New Roman" w:eastAsia="Times New Roman" w:hAnsi="Times New Roman"/>
                <w:sz w:val="18"/>
                <w:szCs w:val="18"/>
                <w:color w:val="0000EE"/>
              </w:rPr>
              <w:t>LEGAL MATTERS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gridSpan w:val="1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440" w:type="dxa"/>
            <w:vAlign w:val="bottom"/>
            <w:gridSpan w:val="15"/>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MANAGEMENT’S DISCUSSION AND</w:t>
            </w: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left w:val="single" w:sz="8" w:color="CCEEFF"/>
            </w:tcBorders>
          </w:tcPr>
          <w:p>
            <w:pPr>
              <w:spacing w:after="0"/>
              <w:rPr>
                <w:sz w:val="11"/>
                <w:szCs w:val="11"/>
                <w:color w:val="auto"/>
              </w:rPr>
            </w:pPr>
          </w:p>
        </w:tc>
        <w:tc>
          <w:tcPr>
            <w:tcW w:w="3480" w:type="dxa"/>
            <w:vAlign w:val="bottom"/>
            <w:gridSpan w:val="1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440" w:type="dxa"/>
            <w:vAlign w:val="bottom"/>
            <w:tcBorders>
              <w:top w:val="single" w:sz="8" w:color="CCEEFF"/>
            </w:tcBorders>
            <w:gridSpan w:val="15"/>
            <w:vMerge w:val="continue"/>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left w:val="single" w:sz="8" w:color="CCEEFF"/>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5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2920" w:type="dxa"/>
            <w:vAlign w:val="bottom"/>
            <w:tcBorders>
              <w:top w:val="single" w:sz="8" w:color="0000EE"/>
              <w:bottom w:val="single" w:sz="8" w:color="0000EE"/>
            </w:tcBorders>
            <w:gridSpan w:val="1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ANALYSIS OF FINANCIAL</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0000EE"/>
              <w:bottom w:val="single" w:sz="8" w:color="0000EE"/>
            </w:tcBorders>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10"/>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60" w:type="dxa"/>
            <w:vAlign w:val="bottom"/>
            <w:gridSpan w:val="1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0000EE"/>
              </w:rPr>
              <w:t>CONDITION AND RESULTS OF</w:t>
            </w: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left w:val="single" w:sz="8" w:color="CCEEFF"/>
            </w:tcBorders>
          </w:tcPr>
          <w:p>
            <w:pPr>
              <w:spacing w:after="0"/>
              <w:rPr>
                <w:sz w:val="15"/>
                <w:szCs w:val="15"/>
                <w:color w:val="auto"/>
              </w:rPr>
            </w:pPr>
          </w:p>
        </w:tc>
        <w:tc>
          <w:tcPr>
            <w:tcW w:w="3480" w:type="dxa"/>
            <w:vAlign w:val="bottom"/>
            <w:gridSpan w:val="16"/>
          </w:tcPr>
          <w:p>
            <w:pPr>
              <w:ind w:left="100"/>
              <w:spacing w:after="0" w:line="183" w:lineRule="exact"/>
              <w:rPr>
                <w:sz w:val="20"/>
                <w:szCs w:val="20"/>
                <w:color w:val="auto"/>
              </w:rPr>
            </w:pPr>
            <w:r>
              <w:rPr>
                <w:rFonts w:ascii="Times New Roman" w:cs="Times New Roman" w:eastAsia="Times New Roman" w:hAnsi="Times New Roman"/>
                <w:sz w:val="18"/>
                <w:szCs w:val="18"/>
                <w:color w:val="0000EE"/>
              </w:rPr>
              <w:t>WHERE YOU CAN FIND ADDITIONAL</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0000EE"/>
              <w:right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OPERATIONS</w:t>
            </w:r>
          </w:p>
        </w:tc>
        <w:tc>
          <w:tcPr>
            <w:tcW w:w="1420" w:type="dxa"/>
            <w:vAlign w:val="bottom"/>
            <w:tcBorders>
              <w:top w:val="single" w:sz="8" w:color="0000EE"/>
            </w:tcBorders>
            <w:gridSpan w:val="8"/>
            <w:shd w:val="clear" w:color="auto" w:fill="CCEEFF"/>
          </w:tcPr>
          <w:p>
            <w:pPr>
              <w:spacing w:after="0"/>
              <w:rPr>
                <w:sz w:val="17"/>
                <w:szCs w:val="17"/>
                <w:color w:val="auto"/>
              </w:rPr>
            </w:pPr>
          </w:p>
        </w:tc>
        <w:tc>
          <w:tcPr>
            <w:tcW w:w="660" w:type="dxa"/>
            <w:vAlign w:val="bottom"/>
            <w:tcBorders>
              <w:top w:val="single" w:sz="8" w:color="CCEEFF"/>
            </w:tcBorders>
            <w:gridSpan w:val="2"/>
            <w:shd w:val="clear" w:color="auto" w:fill="CCEEFF"/>
          </w:tcPr>
          <w:p>
            <w:pPr>
              <w:spacing w:after="0"/>
              <w:rPr>
                <w:sz w:val="17"/>
                <w:szCs w:val="17"/>
                <w:color w:val="auto"/>
              </w:rPr>
            </w:pPr>
          </w:p>
        </w:tc>
        <w:tc>
          <w:tcPr>
            <w:tcW w:w="520" w:type="dxa"/>
            <w:vAlign w:val="bottom"/>
            <w:tcBorders>
              <w:top w:val="single" w:sz="8" w:color="CCEEFF"/>
            </w:tcBorders>
            <w:gridSpan w:val="4"/>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84</w:t>
            </w:r>
          </w:p>
        </w:tc>
        <w:tc>
          <w:tcPr>
            <w:tcW w:w="160" w:type="dxa"/>
            <w:vAlign w:val="bottom"/>
            <w:tcBorders>
              <w:left w:val="single" w:sz="8" w:color="CCEEFF"/>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100" w:type="dxa"/>
            <w:vAlign w:val="bottom"/>
            <w:tcBorders>
              <w:top w:val="single" w:sz="8" w:color="0000EE"/>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EE"/>
              </w:rPr>
              <w:t>INFORMATION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0000EE"/>
          </w:tcPr>
          <w:p>
            <w:pPr>
              <w:spacing w:after="0"/>
              <w:rPr>
                <w:sz w:val="2"/>
                <w:szCs w:val="2"/>
                <w:color w:val="auto"/>
              </w:rPr>
            </w:pPr>
          </w:p>
        </w:tc>
        <w:tc>
          <w:tcPr>
            <w:tcW w:w="460" w:type="dxa"/>
            <w:vAlign w:val="bottom"/>
            <w:tcBorders>
              <w:bottom w:val="single" w:sz="8" w:color="CCEEFF"/>
              <w:right w:val="single" w:sz="8" w:color="0000EE"/>
            </w:tcBorders>
            <w:shd w:val="clear" w:color="auto" w:fill="0000EE"/>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right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shd w:val="clear" w:color="auto" w:fill="CCEEFF"/>
          </w:tcPr>
          <w:p>
            <w:pPr>
              <w:spacing w:after="0"/>
              <w:rPr>
                <w:sz w:val="2"/>
                <w:szCs w:val="2"/>
                <w:color w:val="auto"/>
              </w:rPr>
            </w:pPr>
          </w:p>
        </w:tc>
        <w:tc>
          <w:tcPr>
            <w:tcW w:w="34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right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60" w:type="dxa"/>
            <w:vAlign w:val="bottom"/>
            <w:tcBorders>
              <w:left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BUSINESS</w:t>
            </w:r>
          </w:p>
        </w:tc>
        <w:tc>
          <w:tcPr>
            <w:tcW w:w="480" w:type="dxa"/>
            <w:vAlign w:val="bottom"/>
            <w:gridSpan w:val="2"/>
          </w:tcPr>
          <w:p>
            <w:pPr>
              <w:spacing w:after="0"/>
              <w:rPr>
                <w:sz w:val="19"/>
                <w:szCs w:val="19"/>
                <w:color w:val="auto"/>
              </w:rPr>
            </w:pPr>
          </w:p>
        </w:tc>
        <w:tc>
          <w:tcPr>
            <w:tcW w:w="1160" w:type="dxa"/>
            <w:vAlign w:val="bottom"/>
            <w:gridSpan w:val="7"/>
          </w:tcPr>
          <w:p>
            <w:pPr>
              <w:spacing w:after="0"/>
              <w:rPr>
                <w:sz w:val="19"/>
                <w:szCs w:val="19"/>
                <w:color w:val="auto"/>
              </w:rPr>
            </w:pPr>
          </w:p>
        </w:tc>
        <w:tc>
          <w:tcPr>
            <w:tcW w:w="920" w:type="dxa"/>
            <w:vAlign w:val="bottom"/>
            <w:gridSpan w:val="3"/>
          </w:tcPr>
          <w:p>
            <w:pPr>
              <w:spacing w:after="0"/>
              <w:rPr>
                <w:sz w:val="19"/>
                <w:szCs w:val="19"/>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color w:val="0000EE"/>
                <w:w w:val="96"/>
              </w:rPr>
              <w:t>103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380" w:type="dxa"/>
            <w:vAlign w:val="bottom"/>
            <w:tcBorders>
              <w:bottom w:val="single" w:sz="8" w:color="0000EE"/>
            </w:tcBorders>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INDEX TO CONSOLIDATED FINANCIAL</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right w:val="single" w:sz="8" w:color="CCEEFF"/>
            </w:tcBorders>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MANAGEMENT</w:t>
            </w:r>
          </w:p>
        </w:tc>
        <w:tc>
          <w:tcPr>
            <w:tcW w:w="1160" w:type="dxa"/>
            <w:vAlign w:val="bottom"/>
            <w:tcBorders>
              <w:bottom w:val="single" w:sz="8" w:color="CCEEFF"/>
              <w:right w:val="single" w:sz="8" w:color="CCEEFF"/>
            </w:tcBorders>
            <w:gridSpan w:val="7"/>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spacing w:after="0"/>
              <w:rPr>
                <w:sz w:val="15"/>
                <w:szCs w:val="15"/>
                <w:color w:val="auto"/>
              </w:rPr>
            </w:pPr>
          </w:p>
        </w:tc>
        <w:tc>
          <w:tcPr>
            <w:tcW w:w="240" w:type="dxa"/>
            <w:vAlign w:val="bottom"/>
            <w:tcBorders>
              <w:bottom w:val="single" w:sz="8" w:color="CCEEFF"/>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color w:val="0000EE"/>
                <w:w w:val="96"/>
              </w:rPr>
              <w:t>149</w:t>
            </w:r>
          </w:p>
        </w:tc>
        <w:tc>
          <w:tcPr>
            <w:tcW w:w="16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7"/>
              </w:rPr>
              <w:t>STATEMENTS</w:t>
            </w:r>
          </w:p>
        </w:tc>
        <w:tc>
          <w:tcPr>
            <w:tcW w:w="2040" w:type="dxa"/>
            <w:vAlign w:val="bottom"/>
            <w:gridSpan w:val="1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shd w:val="clear" w:color="auto" w:fill="CCEEFF"/>
          </w:tcPr>
          <w:p>
            <w:pPr>
              <w:spacing w:after="0"/>
              <w:rPr>
                <w:sz w:val="2"/>
                <w:szCs w:val="2"/>
                <w:color w:val="auto"/>
              </w:rPr>
            </w:pPr>
          </w:p>
        </w:tc>
        <w:tc>
          <w:tcPr>
            <w:tcW w:w="1340" w:type="dxa"/>
            <w:vAlign w:val="bottom"/>
            <w:tcBorders>
              <w:bottom w:val="single" w:sz="8" w:color="0000EE"/>
              <w:right w:val="single" w:sz="8" w:color="CCEEFF"/>
            </w:tcBorders>
            <w:gridSpan w:val="4"/>
            <w:vMerge w:val="continue"/>
            <w:shd w:val="clear" w:color="auto" w:fill="CCEEFF"/>
          </w:tcPr>
          <w:p>
            <w:pPr>
              <w:spacing w:after="0"/>
              <w:rPr>
                <w:sz w:val="2"/>
                <w:szCs w:val="2"/>
                <w:color w:val="auto"/>
              </w:rPr>
            </w:pPr>
          </w:p>
        </w:tc>
        <w:tc>
          <w:tcPr>
            <w:tcW w:w="1160" w:type="dxa"/>
            <w:vAlign w:val="bottom"/>
            <w:tcBorders>
              <w:bottom w:val="single" w:sz="8" w:color="CCEEFF"/>
              <w:right w:val="single" w:sz="8" w:color="CCEEFF"/>
            </w:tcBorders>
            <w:gridSpan w:val="7"/>
            <w:shd w:val="clear" w:color="auto" w:fill="CCEEFF"/>
          </w:tcPr>
          <w:p>
            <w:pPr>
              <w:spacing w:after="0"/>
              <w:rPr>
                <w:sz w:val="2"/>
                <w:szCs w:val="2"/>
                <w:color w:val="auto"/>
              </w:rPr>
            </w:pPr>
          </w:p>
        </w:tc>
        <w:tc>
          <w:tcPr>
            <w:tcW w:w="920" w:type="dxa"/>
            <w:vAlign w:val="bottom"/>
            <w:tcBorders>
              <w:bottom w:val="single" w:sz="8" w:color="CCEEFF"/>
            </w:tcBorders>
            <w:gridSpan w:val="3"/>
            <w:shd w:val="clear" w:color="auto" w:fill="CCEEFF"/>
          </w:tcPr>
          <w:p>
            <w:pPr>
              <w:spacing w:after="0"/>
              <w:rPr>
                <w:sz w:val="2"/>
                <w:szCs w:val="2"/>
                <w:color w:val="auto"/>
              </w:rPr>
            </w:pPr>
          </w:p>
        </w:tc>
        <w:tc>
          <w:tcPr>
            <w:tcW w:w="240" w:type="dxa"/>
            <w:vAlign w:val="bottom"/>
            <w:tcBorders>
              <w:bottom w:val="single" w:sz="8" w:color="CCEEFF"/>
              <w:right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0000EE"/>
            </w:tcBorders>
            <w:gridSpan w:val="3"/>
            <w:vMerge w:val="continue"/>
            <w:shd w:val="clear" w:color="auto" w:fill="CCEEFF"/>
          </w:tcPr>
          <w:p>
            <w:pPr>
              <w:spacing w:after="0"/>
              <w:rPr>
                <w:sz w:val="2"/>
                <w:szCs w:val="2"/>
                <w:color w:val="auto"/>
              </w:rPr>
            </w:pPr>
          </w:p>
        </w:tc>
        <w:tc>
          <w:tcPr>
            <w:tcW w:w="160" w:type="dxa"/>
            <w:vAlign w:val="bottom"/>
            <w:tcBorders>
              <w:left w:val="single" w:sz="8" w:color="CCEEFF"/>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40" w:type="dxa"/>
            <w:vAlign w:val="bottom"/>
            <w:gridSpan w:val="1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920" w:type="dxa"/>
            <w:vAlign w:val="bottom"/>
            <w:gridSpan w:val="3"/>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257175</wp:posOffset>
            </wp:positionV>
            <wp:extent cx="1097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-2022475</wp:posOffset>
            </wp:positionV>
            <wp:extent cx="253746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37460" cy="16319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-1696720</wp:posOffset>
            </wp:positionV>
            <wp:extent cx="2537460"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7460" cy="43688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-1096645</wp:posOffset>
            </wp:positionV>
            <wp:extent cx="253746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37460" cy="16256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-770890</wp:posOffset>
            </wp:positionV>
            <wp:extent cx="253746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3746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10" w:lineRule="exact"/>
        <w:rPr>
          <w:sz w:val="20"/>
          <w:szCs w:val="20"/>
          <w:color w:val="auto"/>
        </w:rPr>
      </w:pPr>
    </w:p>
    <w:p>
      <w:pPr>
        <w:sectPr>
          <w:pgSz w:w="11900" w:h="16838" w:orient="portrait"/>
          <w:cols w:equalWidth="0" w:num="2">
            <w:col w:w="8860" w:space="100"/>
            <w:col w:w="919"/>
          </w:cols>
          <w:pgMar w:left="580" w:top="97" w:right="1440"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340"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jc w:val="both"/>
        <w:ind w:left="1280" w:right="399"/>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This summary does not contain all of the information you should consider before investing in our common stock. You should carefully read this entire prospectus, including the information under the sections titled “Risk Factors,” “Special Note Regarding Forward-Looking Statements” and “Management’s Discussion and Analysis of Financial Condition and Results of Operations” and our consolidated financial statements and related notes included elsewhere in this prospectus, before making an investment decision. Unless the context requires otherwise, references in this prospectus to “Alumis,” the “Company,” “we,” “us” and “our” refer to Alumis Inc.</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1280" w:right="399"/>
        <w:spacing w:after="0" w:line="266" w:lineRule="auto"/>
        <w:rPr>
          <w:sz w:val="20"/>
          <w:szCs w:val="20"/>
          <w:color w:val="auto"/>
        </w:rPr>
      </w:pPr>
      <w:r>
        <w:rPr>
          <w:rFonts w:ascii="Times New Roman" w:cs="Times New Roman" w:eastAsia="Times New Roman" w:hAnsi="Times New Roman"/>
          <w:sz w:val="18"/>
          <w:szCs w:val="18"/>
          <w:color w:val="auto"/>
        </w:rPr>
        <w:t>Our mission is to significantly improve the lives of patients by replacing broad immunosuppression with targeted therapies. Our name, Alumis, captures our mission to enlighten immunology, and is inspired by the words “allumer”—French for illuminate—and “immunis”—Latin for the immune system.</w:t>
      </w:r>
    </w:p>
    <w:p>
      <w:pPr>
        <w:spacing w:after="0" w:line="95" w:lineRule="exact"/>
        <w:rPr>
          <w:sz w:val="20"/>
          <w:szCs w:val="20"/>
          <w:color w:val="auto"/>
        </w:rPr>
      </w:pPr>
    </w:p>
    <w:p>
      <w:pPr>
        <w:jc w:val="both"/>
        <w:ind w:left="1280" w:right="399"/>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with an initial focus on developing our two Tyrosine Kinase 2 (TYK2) inhibitors: ESK-001, a second-generation inhibitor that we are developing to maximize target inhibition and optimize tolerability, and A-005, a central nervous system (CNS) penetrant molecule. ESK-001 has demonstrated significant therapeutic effect in our Phase 2 program in patients with PsO, which we define as moderate-to-severe plaque psoriasis (PsO), and is currently being evaluated in an additional Phase 2 clinical trial in patients with systemic lupus erythematosus (SLE), for which we expect to report results in 2026. With the favorable results in our Phase 2 clinical trial in PsO, we intend to initiate multiple Phase 3 clinical trials of ESK-001 in the second half of 2024 in this indication. TYK2 genetic mutations are associated with a strong protective effect in multiple sclerosis, motivating us to develop our second product candidate, A-005, as a CNS-penetrant, allosteric TYK2 inhibitor for neuroinflammatory and neurodegenerative diseases. In April 2024, we initiated our Phase 1 program of A-005 in healthy volunteers and expect to report initial results by the end of 2024.</w:t>
      </w:r>
    </w:p>
    <w:p>
      <w:pPr>
        <w:spacing w:after="0" w:line="340" w:lineRule="exact"/>
        <w:rPr>
          <w:sz w:val="20"/>
          <w:szCs w:val="20"/>
          <w:color w:val="auto"/>
        </w:rPr>
      </w:pPr>
    </w:p>
    <w:p>
      <w:pPr>
        <w:jc w:val="both"/>
        <w:ind w:left="1280" w:right="399"/>
        <w:spacing w:after="0" w:line="256" w:lineRule="auto"/>
        <w:rPr>
          <w:sz w:val="20"/>
          <w:szCs w:val="20"/>
          <w:color w:val="auto"/>
        </w:rPr>
      </w:pPr>
      <w:r>
        <w:rPr>
          <w:rFonts w:ascii="Times New Roman" w:cs="Times New Roman" w:eastAsia="Times New Roman" w:hAnsi="Times New Roman"/>
          <w:sz w:val="18"/>
          <w:szCs w:val="18"/>
          <w:color w:val="auto"/>
        </w:rPr>
        <w:t>We utilize our proprietary precision data analytics platform, biological insights and team of experienced research and development experts to deepen our understanding of disease pathologies, accelerate research and development and increase the probability of clinical success. Our collective insights informed our selection of TYK2 as the target for our two lead programs. Beyond TYK2, our proprietary precision data analytics platform and drug discovery expertise have led to the identification of additional preclinical programs that exemplify our precision approach.</w:t>
      </w:r>
    </w:p>
    <w:p>
      <w:pPr>
        <w:spacing w:after="0" w:line="120" w:lineRule="exact"/>
        <w:rPr>
          <w:sz w:val="20"/>
          <w:szCs w:val="20"/>
          <w:color w:val="auto"/>
        </w:rPr>
      </w:pPr>
    </w:p>
    <w:p>
      <w:pPr>
        <w:jc w:val="both"/>
        <w:ind w:left="1280" w:right="399"/>
        <w:spacing w:after="0" w:line="261" w:lineRule="auto"/>
        <w:rPr>
          <w:sz w:val="20"/>
          <w:szCs w:val="20"/>
          <w:color w:val="auto"/>
        </w:rPr>
      </w:pPr>
      <w:r>
        <w:rPr>
          <w:rFonts w:ascii="Times New Roman" w:cs="Times New Roman" w:eastAsia="Times New Roman" w:hAnsi="Times New Roman"/>
          <w:sz w:val="18"/>
          <w:szCs w:val="18"/>
          <w:color w:val="auto"/>
        </w:rPr>
        <w:t>We recognize that patients living with immune-mediated diseases need alternatives to currently available therapies. Despite recent advances and innovations in the treatment of immune-mediated diseases, many patients continue to suffer, cycling through currently approved therapies while looking for a solution that alleviates the debilitating impact of their disease without life-limiting side effects.</w:t>
      </w:r>
    </w:p>
    <w:p>
      <w:pPr>
        <w:spacing w:after="0" w:line="99"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Addressing the needs of these patients is why we exist. We are pioneering a precision approach that leverages insights derived from powerful data analytics to select the right target, right molecule, right indication, right patient, right endpoint and right combination to dramatically improve patient outcomes. We believe that combining our insights with an integrated approach to drug development will produce the next generation of treatments to address immune dysfunction.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8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62" w:lineRule="exact"/>
        <w:rPr>
          <w:sz w:val="20"/>
          <w:szCs w:val="20"/>
          <w:color w:val="auto"/>
        </w:rPr>
      </w:pPr>
    </w:p>
    <w:p>
      <w:pPr>
        <w:jc w:val="both"/>
        <w:ind w:left="1280" w:right="399"/>
        <w:spacing w:after="0" w:line="256" w:lineRule="auto"/>
        <w:rPr>
          <w:sz w:val="20"/>
          <w:szCs w:val="20"/>
          <w:color w:val="auto"/>
        </w:rPr>
      </w:pPr>
      <w:r>
        <w:rPr>
          <w:rFonts w:ascii="Times New Roman" w:cs="Times New Roman" w:eastAsia="Times New Roman" w:hAnsi="Times New Roman"/>
          <w:sz w:val="18"/>
          <w:szCs w:val="18"/>
          <w:color w:val="auto"/>
        </w:rPr>
        <w:t>We are building a pipeline of molecules with the potential to address a broad range of immune-mediated diseases as monotherapy or combination therapies. Within our TYK2 franchise, we are developing our most advanced product candidate, ESK-001, an allosteric TYK2 inhibitor for the treatment of PsO and SLE. We are developing our second TYK2 product candidate, A-005, as a CNS-penetrant, allosteric TYK2 inhibitor, to offer the therapeutic benefit of TYK2 inhibition within the CNS for a broad range of neuroinflammatory and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280" w:right="399"/>
        <w:spacing w:after="0" w:line="252" w:lineRule="auto"/>
        <w:rPr>
          <w:sz w:val="20"/>
          <w:szCs w:val="20"/>
          <w:color w:val="auto"/>
        </w:rPr>
      </w:pPr>
      <w:r>
        <w:rPr>
          <w:rFonts w:ascii="Times New Roman" w:cs="Times New Roman" w:eastAsia="Times New Roman" w:hAnsi="Times New Roman"/>
          <w:sz w:val="18"/>
          <w:szCs w:val="18"/>
          <w:color w:val="auto"/>
        </w:rPr>
        <w:t>Our most advanced product candidate, ESK-001, is an oral, highly selective, small molecule, allosteric inhibitor of TYK2. At the 2024 American Academy of Dermatology (AAD) Annual Meeting in March 2024, we announced positive data from our Phase 2 clinical program of ESK-001 in patients with PsO, which included the results of our Phase 2 STRIDE trial and interim results of our open label extension (OLE) as of a December 8, 2023 data cut. An additional OLE data cut was performed when all patients reached 28 weeks of treatment based on data through March 1, 2024. Our data demonstrated that ESK-001’s ability to maximally inhibit TYK2 translates to the achievement of high rates of response, as measured by the Psoriasis Area and Severity Index (PASI), in patients, with response rates in the range observed with existing biologic therapies. Our Phase 2 STRIDE trial, in which 228 patients with PsO were randomized to one of five ESK-001 dose cohorts or placebo, met its primary endpoint, the proportion of patients achieving a 75% improvement in the PASI Score (PASI 75) at week 12 compared to placebo, and key secondary efficacy endpoints at all clinically relevant doses tested. Clear dose-dependent responses were observed, with the highest response rates and maximal TYK2 inhibition achieved at the highest dose of 40 mg twice daily (BID). At the 40 mg BID dose and at the 40 mg once daily (QD) dose, 64% and 56% of evaluable patients, respectively, achieved PASI 75 at week 12 compared to 0% for placebo. See the subsection titled “</w:t>
      </w:r>
      <w:r>
        <w:rPr>
          <w:rFonts w:ascii="Times New Roman" w:cs="Times New Roman" w:eastAsia="Times New Roman" w:hAnsi="Times New Roman"/>
          <w:sz w:val="18"/>
          <w:szCs w:val="18"/>
          <w:i w:val="1"/>
          <w:iCs w:val="1"/>
          <w:color w:val="auto"/>
        </w:rPr>
        <w:t>Business—Our TYK2 Franchise</w:t>
      </w:r>
      <w:r>
        <w:rPr>
          <w:rFonts w:ascii="Times New Roman" w:cs="Times New Roman" w:eastAsia="Times New Roman" w:hAnsi="Times New Roman"/>
          <w:sz w:val="18"/>
          <w:szCs w:val="18"/>
          <w:color w:val="auto"/>
        </w:rPr>
        <w:t>” for a summary of certain adverse events observed in our Phase 2 STRIDE Trial.</w:t>
      </w:r>
    </w:p>
    <w:p>
      <w:pPr>
        <w:spacing w:after="0" w:line="330" w:lineRule="exact"/>
        <w:rPr>
          <w:sz w:val="20"/>
          <w:szCs w:val="20"/>
          <w:color w:val="auto"/>
        </w:rPr>
      </w:pPr>
    </w:p>
    <w:p>
      <w:pPr>
        <w:jc w:val="both"/>
        <w:ind w:left="1280" w:right="399"/>
        <w:spacing w:after="0" w:line="252" w:lineRule="auto"/>
        <w:rPr>
          <w:sz w:val="20"/>
          <w:szCs w:val="20"/>
          <w:color w:val="auto"/>
        </w:rPr>
      </w:pPr>
      <w:r>
        <w:rPr>
          <w:rFonts w:ascii="Times New Roman" w:cs="Times New Roman" w:eastAsia="Times New Roman" w:hAnsi="Times New Roman"/>
          <w:sz w:val="18"/>
          <w:szCs w:val="18"/>
          <w:color w:val="auto"/>
        </w:rPr>
        <w:t>Patients who completed the randomized placebo-controlled Phase 2 STRIDE trial were eligible to participate in the OLE. In the OLE, 165 eligible patients were randomized; of these, 164 patients were assigned to receive either 40 mg BID or 40 mg QD (one patient was not dosed and was not included in the population analysis). As shown in the figure below, as of the March 1, 2024 data cut, interim OLE data following 28 weeks of treatment in the extension period showed sustained increases in PASI response rates over time, with the majority of patients (93% of evaluable patients, 83% using a modified non-responder imputation (mNRI)) achieving PASI 75 at the 40 mg BID dose, as well as a continued favorable tolerability profile. Maximal target inhibition at the 40 mg BID dose, confirmed by blood and skin biopsy biomarkers, translated into the highest response rates, as compared with substantially lower response rates at the 40 mg QD dose. Given the tolerability profile we observed at the highest dose in our Phase 2 STRIDE trial, we intend to advance that dose into Phase 3 pivotal clinical trials. We are also developing a once-a-day modified release formulation that we plan to have available at the time of market launch, if approved, or within the first year post approval. Data in the table below are presented both “as observed” ​(AO) and applying mNRI where patients who dropped out of the trial due to adverse event or inadequate response were assumed to be non-responders for all time points after drug study discontinuation, and for patients who dropped out of the trial for all other reasons the last observation was carried forward.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OLE ESK-001 40 mg BID Cohort</w:t>
      </w:r>
    </w:p>
    <w:p>
      <w:pPr>
        <w:spacing w:after="0" w:line="2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i w:val="1"/>
          <w:iCs w:val="1"/>
          <w:color w:val="auto"/>
        </w:rPr>
        <w:t>As Observed (AO) and modified Non-Responder Imputation (NRI) Analyses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Note: The shaded column in the figure above represents a four-week period during which no treatment was administered (the washout</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period). mNRI: modified Non-Responder Imputation</w:t>
      </w:r>
    </w:p>
    <w:p>
      <w:pPr>
        <w:spacing w:after="0" w:line="124" w:lineRule="exact"/>
        <w:rPr>
          <w:sz w:val="20"/>
          <w:szCs w:val="20"/>
          <w:color w:val="auto"/>
        </w:rPr>
      </w:pPr>
    </w:p>
    <w:p>
      <w:pPr>
        <w:jc w:val="both"/>
        <w:ind w:left="1280" w:right="399"/>
        <w:spacing w:after="0" w:line="250" w:lineRule="auto"/>
        <w:rPr>
          <w:sz w:val="20"/>
          <w:szCs w:val="20"/>
          <w:color w:val="auto"/>
        </w:rPr>
      </w:pPr>
      <w:r>
        <w:rPr>
          <w:rFonts w:ascii="Times New Roman" w:cs="Times New Roman" w:eastAsia="Times New Roman" w:hAnsi="Times New Roman"/>
          <w:sz w:val="18"/>
          <w:szCs w:val="18"/>
          <w:color w:val="auto"/>
        </w:rPr>
        <w:t>These data suggest a differentiated profile of ESK- 001 relative to first-generation TYK2 inhibitors. We plan to initiate our Phase 3 pivotal clinical trials in PsO in the second half of 2024. We are also evaluating ESK-001 in LUMUS, a Phase 2b clinical trial of ESK-001 for the treatment of patients with SLE, and we expect to report top-line results for this trial in 2026.</w:t>
      </w:r>
    </w:p>
    <w:p>
      <w:pPr>
        <w:spacing w:after="0" w:line="110" w:lineRule="exact"/>
        <w:rPr>
          <w:sz w:val="20"/>
          <w:szCs w:val="20"/>
          <w:color w:val="auto"/>
        </w:rPr>
      </w:pPr>
    </w:p>
    <w:p>
      <w:pPr>
        <w:jc w:val="both"/>
        <w:ind w:left="1280" w:right="399"/>
        <w:spacing w:after="0" w:line="243" w:lineRule="auto"/>
        <w:rPr>
          <w:sz w:val="20"/>
          <w:szCs w:val="20"/>
          <w:color w:val="auto"/>
        </w:rPr>
      </w:pPr>
      <w:r>
        <w:rPr>
          <w:rFonts w:ascii="Times New Roman" w:cs="Times New Roman" w:eastAsia="Times New Roman" w:hAnsi="Times New Roman"/>
          <w:sz w:val="18"/>
          <w:szCs w:val="18"/>
          <w:color w:val="auto"/>
        </w:rPr>
        <w:t>Beyond our initial two ongoing clinical indications of ESK-001, we plan to leverage our large clinical and genetic datasets to prioritize future indications, such as psoriatic arthritis and gastrointestinal and other indications where we believe ESK-001 could be differentiated from existing therapies. We believe ESK-001 has the potential to address a broad range of immune-mediated diseases and unmet patient needs that represent substantial commercial opportunities. We identified TYK2 as our first target of interest and acquired ESK-001 via a stock purchase of FronThera U.S. Holdings, Inc. and its wholly owned subsidiary, FronThera U.S. Pharmaceuticals LLC (the FronThera Acquisition). See the section titled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Operations—Contractual Obligations and Commitments</w:t>
      </w:r>
      <w:r>
        <w:rPr>
          <w:rFonts w:ascii="Times New Roman" w:cs="Times New Roman" w:eastAsia="Times New Roman" w:hAnsi="Times New Roman"/>
          <w:sz w:val="18"/>
          <w:szCs w:val="18"/>
          <w:color w:val="auto"/>
        </w:rPr>
        <w:t>” for additional information on the FronThera Acquisition, including with respect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milestone payments payable by us under the related acquisition agreement.</w:t>
      </w:r>
    </w:p>
    <w:p>
      <w:pPr>
        <w:spacing w:after="0" w:line="118" w:lineRule="exact"/>
        <w:rPr>
          <w:sz w:val="20"/>
          <w:szCs w:val="20"/>
          <w:color w:val="auto"/>
        </w:rPr>
      </w:pPr>
    </w:p>
    <w:p>
      <w:pPr>
        <w:jc w:val="both"/>
        <w:ind w:left="1280" w:right="399"/>
        <w:spacing w:after="0" w:line="242" w:lineRule="auto"/>
        <w:rPr>
          <w:sz w:val="20"/>
          <w:szCs w:val="20"/>
          <w:color w:val="auto"/>
        </w:rPr>
      </w:pPr>
      <w:r>
        <w:rPr>
          <w:rFonts w:ascii="Times New Roman" w:cs="Times New Roman" w:eastAsia="Times New Roman" w:hAnsi="Times New Roman"/>
          <w:sz w:val="18"/>
          <w:szCs w:val="18"/>
          <w:color w:val="auto"/>
        </w:rPr>
        <w:t xml:space="preserve">We have incorporated our learnings from ESK-001 to develop A-005, as a CNS-penetrant, allosteric TYK2 inhibitor with potential application in multiple sclerosis (MS) and other neuroinflammatory and neurodegenerative diseases. Our large proprietary genetic data set as well as scientific literature have shown that the naturally occurring TYK2 loss-of-function genetic variant has a protective effect in MS. In our preclinical studies, A-005 has demonstrated protective effects in prophylactic and therapeutic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experimental autoimmune encephalitis (EAE) models of neuroinflammation. In April 2024, we initiated the first Phase 1 study of A-005 in healthy volunteers and expect to report initial results by the end of 2024.</w:t>
      </w:r>
    </w:p>
    <w:p>
      <w:pPr>
        <w:spacing w:after="0" w:line="1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48" w:lineRule="exact"/>
        <w:rPr>
          <w:sz w:val="20"/>
          <w:szCs w:val="20"/>
          <w:color w:val="auto"/>
        </w:rPr>
      </w:pPr>
    </w:p>
    <w:p>
      <w:pPr>
        <w:jc w:val="both"/>
        <w:ind w:left="1280" w:right="399"/>
        <w:spacing w:after="0" w:line="245" w:lineRule="auto"/>
        <w:rPr>
          <w:sz w:val="20"/>
          <w:szCs w:val="20"/>
          <w:color w:val="auto"/>
        </w:rPr>
      </w:pPr>
      <w:r>
        <w:rPr>
          <w:rFonts w:ascii="Times New Roman" w:cs="Times New Roman" w:eastAsia="Times New Roman" w:hAnsi="Times New Roman"/>
          <w:sz w:val="18"/>
          <w:szCs w:val="18"/>
          <w:color w:val="auto"/>
        </w:rPr>
        <w:t>We have assembled an executive team of industry veterans experienced in small-molecule compound drug development for immune-mediated diseases. Our senior leaders bring together a wealth of scientific, clinical, business and commercial expertise in the biopharmaceutical industry. Many of our employees and executives previously worked together at Genentech, Roche, Principia and MyoKardia and have united to work together again. Collectively, our executives have contributed to the research, development, approval and commercial launch of multiple drugs across several therapeutic areas, including Adbry, Avastin, Camzyos, Fasenra,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0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813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Lucentis, Ocrevus, Rituxan, Saphnelo, Siliq, Tarceva, Tezspire, Uplizna, Xeljanz and Xolair. To date, we have raised more than $600 million and are backed by established blue-chip life science investors.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Precision Approach and Capabilities</w:t>
      </w:r>
    </w:p>
    <w:p>
      <w:pPr>
        <w:spacing w:after="0" w:line="162" w:lineRule="exact"/>
        <w:rPr>
          <w:sz w:val="20"/>
          <w:szCs w:val="20"/>
          <w:color w:val="auto"/>
        </w:rPr>
      </w:pPr>
    </w:p>
    <w:p>
      <w:pPr>
        <w:jc w:val="both"/>
        <w:ind w:left="1280" w:right="399"/>
        <w:spacing w:after="0" w:line="254" w:lineRule="auto"/>
        <w:rPr>
          <w:sz w:val="20"/>
          <w:szCs w:val="20"/>
          <w:color w:val="auto"/>
        </w:rPr>
      </w:pPr>
      <w:r>
        <w:rPr>
          <w:rFonts w:ascii="Times New Roman" w:cs="Times New Roman" w:eastAsia="Times New Roman" w:hAnsi="Times New Roman"/>
          <w:sz w:val="18"/>
          <w:szCs w:val="18"/>
          <w:color w:val="auto"/>
        </w:rPr>
        <w:t>We apply our precision approach to immunology by focusing on the key drivers of immune dysfunction. We have established and continue to uncover key genetic and translational insights to significantly impact clinical outcomes. Foundational to our approach is our proprietary precision data analytics platform, which combines our proprietary genetic, genomic and proteomic data, data from public third-party sources, and our management’s own genomic insights, supported by the data analytics services we receive from Foresite Labs, LLC (Foresite Labs). Leveraging this platform allows us to potentially increase speed of development, probability of success and precision of therapy. We employ our insights and capabilities through every stage of development, always aiming to improve the likelihood of clinical success while achieving the best outcomes for patients. We believe our precision approach can bring forth advances in each of the following key areas:</w:t>
      </w:r>
    </w:p>
    <w:p>
      <w:pPr>
        <w:spacing w:after="0" w:line="292" w:lineRule="exact"/>
        <w:rPr>
          <w:sz w:val="20"/>
          <w:szCs w:val="20"/>
          <w:color w:val="auto"/>
        </w:rPr>
      </w:pPr>
    </w:p>
    <w:p>
      <w:pPr>
        <w:ind w:left="1820" w:right="399" w:hanging="182"/>
        <w:spacing w:after="0" w:line="286"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target: </w:t>
      </w:r>
      <w:r>
        <w:rPr>
          <w:rFonts w:ascii="Times New Roman" w:cs="Times New Roman" w:eastAsia="Times New Roman" w:hAnsi="Times New Roman"/>
          <w:sz w:val="18"/>
          <w:szCs w:val="18"/>
          <w:color w:val="auto"/>
        </w:rPr>
        <w:t>We select drug targets based on our understanding of their role in immune-mediated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diseases in an effort to maximize clinical benefit and probability of success.</w:t>
      </w:r>
    </w:p>
    <w:p>
      <w:pPr>
        <w:spacing w:after="0" w:line="46" w:lineRule="exact"/>
        <w:rPr>
          <w:rFonts w:ascii="Times New Roman" w:cs="Times New Roman" w:eastAsia="Times New Roman" w:hAnsi="Times New Roman"/>
          <w:sz w:val="18"/>
          <w:szCs w:val="18"/>
          <w:color w:val="auto"/>
        </w:rPr>
      </w:pPr>
    </w:p>
    <w:p>
      <w:pPr>
        <w:ind w:left="1820" w:right="399" w:hanging="182"/>
        <w:spacing w:after="0" w:line="286"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molecule: </w:t>
      </w:r>
      <w:r>
        <w:rPr>
          <w:rFonts w:ascii="Times New Roman" w:cs="Times New Roman" w:eastAsia="Times New Roman" w:hAnsi="Times New Roman"/>
          <w:sz w:val="18"/>
          <w:szCs w:val="18"/>
          <w:color w:val="auto"/>
        </w:rPr>
        <w:t>We seek to design our molecules to achieve maximal target engagement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favorable pharmacological profile, and to optimize tolerability.</w:t>
      </w:r>
    </w:p>
    <w:p>
      <w:pPr>
        <w:spacing w:after="0" w:line="46" w:lineRule="exact"/>
        <w:rPr>
          <w:rFonts w:ascii="Times New Roman" w:cs="Times New Roman" w:eastAsia="Times New Roman" w:hAnsi="Times New Roman"/>
          <w:sz w:val="18"/>
          <w:szCs w:val="18"/>
          <w:color w:val="auto"/>
        </w:rPr>
      </w:pPr>
    </w:p>
    <w:p>
      <w:pPr>
        <w:ind w:left="1820" w:right="399" w:hanging="182"/>
        <w:spacing w:after="0" w:line="286"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indication: </w:t>
      </w:r>
      <w:r>
        <w:rPr>
          <w:rFonts w:ascii="Times New Roman" w:cs="Times New Roman" w:eastAsia="Times New Roman" w:hAnsi="Times New Roman"/>
          <w:sz w:val="18"/>
          <w:szCs w:val="18"/>
          <w:color w:val="auto"/>
        </w:rPr>
        <w:t>We select indications based on weight of evidence and biological insights from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precision data analytics platform.</w:t>
      </w:r>
    </w:p>
    <w:p>
      <w:pPr>
        <w:spacing w:after="0" w:line="60" w:lineRule="exact"/>
        <w:rPr>
          <w:rFonts w:ascii="Times New Roman" w:cs="Times New Roman" w:eastAsia="Times New Roman" w:hAnsi="Times New Roman"/>
          <w:sz w:val="18"/>
          <w:szCs w:val="18"/>
          <w:color w:val="auto"/>
        </w:rPr>
      </w:pPr>
    </w:p>
    <w:p>
      <w:pPr>
        <w:ind w:left="1820" w:right="399" w:hanging="182"/>
        <w:spacing w:after="0" w:line="286"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endpoint: </w:t>
      </w:r>
      <w:r>
        <w:rPr>
          <w:rFonts w:ascii="Times New Roman" w:cs="Times New Roman" w:eastAsia="Times New Roman" w:hAnsi="Times New Roman"/>
          <w:sz w:val="18"/>
          <w:szCs w:val="18"/>
          <w:color w:val="auto"/>
        </w:rPr>
        <w:t>We seek to accelerate drug development and improve the clinical probability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 through selection of optimal clinical endpoints for our trials.</w:t>
      </w:r>
    </w:p>
    <w:p>
      <w:pPr>
        <w:spacing w:after="0" w:line="46" w:lineRule="exact"/>
        <w:rPr>
          <w:rFonts w:ascii="Times New Roman" w:cs="Times New Roman" w:eastAsia="Times New Roman" w:hAnsi="Times New Roman"/>
          <w:sz w:val="18"/>
          <w:szCs w:val="18"/>
          <w:color w:val="auto"/>
        </w:rPr>
      </w:pPr>
    </w:p>
    <w:p>
      <w:pPr>
        <w:ind w:left="1820" w:right="399" w:hanging="182"/>
        <w:spacing w:after="0" w:line="286"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patient: </w:t>
      </w:r>
      <w:r>
        <w:rPr>
          <w:rFonts w:ascii="Times New Roman" w:cs="Times New Roman" w:eastAsia="Times New Roman" w:hAnsi="Times New Roman"/>
          <w:sz w:val="18"/>
          <w:szCs w:val="18"/>
          <w:color w:val="auto"/>
        </w:rPr>
        <w:t>We gain insights from our proprietary clinical samples to identify patients that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are most likely to benefit from our therapies.</w:t>
      </w:r>
    </w:p>
    <w:p>
      <w:pPr>
        <w:spacing w:after="0" w:line="46" w:lineRule="exact"/>
        <w:rPr>
          <w:rFonts w:ascii="Times New Roman" w:cs="Times New Roman" w:eastAsia="Times New Roman" w:hAnsi="Times New Roman"/>
          <w:sz w:val="18"/>
          <w:szCs w:val="18"/>
          <w:color w:val="auto"/>
        </w:rPr>
      </w:pPr>
    </w:p>
    <w:p>
      <w:pPr>
        <w:ind w:left="1820" w:right="399" w:hanging="182"/>
        <w:spacing w:after="0" w:line="286"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combinations: </w:t>
      </w:r>
      <w:r>
        <w:rPr>
          <w:rFonts w:ascii="Times New Roman" w:cs="Times New Roman" w:eastAsia="Times New Roman" w:hAnsi="Times New Roman"/>
          <w:sz w:val="18"/>
          <w:szCs w:val="18"/>
          <w:color w:val="auto"/>
        </w:rPr>
        <w:t>We identify future combination strategies with the potential to break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efficacy limitations of existing therapies without broadly suppressing the immune system.</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62"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Our mission is to significantly improve the lives of patients by replacing broad immunosuppression with targeted therapies. As our driving principle, we are using our precision approach focused on the important drivers of immune dysfunction. We use our key insights to pursue our mission of significantly improving outcomes for patients. We select drug targets that have been previously validated by strong human genetic evidence and human clinical data.</w:t>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core components of our business strategy include:</w:t>
      </w:r>
    </w:p>
    <w:p>
      <w:pPr>
        <w:spacing w:after="0" w:line="113" w:lineRule="exact"/>
        <w:rPr>
          <w:sz w:val="20"/>
          <w:szCs w:val="20"/>
          <w:color w:val="auto"/>
        </w:rPr>
      </w:pPr>
    </w:p>
    <w:p>
      <w:pPr>
        <w:ind w:left="1820" w:right="399" w:hanging="182"/>
        <w:spacing w:after="0" w:line="286" w:lineRule="auto"/>
        <w:tabs>
          <w:tab w:leader="none" w:pos="18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Maximize the opportunity presented by ESK-001’s differentiated pharmacological profile and breadth of potential indications.</w:t>
      </w:r>
    </w:p>
    <w:p>
      <w:pPr>
        <w:spacing w:after="0" w:line="46" w:lineRule="exact"/>
        <w:rPr>
          <w:rFonts w:ascii="Times New Roman" w:cs="Times New Roman" w:eastAsia="Times New Roman" w:hAnsi="Times New Roman"/>
          <w:sz w:val="18"/>
          <w:szCs w:val="18"/>
          <w:b w:val="1"/>
          <w:bCs w:val="1"/>
          <w:color w:val="auto"/>
        </w:rPr>
      </w:pPr>
    </w:p>
    <w:p>
      <w:pPr>
        <w:ind w:left="1820" w:right="399" w:hanging="182"/>
        <w:spacing w:after="0" w:line="286" w:lineRule="auto"/>
        <w:tabs>
          <w:tab w:leader="none" w:pos="18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Expand our TYK2 franchise with A-005, our allosteric TYK2 inhibitor selected to penetrate the CNS to treat neuroinflammation.</w:t>
      </w:r>
    </w:p>
    <w:p>
      <w:pPr>
        <w:spacing w:after="0" w:line="46" w:lineRule="exact"/>
        <w:rPr>
          <w:rFonts w:ascii="Times New Roman" w:cs="Times New Roman" w:eastAsia="Times New Roman" w:hAnsi="Times New Roman"/>
          <w:sz w:val="18"/>
          <w:szCs w:val="18"/>
          <w:b w:val="1"/>
          <w:bCs w:val="1"/>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 and advance earlier-stage product candidates into clinical development.</w:t>
      </w:r>
    </w:p>
    <w:p>
      <w:pPr>
        <w:spacing w:after="0" w:line="117" w:lineRule="exact"/>
        <w:rPr>
          <w:rFonts w:ascii="Times New Roman" w:cs="Times New Roman" w:eastAsia="Times New Roman" w:hAnsi="Times New Roman"/>
          <w:sz w:val="18"/>
          <w:szCs w:val="18"/>
          <w:b w:val="1"/>
          <w:bCs w:val="1"/>
          <w:color w:val="auto"/>
        </w:rPr>
      </w:pPr>
    </w:p>
    <w:p>
      <w:pPr>
        <w:ind w:left="1820" w:right="399" w:hanging="182"/>
        <w:spacing w:after="0" w:line="286" w:lineRule="auto"/>
        <w:tabs>
          <w:tab w:leader="none" w:pos="18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Leverage our precision approach to increase speed of development, probability of success and precision of therapy.</w:t>
      </w:r>
    </w:p>
    <w:p>
      <w:pPr>
        <w:spacing w:after="0" w:line="46" w:lineRule="exact"/>
        <w:rPr>
          <w:rFonts w:ascii="Times New Roman" w:cs="Times New Roman" w:eastAsia="Times New Roman" w:hAnsi="Times New Roman"/>
          <w:sz w:val="18"/>
          <w:szCs w:val="18"/>
          <w:b w:val="1"/>
          <w:bCs w:val="1"/>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Evaluate strategic collaborations to maximize the global impact of our product candidates.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2" w:lineRule="exact"/>
        <w:rPr>
          <w:sz w:val="20"/>
          <w:szCs w:val="20"/>
          <w:color w:val="auto"/>
        </w:rPr>
      </w:pPr>
    </w:p>
    <w:p>
      <w:pPr>
        <w:jc w:val="both"/>
        <w:ind w:left="1280" w:right="399"/>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substantial risk. The risks described under the section titled “Risk Factors” immediately following this prospectus summary may cause us to not realize the full benefits of our objectives or may cause us to be unable to successfully execute all or part of our strategy. Some of the more significant challenges include the following:</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3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biopharmaceutical company with a limited operating history and no products approved for commercial sale, and have incurred substantial losses since our inception and anticipate incurring substantial and increasing losses for the foreseeable future.</w:t>
      </w:r>
    </w:p>
    <w:p>
      <w:pPr>
        <w:spacing w:after="0" w:line="81"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and retention of participants in clinical trials is an expensive and time-consuming process and could be made more difficult or rendered impossible by multiple factors outside our control, including difficulties in identifying patients, the availability of competitive products, and significant competition for recruiting participants in clinical trials.</w:t>
      </w:r>
    </w:p>
    <w:p>
      <w:pPr>
        <w:spacing w:after="0" w:line="71"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and failure to obtain additional capital when needed, or on acceptable terms to us, could cause us to delay, limit, reduce, or terminate our product development or future commercialization efforts.</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59"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spacing w:after="0" w:line="294"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reveal significant adverse events not seen in our preclinical studies or prior clinical trials and may result in a safety or tolerability profile that could delay or prevent regulatory approval or market acceptance of ESK-001, A-005 or any future product candidates.</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63"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made substantial investments into the rapid development of competitor treatments for immunological indications, including large and specialty pharmaceutical and biotechnology companies, many of which already have approved therapies in our current indications.</w:t>
      </w:r>
    </w:p>
    <w:p>
      <w:pPr>
        <w:spacing w:after="0" w:line="291" w:lineRule="exact"/>
        <w:rPr>
          <w:rFonts w:ascii="Times New Roman" w:cs="Times New Roman" w:eastAsia="Times New Roman" w:hAnsi="Times New Roman"/>
          <w:sz w:val="18"/>
          <w:szCs w:val="18"/>
          <w:color w:val="auto"/>
        </w:rPr>
      </w:pPr>
    </w:p>
    <w:p>
      <w:pPr>
        <w:jc w:val="both"/>
        <w:ind w:left="1820" w:right="399" w:hanging="182"/>
        <w:spacing w:after="0" w:line="25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the success of our most advanced product candidate, ESK-001, and we cannot guarantee that ESK-001 will successfully complete development, receive regulatory approval or be successfully commercialized. If we are unable to develop, receive regulatory approval for, and ultimately successfully commercialize our product candidates, or if we experience significant delays in doing so, our business will be materially harmed.</w:t>
      </w:r>
    </w:p>
    <w:p>
      <w:pPr>
        <w:spacing w:after="0" w:line="75"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services of our management team and other clinical and scientific personnel, and if we are not able to retain these individuals or recruit additional management or clinical and scientific personnel, our business will suffer.</w:t>
      </w:r>
    </w:p>
    <w:p>
      <w:pPr>
        <w:spacing w:after="0" w:line="81" w:lineRule="exact"/>
        <w:rPr>
          <w:rFonts w:ascii="Times New Roman" w:cs="Times New Roman" w:eastAsia="Times New Roman" w:hAnsi="Times New Roman"/>
          <w:sz w:val="18"/>
          <w:szCs w:val="18"/>
          <w:color w:val="auto"/>
        </w:rPr>
      </w:pPr>
    </w:p>
    <w:p>
      <w:pPr>
        <w:jc w:val="both"/>
        <w:ind w:left="1820" w:right="399" w:hanging="182"/>
        <w:spacing w:after="0" w:line="25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75"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patent rights relating to inventions described and claimed in our or any future licensors pending patent applications will issue or that patents based on our or any future licensors patent applications will not be challenged and rendered invalid and/or unenforceable.</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75"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form or seek collaborations or strategic alliances or enter into licensing arrangements in the future, and we may neither enter into, nor realize the benefits of, such alliances or licensing arrangements.</w:t>
      </w:r>
    </w:p>
    <w:p>
      <w:pPr>
        <w:spacing w:after="0" w:line="281" w:lineRule="exact"/>
        <w:rPr>
          <w:rFonts w:ascii="Times New Roman" w:cs="Times New Roman" w:eastAsia="Times New Roman" w:hAnsi="Times New Roman"/>
          <w:sz w:val="18"/>
          <w:szCs w:val="18"/>
          <w:color w:val="auto"/>
        </w:rPr>
      </w:pPr>
    </w:p>
    <w:p>
      <w:pPr>
        <w:jc w:val="both"/>
        <w:ind w:left="1820" w:right="399" w:hanging="182"/>
        <w:spacing w:after="0" w:line="25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67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826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39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conflicts with any future licensors or collaborators that could delay or prevent the development or commercialization of our product candidates.</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history of losses and negative cash flows from operations, our consolidated financial statements contain a statement regarding a substantial doubt about our ability to continue as a going concern.</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jc w:val="both"/>
        <w:ind w:left="1280" w:right="399"/>
        <w:spacing w:after="0" w:line="256" w:lineRule="auto"/>
        <w:rPr>
          <w:sz w:val="20"/>
          <w:szCs w:val="20"/>
          <w:color w:val="auto"/>
        </w:rPr>
      </w:pPr>
      <w:r>
        <w:rPr>
          <w:rFonts w:ascii="Times New Roman" w:cs="Times New Roman" w:eastAsia="Times New Roman" w:hAnsi="Times New Roman"/>
          <w:sz w:val="18"/>
          <w:szCs w:val="18"/>
          <w:color w:val="auto"/>
        </w:rPr>
        <w:t>We were founded in January 2021 as a Delaware corporation under the name FL2021-001, Inc. We changed our name to Esker Therapeutics, Inc. in March 2021, and subsequently to Alumis Inc. in January 2022. Our principal executive offices are located at 280 East Grand Avenue, South San Francisco, California 94080, and our telephone number is (650) 231-6625. Our website address is www.alumis.com. Information contained in, or accessible through, our website is not a part of this prospectus, and the inclusion of our website address in this prospectus is only an inactive textual reference.</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62" w:lineRule="exact"/>
        <w:rPr>
          <w:sz w:val="20"/>
          <w:szCs w:val="20"/>
          <w:color w:val="auto"/>
        </w:rPr>
      </w:pPr>
    </w:p>
    <w:p>
      <w:pPr>
        <w:jc w:val="both"/>
        <w:ind w:left="1280" w:right="399"/>
        <w:spacing w:after="0" w:line="254" w:lineRule="auto"/>
        <w:rPr>
          <w:sz w:val="20"/>
          <w:szCs w:val="20"/>
          <w:color w:val="auto"/>
        </w:rPr>
      </w:pPr>
      <w:r>
        <w:rPr>
          <w:rFonts w:ascii="Times New Roman" w:cs="Times New Roman" w:eastAsia="Times New Roman" w:hAnsi="Times New Roman"/>
          <w:sz w:val="18"/>
          <w:szCs w:val="18"/>
          <w:color w:val="auto"/>
        </w:rPr>
        <w:t>We use the Alumis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62" w:lineRule="exact"/>
        <w:rPr>
          <w:sz w:val="20"/>
          <w:szCs w:val="20"/>
          <w:color w:val="auto"/>
        </w:rPr>
      </w:pPr>
    </w:p>
    <w:p>
      <w:pPr>
        <w:jc w:val="both"/>
        <w:ind w:left="1280" w:right="39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w:t>
      </w:r>
    </w:p>
    <w:p>
      <w:pPr>
        <w:spacing w:after="0" w:line="72" w:lineRule="exact"/>
        <w:rPr>
          <w:sz w:val="20"/>
          <w:szCs w:val="20"/>
          <w:color w:val="auto"/>
        </w:rPr>
      </w:pPr>
    </w:p>
    <w:p>
      <w:pPr>
        <w:jc w:val="both"/>
        <w:ind w:left="1820" w:right="399" w:hanging="182"/>
        <w:spacing w:after="0" w:line="26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6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from the auditor attestation requirements of Section 404 of the Sarbanes-Oxley Act of 2002, as amended (the Sarbanes-Oxley Act),</w:t>
      </w:r>
    </w:p>
    <w:p>
      <w:pPr>
        <w:spacing w:after="0" w:line="53" w:lineRule="exact"/>
        <w:rPr>
          <w:rFonts w:ascii="Times New Roman" w:cs="Times New Roman" w:eastAsia="Times New Roman" w:hAnsi="Times New Roman"/>
          <w:sz w:val="18"/>
          <w:szCs w:val="18"/>
          <w:color w:val="auto"/>
        </w:rPr>
      </w:pPr>
    </w:p>
    <w:p>
      <w:pPr>
        <w:jc w:val="both"/>
        <w:ind w:left="1820" w:right="399" w:hanging="182"/>
        <w:spacing w:after="0" w:line="275"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from compliance with the requirements of the Public Company Accounting Oversight Board regarding the communication of critical audit matters in the auditor’s report on the financial statements,</w:t>
      </w:r>
    </w:p>
    <w:p>
      <w:pPr>
        <w:spacing w:after="0" w:line="281"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extensive disclosure obligations regarding executive compensation in our registration statements, periodic reports and proxy statements,</w:t>
      </w:r>
    </w:p>
    <w:p>
      <w:pPr>
        <w:spacing w:after="0" w:line="53" w:lineRule="exact"/>
        <w:rPr>
          <w:rFonts w:ascii="Times New Roman" w:cs="Times New Roman" w:eastAsia="Times New Roman" w:hAnsi="Times New Roman"/>
          <w:sz w:val="18"/>
          <w:szCs w:val="18"/>
          <w:color w:val="auto"/>
        </w:rPr>
      </w:pPr>
    </w:p>
    <w:p>
      <w:pPr>
        <w:ind w:left="1820" w:right="399" w:hanging="182"/>
        <w:spacing w:after="0" w:line="261"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to hold a nonbinding advisory vote on executive compensation, and</w:t>
      </w:r>
    </w:p>
    <w:p>
      <w:pPr>
        <w:spacing w:after="0" w:line="314"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stockholder approval of any golden parachute payments not previously approved.</w:t>
      </w:r>
    </w:p>
    <w:p>
      <w:pPr>
        <w:spacing w:after="0" w:line="158" w:lineRule="exact"/>
        <w:rPr>
          <w:sz w:val="20"/>
          <w:szCs w:val="20"/>
          <w:color w:val="auto"/>
        </w:rPr>
      </w:pPr>
    </w:p>
    <w:p>
      <w:pPr>
        <w:jc w:val="both"/>
        <w:ind w:left="1280" w:right="399"/>
        <w:spacing w:after="0" w:line="254" w:lineRule="auto"/>
        <w:rPr>
          <w:sz w:val="20"/>
          <w:szCs w:val="20"/>
          <w:color w:val="auto"/>
        </w:rPr>
      </w:pPr>
      <w:r>
        <w:rPr>
          <w:rFonts w:ascii="Times New Roman" w:cs="Times New Roman" w:eastAsia="Times New Roman" w:hAnsi="Times New Roman"/>
          <w:sz w:val="18"/>
          <w:szCs w:val="18"/>
          <w:color w:val="auto"/>
        </w:rPr>
        <w:t>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earlier of   (i) the last day of the year following the fifth anniversary of the completion of this offering,</w:t>
      </w:r>
    </w:p>
    <w:p>
      <w:pPr>
        <w:spacing w:after="0" w:line="3" w:lineRule="exact"/>
        <w:rPr>
          <w:sz w:val="20"/>
          <w:szCs w:val="20"/>
          <w:color w:val="auto"/>
        </w:rPr>
      </w:pPr>
    </w:p>
    <w:p>
      <w:pPr>
        <w:jc w:val="both"/>
        <w:ind w:left="1280" w:right="399" w:hanging="2"/>
        <w:spacing w:after="0" w:line="253" w:lineRule="auto"/>
        <w:tabs>
          <w:tab w:leader="none" w:pos="1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year in which we have total annual gross revenue of at least $1.235 billion, (iii) the last day of the year in which we are deemed to be a “large accelerated filer” as defined in Rule 12b-2 under the Securities Exchange Act of 1934, as amended (the Exchange Act), which would occur if the market value of our common stock and</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66" w:lineRule="auto"/>
        <w:rPr>
          <w:sz w:val="20"/>
          <w:szCs w:val="20"/>
          <w:color w:val="auto"/>
        </w:rPr>
      </w:pPr>
      <w:r>
        <w:rPr>
          <w:rFonts w:ascii="Times New Roman" w:cs="Times New Roman" w:eastAsia="Times New Roman" w:hAnsi="Times New Roman"/>
          <w:sz w:val="18"/>
          <w:szCs w:val="18"/>
          <w:color w:val="auto"/>
        </w:rPr>
        <w:t>non-voting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08" w:lineRule="exact"/>
        <w:rPr>
          <w:sz w:val="20"/>
          <w:szCs w:val="20"/>
          <w:color w:val="auto"/>
        </w:rPr>
      </w:pPr>
    </w:p>
    <w:p>
      <w:pPr>
        <w:jc w:val="both"/>
        <w:ind w:left="1280" w:right="399"/>
        <w:spacing w:after="0" w:line="255" w:lineRule="auto"/>
        <w:rPr>
          <w:sz w:val="20"/>
          <w:szCs w:val="20"/>
          <w:color w:val="auto"/>
        </w:rPr>
      </w:pPr>
      <w:r>
        <w:rPr>
          <w:rFonts w:ascii="Times New Roman" w:cs="Times New Roman" w:eastAsia="Times New Roman" w:hAnsi="Times New Roman"/>
          <w:sz w:val="18"/>
          <w:szCs w:val="18"/>
          <w:color w:val="auto"/>
        </w:rPr>
        <w:t>In addition, the JOBS Act also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financial information to those of other public companies more difficult.</w:t>
      </w:r>
    </w:p>
    <w:p>
      <w:pPr>
        <w:spacing w:after="0" w:line="121" w:lineRule="exact"/>
        <w:rPr>
          <w:sz w:val="20"/>
          <w:szCs w:val="20"/>
          <w:color w:val="auto"/>
        </w:rPr>
      </w:pPr>
    </w:p>
    <w:p>
      <w:pPr>
        <w:jc w:val="both"/>
        <w:ind w:left="1280" w:right="399"/>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common stock and non-voting common stock held by non-affiliates is less than $700.0 million and our annual revenue is less than $100.0 million during the most recently completed fiscal year. We may continue to be a smaller reporting company after this offering if either (i) the market value of our common stock and non-voting common stock held by non-affiliates is less than $250.0 million or (ii) our annual revenue is less than $100.0 million during the most recently completed fiscal year and the market value of our common stock and non-voting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16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821626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117" w:lineRule="exact"/>
        <w:rPr>
          <w:sz w:val="20"/>
          <w:szCs w:val="20"/>
          <w:color w:val="auto"/>
        </w:rPr>
      </w:pPr>
    </w:p>
    <w:p>
      <w:pPr>
        <w:ind w:left="1460" w:right="26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Underwriters’ over-allotment option of common stock</w:t>
      </w:r>
    </w:p>
    <w:p>
      <w:pPr>
        <w:spacing w:after="0" w:line="24" w:lineRule="exact"/>
        <w:rPr>
          <w:sz w:val="20"/>
          <w:szCs w:val="20"/>
          <w:color w:val="auto"/>
        </w:rPr>
      </w:pPr>
    </w:p>
    <w:p>
      <w:pPr>
        <w:ind w:left="1460" w:right="20" w:hanging="179"/>
        <w:spacing w:after="0" w:line="262" w:lineRule="auto"/>
        <w:rPr>
          <w:sz w:val="20"/>
          <w:szCs w:val="20"/>
          <w:color w:val="auto"/>
        </w:rPr>
      </w:pPr>
      <w:r>
        <w:rPr>
          <w:rFonts w:ascii="Times New Roman" w:cs="Times New Roman" w:eastAsia="Times New Roman" w:hAnsi="Times New Roman"/>
          <w:sz w:val="18"/>
          <w:szCs w:val="18"/>
          <w:b w:val="1"/>
          <w:bCs w:val="1"/>
          <w:color w:val="auto"/>
        </w:rPr>
        <w:t>Total common stock and non-voting common stock to be outstanding immediately after this offering</w:t>
      </w:r>
    </w:p>
    <w:p>
      <w:pPr>
        <w:spacing w:after="0" w:line="200" w:lineRule="exact"/>
        <w:rPr>
          <w:sz w:val="20"/>
          <w:szCs w:val="20"/>
          <w:color w:val="auto"/>
        </w:rPr>
      </w:pPr>
    </w:p>
    <w:p>
      <w:pPr>
        <w:spacing w:after="0" w:line="3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349" w:lineRule="exact"/>
        <w:rPr>
          <w:sz w:val="20"/>
          <w:szCs w:val="20"/>
          <w:color w:val="auto"/>
        </w:rPr>
      </w:pPr>
    </w:p>
    <w:p>
      <w:pPr>
        <w:ind w:left="14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Proposed Nasdaq Global Market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100" w:hanging="98"/>
        <w:spacing w:after="0"/>
        <w:tabs>
          <w:tab w:leader="none" w:pos="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w:t>
      </w:r>
    </w:p>
    <w:p>
      <w:pPr>
        <w:spacing w:after="0" w:line="333" w:lineRule="exact"/>
        <w:rPr>
          <w:rFonts w:ascii="Times New Roman" w:cs="Times New Roman" w:eastAsia="Times New Roman" w:hAnsi="Times New Roman"/>
          <w:sz w:val="18"/>
          <w:szCs w:val="18"/>
          <w:color w:val="auto"/>
        </w:rPr>
      </w:pPr>
    </w:p>
    <w:p>
      <w:pPr>
        <w:ind w:left="100" w:hanging="98"/>
        <w:spacing w:after="0"/>
        <w:tabs>
          <w:tab w:leader="none" w:pos="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which             shares will be common stock), or</w:t>
      </w:r>
    </w:p>
    <w:p>
      <w:pPr>
        <w:spacing w:after="0" w:line="27" w:lineRule="exact"/>
        <w:rPr>
          <w:sz w:val="20"/>
          <w:szCs w:val="20"/>
          <w:color w:val="auto"/>
        </w:rPr>
      </w:pPr>
    </w:p>
    <w:p>
      <w:pPr>
        <w:ind w:right="399" w:firstLine="2"/>
        <w:spacing w:after="0" w:line="260" w:lineRule="auto"/>
        <w:tabs>
          <w:tab w:leader="none" w:pos="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which             shares will be common stock) if the underwriters exercise their over-allotment option in full.</w:t>
      </w:r>
    </w:p>
    <w:p>
      <w:pPr>
        <w:spacing w:after="0" w:line="73" w:lineRule="exact"/>
        <w:rPr>
          <w:sz w:val="20"/>
          <w:szCs w:val="20"/>
          <w:color w:val="auto"/>
        </w:rPr>
      </w:pPr>
    </w:p>
    <w:p>
      <w:pPr>
        <w:jc w:val="both"/>
        <w:ind w:right="399"/>
        <w:spacing w:after="0" w:line="256"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            million (or approximately $            million if the underwriter’s over-allotment option is exercised in full), based on the assumed initial public offering price of $            per share, after deducting underwriting discounts and commissions and estimated offering expenses payable by us.</w:t>
      </w:r>
    </w:p>
    <w:p>
      <w:pPr>
        <w:spacing w:after="0" w:line="120" w:lineRule="exact"/>
        <w:rPr>
          <w:sz w:val="20"/>
          <w:szCs w:val="20"/>
          <w:color w:val="auto"/>
        </w:rPr>
      </w:pPr>
    </w:p>
    <w:p>
      <w:pPr>
        <w:jc w:val="both"/>
        <w:ind w:right="399"/>
        <w:spacing w:after="0" w:line="247"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cash equivalents and marketable securities, primarily to fund clinical development and related studies for our product candidates as well as our activities in preparation for such clinical development. See the section titled “Use of Proceeds” for additional information.</w:t>
      </w:r>
    </w:p>
    <w:p>
      <w:pPr>
        <w:spacing w:after="0" w:line="72" w:lineRule="exact"/>
        <w:rPr>
          <w:sz w:val="20"/>
          <w:szCs w:val="20"/>
          <w:color w:val="auto"/>
        </w:rPr>
      </w:pPr>
    </w:p>
    <w:p>
      <w:pPr>
        <w:jc w:val="both"/>
        <w:ind w:right="399"/>
        <w:spacing w:after="0" w:line="261" w:lineRule="auto"/>
        <w:rPr>
          <w:sz w:val="20"/>
          <w:szCs w:val="20"/>
          <w:color w:val="auto"/>
        </w:rPr>
      </w:pPr>
      <w:r>
        <w:rPr>
          <w:rFonts w:ascii="Times New Roman" w:cs="Times New Roman" w:eastAsia="Times New Roman" w:hAnsi="Times New Roman"/>
          <w:sz w:val="18"/>
          <w:szCs w:val="18"/>
          <w:color w:val="auto"/>
        </w:rPr>
        <w:t>We have two classes of common stock: the common stock offered hereby and non-voting common stock. The rights of the holders of common stock and non-voting common stock are identical, except with respect to voting and conversion.</w:t>
      </w:r>
    </w:p>
    <w:p>
      <w:pPr>
        <w:spacing w:after="0" w:line="112" w:lineRule="exact"/>
        <w:rPr>
          <w:sz w:val="20"/>
          <w:szCs w:val="20"/>
          <w:color w:val="auto"/>
        </w:rPr>
      </w:pPr>
    </w:p>
    <w:p>
      <w:pPr>
        <w:jc w:val="both"/>
        <w:ind w:right="399"/>
        <w:spacing w:after="0" w:line="242" w:lineRule="auto"/>
        <w:rPr>
          <w:sz w:val="20"/>
          <w:szCs w:val="20"/>
          <w:color w:val="auto"/>
        </w:rPr>
      </w:pPr>
      <w:r>
        <w:rPr>
          <w:rFonts w:ascii="Times New Roman" w:cs="Times New Roman" w:eastAsia="Times New Roman" w:hAnsi="Times New Roman"/>
          <w:sz w:val="18"/>
          <w:szCs w:val="18"/>
          <w:color w:val="auto"/>
        </w:rPr>
        <w:t>Each share of common stock will be entitled to one vote and shares of non-voting common stock will be non-voting, except as required by law. Each share of non-voting stock may be converted into one share of common stock at the option of the holder, subject to the beneficial ownership limitations provided for in our amended and restated certificate of incorporation to become effective upon closing of this offering. For a description of the rights of the common stock and non -voting common stock, see the section titled “Description of Capital Stock.”</w:t>
      </w:r>
    </w:p>
    <w:p>
      <w:pPr>
        <w:spacing w:after="0" w:line="93" w:lineRule="exact"/>
        <w:rPr>
          <w:sz w:val="20"/>
          <w:szCs w:val="20"/>
          <w:color w:val="auto"/>
        </w:rPr>
      </w:pPr>
    </w:p>
    <w:p>
      <w:pPr>
        <w:jc w:val="both"/>
        <w:ind w:right="399"/>
        <w:spacing w:after="0" w:line="266" w:lineRule="auto"/>
        <w:rPr>
          <w:sz w:val="20"/>
          <w:szCs w:val="20"/>
          <w:color w:val="auto"/>
        </w:rPr>
      </w:pPr>
      <w:r>
        <w:rPr>
          <w:rFonts w:ascii="Times New Roman" w:cs="Times New Roman" w:eastAsia="Times New Roman" w:hAnsi="Times New Roman"/>
          <w:sz w:val="18"/>
          <w:szCs w:val="18"/>
          <w:color w:val="auto"/>
        </w:rPr>
        <w:t>See the section titled “Risk Factors” and other information included in this prospectus for a discussion of factors you should consider carefully before deciding to invest in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“ALMS”</w:t>
      </w:r>
    </w:p>
    <w:p>
      <w:pPr>
        <w:spacing w:after="0" w:line="144" w:lineRule="exact"/>
        <w:rPr>
          <w:sz w:val="20"/>
          <w:szCs w:val="20"/>
          <w:color w:val="auto"/>
        </w:rPr>
      </w:pPr>
    </w:p>
    <w:p>
      <w:pPr>
        <w:sectPr>
          <w:pgSz w:w="11900" w:h="16838" w:orient="portrait"/>
          <w:cols w:equalWidth="0" w:num="2">
            <w:col w:w="3700" w:space="600"/>
            <w:col w:w="5579"/>
          </w:cols>
          <w:pgMar w:left="580" w:top="97" w:right="1440" w:bottom="1440" w:gutter="0" w:footer="0" w:header="0"/>
          <w:type w:val="continuous"/>
        </w:sectPr>
      </w:pPr>
    </w:p>
    <w:p>
      <w:pPr>
        <w:jc w:val="both"/>
        <w:ind w:left="1280" w:right="399"/>
        <w:spacing w:after="0" w:line="256" w:lineRule="auto"/>
        <w:rPr>
          <w:sz w:val="20"/>
          <w:szCs w:val="20"/>
          <w:color w:val="auto"/>
        </w:rPr>
      </w:pPr>
      <w:r>
        <w:rPr>
          <w:rFonts w:ascii="Times New Roman" w:cs="Times New Roman" w:eastAsia="Times New Roman" w:hAnsi="Times New Roman"/>
          <w:sz w:val="18"/>
          <w:szCs w:val="18"/>
          <w:color w:val="auto"/>
        </w:rPr>
        <w:t>The number of shares of our common stock and non-voting common stock to be outstanding immediately after this offering is based on an aggregate of 181,015,104 shares of common stock and non-voting common stock (which includes 1,287,023 shares of unvested restricted common stock subject to a repurchase option by us) outstanding as of March 31, 2024, after giving effect to the (i) issuance of 41,264,892 shares of Series C redeemable convertible preferred stock in May 2024 and (ii) Preferred Stock Conversion and the Common Stock Reclassification (each as defined below), as if each had occurred as of March 31, 2024, and excludes:</w:t>
      </w:r>
    </w:p>
    <w:p>
      <w:pPr>
        <w:spacing w:after="0" w:line="295" w:lineRule="exact"/>
        <w:rPr>
          <w:sz w:val="20"/>
          <w:szCs w:val="20"/>
          <w:color w:val="auto"/>
        </w:rPr>
      </w:pPr>
    </w:p>
    <w:p>
      <w:pPr>
        <w:ind w:left="1820" w:right="39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26,019,851 shares of our common stock issuable upon the exercise of outstanding stock options as of March 31, 2024, with a weighted-average exercise price of $1.80 per share;</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14,761,040 shares of our common stock issuable upon the exercise of outstanding stock options granted subsequent to March 31, 2024, with a weighted-average exercise price of $2.44 per share;</w:t>
      </w:r>
    </w:p>
    <w:p>
      <w:pPr>
        <w:sectPr>
          <w:pgSz w:w="11900" w:h="16838" w:orient="portrait"/>
          <w:cols w:equalWidth="0" w:num="1">
            <w:col w:w="9879"/>
          </w:cols>
          <w:pgMar w:left="580" w:top="97" w:right="1440" w:bottom="1440" w:gutter="0" w:footer="0" w:header="0"/>
          <w:type w:val="continuous"/>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399" w:hanging="182"/>
        <w:spacing w:after="0" w:line="254"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our common stock reserved for future issuance under our 2024 Equity Incentive Plan (2024 Plan), which will become effective once the registration statement of which this prospectus forms a part is declared effective, including             new shares plus the number of shares (not to exceed             shares) that (i) remain available for grant of future awards under our 2021 Stock Plan (2021 Plan) and will cease to be available for issuance under the 2021 Plan at the time our 2024 Plan becomes effective in connection with this offering, and (ii) are underlying outstanding stock awards granted under our 2021 Plan, that expire or are repurchased, forfeited, cancelled or withheld, as well as any future automatic annual increases in the number of shares of common stock reserved for issuance under our 2024 Plan and, as more fully described in the section titled “Executive Compensation—Equity​ Benefit Plans;” and</w:t>
      </w:r>
    </w:p>
    <w:p>
      <w:pPr>
        <w:spacing w:after="0" w:line="296" w:lineRule="exact"/>
        <w:rPr>
          <w:rFonts w:ascii="Times New Roman" w:cs="Times New Roman" w:eastAsia="Times New Roman" w:hAnsi="Times New Roman"/>
          <w:sz w:val="18"/>
          <w:szCs w:val="18"/>
          <w:color w:val="auto"/>
        </w:rPr>
      </w:pPr>
    </w:p>
    <w:p>
      <w:pPr>
        <w:jc w:val="both"/>
        <w:ind w:left="1820" w:right="399" w:hanging="182"/>
        <w:spacing w:after="0" w:line="25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our common stock reserved for issuance under our 2024 Employee Stock Purchase Plan (ESPP), which will become effective once the registration statement of which this prospectus forms a part is declared effective, as well as any future automatic annual increases in the number of shares of common stock reserved for future issuance under our ESPP, as more fully described in the section titled “Executive Compensation—Equity Benefit Plans.”</w:t>
      </w:r>
    </w:p>
    <w:p>
      <w:pPr>
        <w:spacing w:after="0" w:line="1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Unless otherwise indicated, this prospectus assumes or gives effect to:</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a              -for-              reverse stock split of our Class A and Class B common stock effected on</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            , 2024;</w:t>
      </w:r>
    </w:p>
    <w:p>
      <w:pPr>
        <w:spacing w:after="0" w:line="98" w:lineRule="exact"/>
        <w:rPr>
          <w:sz w:val="20"/>
          <w:szCs w:val="20"/>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41,264,892 shares of Series C redeemable convertible preferred stock in May 2024;</w:t>
      </w:r>
    </w:p>
    <w:p>
      <w:pPr>
        <w:spacing w:after="0" w:line="117" w:lineRule="exact"/>
        <w:rPr>
          <w:rFonts w:ascii="Times New Roman" w:cs="Times New Roman" w:eastAsia="Times New Roman" w:hAnsi="Times New Roman"/>
          <w:sz w:val="18"/>
          <w:szCs w:val="18"/>
          <w:color w:val="auto"/>
        </w:rPr>
      </w:pPr>
    </w:p>
    <w:p>
      <w:pPr>
        <w:jc w:val="both"/>
        <w:ind w:left="1820" w:right="399" w:hanging="182"/>
        <w:spacing w:after="0" w:line="263"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168,489,871 outstanding shares of our redeemable convertible preferred stock into             shares of our Class A common stock and             shares of our Class B common stock, which will occur immediately prior to the closing of this offering (the Preferred Stock Conversion);</w:t>
      </w:r>
    </w:p>
    <w:p>
      <w:pPr>
        <w:spacing w:after="0" w:line="291"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redesignation of all outstanding shares of Class A and Class B common stock (following the Preferred Stock Conversion) into an equivalent number of shares of common stock and non-voting common stock, respectively, which will occur immediately prior to the completion of this offering (the Common Stock Reclassification);</w:t>
      </w:r>
    </w:p>
    <w:p>
      <w:pPr>
        <w:spacing w:after="0" w:line="71" w:lineRule="exact"/>
        <w:rPr>
          <w:rFonts w:ascii="Times New Roman" w:cs="Times New Roman" w:eastAsia="Times New Roman" w:hAnsi="Times New Roman"/>
          <w:sz w:val="18"/>
          <w:szCs w:val="18"/>
          <w:color w:val="auto"/>
        </w:rPr>
      </w:pPr>
    </w:p>
    <w:p>
      <w:pPr>
        <w:jc w:val="both"/>
        <w:ind w:left="1820" w:right="399" w:hanging="182"/>
        <w:spacing w:after="0" w:line="275"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redesignation of all shares of Class A common stock underlying outstanding options under our 2021 Plan into shares of common stock, which will occur immediately prior to the completion of this offering;</w:t>
      </w:r>
    </w:p>
    <w:p>
      <w:pPr>
        <w:spacing w:after="0" w:line="281"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stock options referred to above;</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repurchases by us of 1,287,023 shares of outstanding unvested restricted common stock subsequent to March 31, 2024;</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over-allotment option;</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purchases of shares of our common stock in this offering by our existing stockholders;</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assumed initial public offering price of $            per share, which is the midpoint of the estimated price range set forth on the cover page of this prospectus; and</w:t>
      </w:r>
    </w:p>
    <w:p>
      <w:pPr>
        <w:spacing w:after="0" w:line="53"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effectiveness of our amended and restated bylaws, each of which will occur immediately prior to the completion of this offering.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70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807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2" w:lineRule="exact"/>
        <w:rPr>
          <w:sz w:val="20"/>
          <w:szCs w:val="20"/>
          <w:color w:val="auto"/>
        </w:rPr>
      </w:pPr>
    </w:p>
    <w:p>
      <w:pPr>
        <w:jc w:val="both"/>
        <w:ind w:left="1280" w:right="399"/>
        <w:spacing w:after="0" w:line="252" w:lineRule="auto"/>
        <w:rPr>
          <w:sz w:val="20"/>
          <w:szCs w:val="20"/>
          <w:color w:val="auto"/>
        </w:rPr>
      </w:pPr>
      <w:r>
        <w:rPr>
          <w:rFonts w:ascii="Times New Roman" w:cs="Times New Roman" w:eastAsia="Times New Roman" w:hAnsi="Times New Roman"/>
          <w:sz w:val="18"/>
          <w:szCs w:val="18"/>
          <w:color w:val="auto"/>
        </w:rPr>
        <w:t>The following tables set forth our summary consolidated financial data for the periods and as of the dates indicated. The following summary consolidated statements of operations data for the years ended December 31, 2022 and 2023 have been derived from our audited consolidated financial statements included elsewhere in this prospectus. The following summary interim condensed consolidated statements of operations data for the three months ended March 31, 2023 and 2024, and the summary interim condensed consolidated balance sheet data as of March 31, 2024, have been derived from our unaudited interim condensed consolidated financial statements included elsewhere in this prospectus. Our audited consolidated financial statements and unaudited interim condensed consolidated financial statements included elsewhere in this prospectus have been prepared in accordance with U.S. generally accepted accounting principles (U.S. GAAP). Our unaudited interim condensed consolidated financial statements were prepared on a basis consistent with our audited consolidated financial statements and include, in our opinion, all adjustments of a normal and recurring nature that are necessary for the fair statement of the financial information set forth in those statements included elsewhere in this prospectus. Our historical results are not necessarily indicative of the results that may be expected for any period in the future and results for the three months ended March 31, 2024 are not necessarily indicative of results to be expected for the year ending December 31, 2024.</w:t>
      </w:r>
    </w:p>
    <w:p>
      <w:pPr>
        <w:spacing w:after="0" w:line="344" w:lineRule="exact"/>
        <w:rPr>
          <w:sz w:val="20"/>
          <w:szCs w:val="20"/>
          <w:color w:val="auto"/>
        </w:rPr>
      </w:pPr>
    </w:p>
    <w:p>
      <w:pPr>
        <w:jc w:val="both"/>
        <w:ind w:left="1280" w:right="399"/>
        <w:spacing w:after="0" w:line="256" w:lineRule="auto"/>
        <w:rPr>
          <w:sz w:val="20"/>
          <w:szCs w:val="20"/>
          <w:color w:val="auto"/>
        </w:rPr>
      </w:pPr>
      <w:r>
        <w:rPr>
          <w:rFonts w:ascii="Times New Roman" w:cs="Times New Roman" w:eastAsia="Times New Roman" w:hAnsi="Times New Roman"/>
          <w:sz w:val="18"/>
          <w:szCs w:val="18"/>
          <w:color w:val="auto"/>
        </w:rPr>
        <w:t>You should read the following summary consolidated financial data together with the section titled “Management’s Discussion and Analysis of Financial Condition and Results of Operations” and our audited consolidated financial statements and unaudited interim condensed consolidated financial statements and the related notes included elsewhere in this prospectus. The summary consolidated financial data included in this section are not intended to replace the consolidated financial statements and the related notes included elsewhere in this prospectus.</w:t>
      </w:r>
    </w:p>
    <w:p>
      <w:pPr>
        <w:spacing w:after="0" w:line="140"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5"/>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420" w:type="dxa"/>
            <w:vAlign w:val="bottom"/>
            <w:gridSpan w:val="6"/>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 thousands, except share and per share data)</w:t>
            </w:r>
          </w:p>
        </w:tc>
        <w:tc>
          <w:tcPr>
            <w:tcW w:w="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 including related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party expenses of $1,570 and $1,519 for the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ended December 31, 2022 and 2023, respectively,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related party expenses of $325 and $421 for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three months ended March 31, 2023 and 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101,304​​​​$</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137,676​​​​$</w:t>
            </w:r>
          </w:p>
        </w:tc>
        <w:tc>
          <w:tcPr>
            <w:tcW w:w="12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32,435​​​​$</w:t>
            </w:r>
          </w:p>
        </w:tc>
        <w:tc>
          <w:tcPr>
            <w:tcW w:w="2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41,961​</w:t>
            </w:r>
          </w:p>
        </w:tc>
        <w:tc>
          <w:tcPr>
            <w:tcW w:w="0" w:type="dxa"/>
            <w:vAlign w:val="bottom"/>
          </w:tcPr>
          <w:p>
            <w:pPr>
              <w:spacing w:after="0"/>
              <w:rPr>
                <w:sz w:val="1"/>
                <w:szCs w:val="1"/>
                <w:color w:val="auto"/>
              </w:rPr>
            </w:pPr>
          </w:p>
        </w:tc>
      </w:tr>
      <w:tr>
        <w:trPr>
          <w:trHeight w:val="27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gridSpan w:val="3"/>
            <w:shd w:val="clear" w:color="auto" w:fill="CCEEFF"/>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00" w:type="dxa"/>
            <w:vAlign w:val="bottom"/>
            <w:gridSpan w:val="5"/>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12,546</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060" w:type="dxa"/>
            <w:vAlign w:val="bottom"/>
            <w:gridSpan w:val="5"/>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20,498</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100" w:type="dxa"/>
            <w:vAlign w:val="bottom"/>
            <w:gridSpan w:val="6"/>
            <w:shd w:val="clear" w:color="auto" w:fill="CCEEFF"/>
          </w:tcPr>
          <w:p>
            <w:pPr>
              <w:jc w:val="right"/>
              <w:ind w:right="114"/>
              <w:spacing w:after="0" w:line="269" w:lineRule="exact"/>
              <w:rPr>
                <w:sz w:val="20"/>
                <w:szCs w:val="20"/>
                <w:color w:val="auto"/>
              </w:rPr>
            </w:pPr>
            <w:r>
              <w:rPr>
                <w:rFonts w:ascii="Times New Roman" w:cs="Times New Roman" w:eastAsia="Times New Roman" w:hAnsi="Times New Roman"/>
                <w:sz w:val="17"/>
                <w:szCs w:val="17"/>
                <w:color w:val="auto"/>
              </w:rPr>
              <w:t>4,225</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100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16"/>
                <w:szCs w:val="16"/>
                <w:color w:val="auto"/>
              </w:rPr>
              <w:t>113,850</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06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16"/>
                <w:szCs w:val="16"/>
                <w:color w:val="auto"/>
              </w:rPr>
              <w:t>158,174</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100" w:type="dxa"/>
            <w:vAlign w:val="bottom"/>
            <w:gridSpan w:val="6"/>
          </w:tcPr>
          <w:p>
            <w:pPr>
              <w:jc w:val="right"/>
              <w:ind w:right="114"/>
              <w:spacing w:after="0" w:line="264" w:lineRule="exact"/>
              <w:rPr>
                <w:sz w:val="20"/>
                <w:szCs w:val="20"/>
                <w:color w:val="auto"/>
              </w:rPr>
            </w:pPr>
            <w:r>
              <w:rPr>
                <w:rFonts w:ascii="Times New Roman" w:cs="Times New Roman" w:eastAsia="Times New Roman" w:hAnsi="Times New Roman"/>
                <w:sz w:val="16"/>
                <w:szCs w:val="16"/>
                <w:color w:val="auto"/>
              </w:rPr>
              <w:t>36,660</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62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47,593</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 (113,850)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23"/>
              <w:spacing w:after="0" w:line="196" w:lineRule="exact"/>
              <w:rPr>
                <w:sz w:val="20"/>
                <w:szCs w:val="20"/>
                <w:color w:val="auto"/>
              </w:rPr>
            </w:pPr>
            <w:r>
              <w:rPr>
                <w:rFonts w:ascii="Times New Roman" w:cs="Times New Roman" w:eastAsia="Times New Roman" w:hAnsi="Times New Roman"/>
                <w:sz w:val="18"/>
                <w:szCs w:val="18"/>
                <w:color w:val="auto"/>
              </w:rPr>
              <w:t>(158,174)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(36,660)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14"/>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(47,593</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4180" w:type="dxa"/>
            <w:vAlign w:val="bottom"/>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60" w:type="dxa"/>
            <w:vAlign w:val="bottom"/>
            <w:gridSpan w:val="2"/>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40" w:type="dxa"/>
            <w:vAlign w:val="bottom"/>
            <w:gridSpan w:val="2"/>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40" w:type="dxa"/>
            <w:vAlign w:val="bottom"/>
            <w:gridSpan w:val="2"/>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3"/>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 ​</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 ​</w:t>
            </w:r>
          </w:p>
        </w:tc>
        <w:tc>
          <w:tcPr>
            <w:tcW w:w="340" w:type="dxa"/>
            <w:vAlign w:val="bottom"/>
            <w:shd w:val="clear" w:color="auto" w:fill="CCEEFF"/>
          </w:tcPr>
          <w:p>
            <w:pPr>
              <w:spacing w:after="0"/>
              <w:rPr>
                <w:sz w:val="22"/>
                <w:szCs w:val="22"/>
                <w:color w:val="auto"/>
              </w:rPr>
            </w:pPr>
          </w:p>
        </w:tc>
        <w:tc>
          <w:tcPr>
            <w:tcW w:w="760" w:type="dxa"/>
            <w:vAlign w:val="bottom"/>
            <w:gridSpan w:val="5"/>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645​​​​ ​</w:t>
            </w: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7"/>
                <w:szCs w:val="17"/>
                <w:color w:val="auto"/>
              </w:rPr>
            </w:pPr>
          </w:p>
        </w:tc>
        <w:tc>
          <w:tcPr>
            <w:tcW w:w="2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23"/>
              <w:spacing w:after="0" w:line="202" w:lineRule="exact"/>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gridSpan w:val="2"/>
          </w:tcPr>
          <w:p>
            <w:pPr>
              <w:jc w:val="center"/>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Other income (expenses), net</w:t>
            </w: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38"/>
              <w:spacing w:after="0" w:line="202" w:lineRule="exact"/>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3"/>
              <w:spacing w:after="0" w:line="202" w:lineRule="exact"/>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18"/>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6"/>
              </w:rPr>
              <w:t>(15)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180" w:type="dxa"/>
            <w:vAlign w:val="bottom"/>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60" w:type="dxa"/>
            <w:vAlign w:val="bottom"/>
            <w:gridSpan w:val="2"/>
            <w:shd w:val="clear" w:color="auto" w:fill="CCEEFF"/>
          </w:tcPr>
          <w:p>
            <w:pPr>
              <w:jc w:val="center"/>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40" w:type="dxa"/>
            <w:vAlign w:val="bottom"/>
            <w:gridSpan w:val="2"/>
            <w:shd w:val="clear" w:color="auto" w:fill="CCEEFF"/>
          </w:tcPr>
          <w:p>
            <w:pPr>
              <w:jc w:val="center"/>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shd w:val="clear" w:color="auto" w:fill="CCEEFF"/>
          </w:tcPr>
          <w:p>
            <w:pPr>
              <w:jc w:val="center"/>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100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16"/>
                <w:szCs w:val="16"/>
                <w:color w:val="auto"/>
              </w:rPr>
              <w:t>1,920</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06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16"/>
                <w:szCs w:val="16"/>
                <w:color w:val="auto"/>
              </w:rPr>
              <w:t>3,181</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340" w:type="dxa"/>
            <w:vAlign w:val="bottom"/>
          </w:tcPr>
          <w:p>
            <w:pPr>
              <w:spacing w:after="0"/>
              <w:rPr>
                <w:sz w:val="22"/>
                <w:szCs w:val="22"/>
                <w:color w:val="auto"/>
              </w:rPr>
            </w:pPr>
          </w:p>
        </w:tc>
        <w:tc>
          <w:tcPr>
            <w:tcW w:w="760" w:type="dxa"/>
            <w:vAlign w:val="bottom"/>
            <w:gridSpan w:val="5"/>
          </w:tcPr>
          <w:p>
            <w:pPr>
              <w:jc w:val="right"/>
              <w:ind w:right="114"/>
              <w:spacing w:after="0" w:line="264" w:lineRule="exact"/>
              <w:rPr>
                <w:sz w:val="20"/>
                <w:szCs w:val="20"/>
                <w:color w:val="auto"/>
              </w:rPr>
            </w:pPr>
            <w:r>
              <w:rPr>
                <w:rFonts w:ascii="Times New Roman" w:cs="Times New Roman" w:eastAsia="Times New Roman" w:hAnsi="Times New Roman"/>
                <w:sz w:val="30"/>
                <w:szCs w:val="30"/>
                <w:color w:val="auto"/>
                <w:vertAlign w:val="superscript"/>
              </w:rPr>
              <w:t>633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62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(2,256</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w w:val="96"/>
              </w:rPr>
              <w:t>(111,930)</w:t>
            </w: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3"/>
              <w:spacing w:after="0" w:line="196" w:lineRule="exact"/>
              <w:rPr>
                <w:sz w:val="20"/>
                <w:szCs w:val="20"/>
                <w:color w:val="auto"/>
              </w:rPr>
            </w:pPr>
            <w:r>
              <w:rPr>
                <w:rFonts w:ascii="Times New Roman" w:cs="Times New Roman" w:eastAsia="Times New Roman" w:hAnsi="Times New Roman"/>
                <w:sz w:val="18"/>
                <w:szCs w:val="18"/>
                <w:color w:val="auto"/>
              </w:rPr>
              <w:t>(154,993)</w:t>
            </w: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(36,027)</w:t>
            </w: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7"/>
              </w:rPr>
              <w:t>(49,849)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4180" w:type="dxa"/>
            <w:vAlign w:val="bottom"/>
            <w:shd w:val="clear" w:color="auto" w:fill="CCEEFF"/>
          </w:tcPr>
          <w:p>
            <w:pPr>
              <w:spacing w:after="0"/>
              <w:rPr>
                <w:sz w:val="7"/>
                <w:szCs w:val="7"/>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spacing w:after="0" w:line="182" w:lineRule="exact"/>
              <w:rPr>
                <w:sz w:val="20"/>
                <w:szCs w:val="20"/>
                <w:color w:val="auto"/>
              </w:rPr>
            </w:pPr>
            <w:r>
              <w:rPr>
                <w:rFonts w:ascii="Times New Roman" w:cs="Times New Roman" w:eastAsia="Times New Roman" w:hAnsi="Times New Roman"/>
                <w:sz w:val="18"/>
                <w:szCs w:val="18"/>
                <w:color w:val="auto"/>
              </w:rPr>
              <w:t>Net loss per share attributable to Class A common</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7"/>
                <w:szCs w:val="17"/>
                <w:color w:val="auto"/>
              </w:rPr>
              <w:t>stockholders, basic and diluted</w:t>
            </w:r>
            <w:r>
              <w:rPr>
                <w:rFonts w:ascii="Times New Roman" w:cs="Times New Roman" w:eastAsia="Times New Roman" w:hAnsi="Times New Roman"/>
                <w:sz w:val="22"/>
                <w:szCs w:val="22"/>
                <w:color w:val="auto"/>
                <w:vertAlign w:val="superscript"/>
              </w:rPr>
              <w:t>(1)</w:t>
            </w:r>
          </w:p>
        </w:tc>
        <w:tc>
          <w:tcPr>
            <w:tcW w:w="22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7"/>
                <w:szCs w:val="17"/>
                <w:color w:val="auto"/>
              </w:rPr>
            </w:pPr>
          </w:p>
        </w:tc>
        <w:tc>
          <w:tcPr>
            <w:tcW w:w="800" w:type="dxa"/>
            <w:vAlign w:val="bottom"/>
            <w:gridSpan w:val="3"/>
          </w:tcPr>
          <w:p>
            <w:pPr>
              <w:jc w:val="right"/>
              <w:ind w:right="38"/>
              <w:spacing w:after="0" w:line="197" w:lineRule="exact"/>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7"/>
                <w:szCs w:val="17"/>
                <w:color w:val="auto"/>
              </w:rPr>
            </w:pPr>
          </w:p>
        </w:tc>
        <w:tc>
          <w:tcPr>
            <w:tcW w:w="840" w:type="dxa"/>
            <w:vAlign w:val="bottom"/>
            <w:gridSpan w:val="3"/>
          </w:tcPr>
          <w:p>
            <w:pPr>
              <w:jc w:val="right"/>
              <w:ind w:right="23"/>
              <w:spacing w:after="0" w:line="197" w:lineRule="exact"/>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7"/>
                <w:szCs w:val="17"/>
                <w:color w:val="auto"/>
              </w:rPr>
            </w:pPr>
          </w:p>
        </w:tc>
        <w:tc>
          <w:tcPr>
            <w:tcW w:w="760" w:type="dxa"/>
            <w:vAlign w:val="bottom"/>
            <w:gridSpan w:val="4"/>
          </w:tcPr>
          <w:p>
            <w:pPr>
              <w:jc w:val="right"/>
              <w:ind w:right="18"/>
              <w:spacing w:after="0" w:line="197" w:lineRule="exact"/>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7"/>
                <w:szCs w:val="17"/>
                <w:color w:val="auto"/>
              </w:rPr>
            </w:pPr>
          </w:p>
        </w:tc>
        <w:tc>
          <w:tcPr>
            <w:tcW w:w="62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81"/>
        </w:trPr>
        <w:tc>
          <w:tcPr>
            <w:tcW w:w="4180" w:type="dxa"/>
            <w:vAlign w:val="bottom"/>
          </w:tcPr>
          <w:p>
            <w:pPr>
              <w:spacing w:after="0"/>
              <w:rPr>
                <w:sz w:val="7"/>
                <w:szCs w:val="7"/>
                <w:color w:val="auto"/>
              </w:rPr>
            </w:pPr>
          </w:p>
        </w:tc>
        <w:tc>
          <w:tcPr>
            <w:tcW w:w="22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Weighted-average Class A common shares</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180" w:type="dxa"/>
            <w:vAlign w:val="bottom"/>
            <w:tcBorders>
              <w:bottom w:val="single" w:sz="8" w:color="CCEEFF"/>
            </w:tcBorders>
            <w:shd w:val="clear" w:color="auto" w:fill="CCEEFF"/>
          </w:tcPr>
          <w:p>
            <w:pPr>
              <w:ind w:left="180"/>
              <w:spacing w:after="0" w:line="251" w:lineRule="exact"/>
              <w:rPr>
                <w:sz w:val="20"/>
                <w:szCs w:val="20"/>
                <w:color w:val="auto"/>
              </w:rPr>
            </w:pPr>
            <w:r>
              <w:rPr>
                <w:rFonts w:ascii="Times New Roman" w:cs="Times New Roman" w:eastAsia="Times New Roman" w:hAnsi="Times New Roman"/>
                <w:sz w:val="18"/>
                <w:szCs w:val="18"/>
                <w:color w:val="auto"/>
              </w:rPr>
              <w:t>outstanding, basic and diluted</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​7,497,622</w:t>
            </w:r>
          </w:p>
        </w:tc>
        <w:tc>
          <w:tcPr>
            <w:tcW w:w="2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​10,052,198</w:t>
            </w: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​9,339,918</w:t>
            </w: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​11,080,100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4"/>
                <w:szCs w:val="14"/>
                <w:color w:val="auto"/>
              </w:rPr>
            </w:pP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66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9"/>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spacing w:after="0"/>
              <w:rPr>
                <w:sz w:val="17"/>
                <w:szCs w:val="17"/>
                <w:color w:val="auto"/>
              </w:rPr>
            </w:pPr>
          </w:p>
        </w:tc>
        <w:tc>
          <w:tcPr>
            <w:tcW w:w="3480" w:type="dxa"/>
            <w:vAlign w:val="bottom"/>
            <w:gridSpan w:val="6"/>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w w:val="97"/>
              </w:rPr>
              <w:t>(in thousands, except share and per share data)</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5" w:lineRule="exact"/>
        <w:rPr>
          <w:sz w:val="20"/>
          <w:szCs w:val="20"/>
          <w:color w:val="auto"/>
        </w:rPr>
      </w:pPr>
    </w:p>
    <w:p>
      <w:pPr>
        <w:sectPr>
          <w:pgSz w:w="11900" w:h="16838" w:orient="portrait"/>
          <w:cols w:equalWidth="0" w:num="1">
            <w:col w:w="9879"/>
          </w:cols>
          <w:pgMar w:left="580" w:top="97" w:right="1440" w:bottom="1440" w:gutter="0" w:footer="0" w:header="0"/>
        </w:sectPr>
      </w:pPr>
    </w:p>
    <w:p>
      <w:pPr>
        <w:ind w:left="1460" w:hanging="179"/>
        <w:spacing w:after="0" w:line="264" w:lineRule="auto"/>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 (unaudited)</w:t>
      </w:r>
      <w:r>
        <w:rPr>
          <w:rFonts w:ascii="Times New Roman" w:cs="Times New Roman" w:eastAsia="Times New Roman" w:hAnsi="Times New Roman"/>
          <w:sz w:val="23"/>
          <w:szCs w:val="23"/>
          <w:color w:val="auto"/>
          <w:vertAlign w:val="superscript"/>
        </w:rPr>
        <w:t>(2)</w:t>
      </w:r>
    </w:p>
    <w:p>
      <w:pPr>
        <w:ind w:left="1460" w:right="420" w:hanging="179"/>
        <w:spacing w:after="0" w:line="265" w:lineRule="auto"/>
        <w:rPr>
          <w:sz w:val="20"/>
          <w:szCs w:val="20"/>
          <w:color w:val="auto"/>
        </w:rPr>
      </w:pPr>
      <w:r>
        <w:rPr>
          <w:rFonts w:ascii="Times New Roman" w:cs="Times New Roman" w:eastAsia="Times New Roman" w:hAnsi="Times New Roman"/>
          <w:sz w:val="18"/>
          <w:szCs w:val="18"/>
          <w:color w:val="auto"/>
        </w:rPr>
        <w:t>Pro forma weighted-average common shares outstanding, basic and diluted (unaudited)</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(0.87)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680" w:type="dxa"/>
            <w:vAlign w:val="bottom"/>
            <w:gridSpan w:val="2"/>
          </w:tcPr>
          <w:p>
            <w:pPr>
              <w:jc w:val="right"/>
              <w:ind w:right="320"/>
              <w:spacing w:after="0" w:line="81"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7"/>
                <w:szCs w:val="7"/>
                <w:color w:val="auto"/>
              </w:rPr>
            </w:pPr>
          </w:p>
        </w:tc>
        <w:tc>
          <w:tcPr>
            <w:tcW w:w="360" w:type="dxa"/>
            <w:vAlign w:val="bottom"/>
          </w:tcPr>
          <w:p>
            <w:pPr>
              <w:jc w:val="right"/>
              <w:ind w:right="155"/>
              <w:spacing w:after="0" w:line="81"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vMerge w:val="continue"/>
          </w:tcPr>
          <w:p>
            <w:pPr>
              <w:spacing w:after="0"/>
              <w:rPr>
                <w:sz w:val="7"/>
                <w:szCs w:val="7"/>
                <w:color w:val="auto"/>
              </w:rPr>
            </w:pPr>
          </w:p>
        </w:tc>
        <w:tc>
          <w:tcPr>
            <w:tcW w:w="660" w:type="dxa"/>
            <w:vAlign w:val="bottom"/>
            <w:gridSpan w:val="3"/>
          </w:tcPr>
          <w:p>
            <w:pPr>
              <w:jc w:val="right"/>
              <w:ind w:right="320"/>
              <w:spacing w:after="0" w:line="81"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55"/>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​178,542,069</w:t>
            </w:r>
            <w:r>
              <w:rPr>
                <w:rFonts w:ascii="Times New Roman" w:cs="Times New Roman" w:eastAsia="Times New Roman" w:hAnsi="Times New Roman"/>
                <w:sz w:val="35"/>
                <w:szCs w:val="35"/>
                <w:color w:val="auto"/>
                <w:vertAlign w:val="subscript"/>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​179,569,971</w:t>
            </w:r>
            <w:r>
              <w:rPr>
                <w:rFonts w:ascii="Times New Roman" w:cs="Times New Roman" w:eastAsia="Times New Roman" w:hAnsi="Times New Roman"/>
                <w:sz w:val="35"/>
                <w:szCs w:val="35"/>
                <w:color w:val="auto"/>
                <w:vertAlign w:val="subscript"/>
              </w:rPr>
              <w:t>​</w:t>
            </w: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ectPr>
          <w:pgSz w:w="11900" w:h="16838" w:orient="portrait"/>
          <w:cols w:equalWidth="0" w:num="2">
            <w:col w:w="5200" w:space="140"/>
            <w:col w:w="4539"/>
          </w:cols>
          <w:pgMar w:left="580" w:top="97" w:right="1440" w:bottom="1440" w:gutter="0" w:footer="0" w:header="0"/>
          <w:type w:val="continuous"/>
        </w:sectPr>
      </w:pPr>
    </w:p>
    <w:p>
      <w:pPr>
        <w:spacing w:after="0" w:line="106" w:lineRule="exact"/>
        <w:rPr>
          <w:sz w:val="20"/>
          <w:szCs w:val="20"/>
          <w:color w:val="auto"/>
        </w:rPr>
      </w:pPr>
    </w:p>
    <w:p>
      <w:pPr>
        <w:jc w:val="both"/>
        <w:ind w:left="1640" w:right="399" w:hanging="362"/>
        <w:spacing w:after="0" w:line="261" w:lineRule="auto"/>
        <w:tabs>
          <w:tab w:leader="none" w:pos="1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and Note 12 to our audited consolidated financial statements and Note 11 to our unaudited interim condensed consolidated financial statements included elsewhere in this prospectus for a description of how we compute basic and diluted net loss per share attributable to Class A common stockholders.</w:t>
      </w:r>
    </w:p>
    <w:p>
      <w:pPr>
        <w:spacing w:after="0" w:line="41" w:lineRule="exact"/>
        <w:rPr>
          <w:rFonts w:ascii="Times New Roman" w:cs="Times New Roman" w:eastAsia="Times New Roman" w:hAnsi="Times New Roman"/>
          <w:sz w:val="14"/>
          <w:szCs w:val="14"/>
          <w:color w:val="auto"/>
        </w:rPr>
      </w:pPr>
    </w:p>
    <w:p>
      <w:pPr>
        <w:ind w:left="1640" w:right="399" w:hanging="362"/>
        <w:spacing w:after="0" w:line="282" w:lineRule="auto"/>
        <w:tabs>
          <w:tab w:leader="none" w:pos="1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“Unaudited Pro Forma Net Loss Per Share Attributable to Common Stockholders” subsection below for details on our unaudited pro forma calculations.</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Unaudited Pro Forma Net Loss Per Share Attributable to Common Stockholders</w:t>
      </w:r>
    </w:p>
    <w:p>
      <w:pPr>
        <w:spacing w:after="0" w:line="148" w:lineRule="exact"/>
        <w:rPr>
          <w:sz w:val="20"/>
          <w:szCs w:val="20"/>
          <w:color w:val="auto"/>
        </w:rPr>
      </w:pPr>
    </w:p>
    <w:p>
      <w:pPr>
        <w:jc w:val="both"/>
        <w:ind w:left="1280" w:right="399"/>
        <w:spacing w:after="0" w:line="255"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for the year ended December 31, 2023 and for the three months ended March 31, 2024 were computed using the weighted-average number of shares of common stock and non-voting common stock outstanding, after giving effect to (i) the issuance of 41,264,892 shares of Series C redeemable convertible preferred stock in May 2024, (ii) the Preferred Stock Conversion and the Common Stock Reclassification, as if such issuance, conversion and reclassification had occurred at the beginning of the period. Pro forma net loss per share does not include the shares expected to be sold in this offering.</w:t>
      </w:r>
    </w:p>
    <w:p>
      <w:pPr>
        <w:spacing w:after="0" w:line="121"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unaudited pro forma basic and diluted net loss per share of common stock and non-voting common stock for the periods presented:</w:t>
      </w:r>
    </w:p>
    <w:p>
      <w:pPr>
        <w:spacing w:after="0" w:line="11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6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60" w:type="dxa"/>
            <w:vAlign w:val="bottom"/>
            <w:gridSpan w:val="10"/>
          </w:tcPr>
          <w:p>
            <w:pPr>
              <w:ind w:left="20"/>
              <w:spacing w:after="0" w:line="236" w:lineRule="exact"/>
              <w:rPr>
                <w:sz w:val="20"/>
                <w:szCs w:val="20"/>
                <w:color w:val="auto"/>
              </w:rPr>
            </w:pPr>
            <w:r>
              <w:rPr>
                <w:rFonts w:ascii="Times New Roman" w:cs="Times New Roman" w:eastAsia="Times New Roman" w:hAnsi="Times New Roman"/>
                <w:sz w:val="14"/>
                <w:szCs w:val="14"/>
                <w:b w:val="1"/>
                <w:bCs w:val="1"/>
                <w:color w:val="auto"/>
                <w:w w:val="98"/>
              </w:rPr>
              <w:t xml:space="preserve">(in thousands, except share and per share data) </w:t>
            </w:r>
            <w:r>
              <w:rPr>
                <w:rFonts w:ascii="Times New Roman" w:cs="Times New Roman" w:eastAsia="Times New Roman" w:hAnsi="Times New Roman"/>
                <w:sz w:val="27"/>
                <w:szCs w:val="27"/>
                <w:b w:val="1"/>
                <w:bCs w:val="1"/>
                <w:color w:val="auto"/>
                <w:w w:val="98"/>
                <w:vertAlign w:val="subscript"/>
              </w:rPr>
              <w:t>​</w:t>
            </w:r>
          </w:p>
        </w:tc>
        <w:tc>
          <w:tcPr>
            <w:tcW w:w="0" w:type="dxa"/>
            <w:vAlign w:val="bottom"/>
          </w:tcPr>
          <w:p>
            <w:pPr>
              <w:spacing w:after="0"/>
              <w:rPr>
                <w:sz w:val="1"/>
                <w:szCs w:val="1"/>
                <w:color w:val="auto"/>
              </w:rPr>
            </w:pPr>
          </w:p>
        </w:tc>
      </w:tr>
      <w:tr>
        <w:trPr>
          <w:trHeight w:val="25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(154,993) ​​ ​</w:t>
            </w:r>
          </w:p>
        </w:tc>
        <w:tc>
          <w:tcPr>
            <w:tcW w:w="16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(49,849)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other income adjustments related to the change in fair</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of derivative liability</w:t>
            </w:r>
            <w:r>
              <w:rPr>
                <w:rFonts w:ascii="Times New Roman" w:cs="Times New Roman" w:eastAsia="Times New Roman" w:hAnsi="Times New Roman"/>
                <w:sz w:val="23"/>
                <w:szCs w:val="23"/>
                <w:color w:val="auto"/>
                <w:vertAlign w:val="superscript"/>
              </w:rPr>
              <w:t>(1)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3,095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stockholders, basic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(154,874) </w:t>
            </w:r>
            <w:r>
              <w:rPr>
                <w:rFonts w:ascii="Times New Roman" w:cs="Times New Roman" w:eastAsia="Times New Roman" w:hAnsi="Times New Roman"/>
                <w:sz w:val="35"/>
                <w:szCs w:val="35"/>
                <w:color w:val="auto"/>
                <w:vertAlign w:val="subscript"/>
              </w:rPr>
              <w:t>​​ ​</w:t>
            </w:r>
          </w:p>
        </w:tc>
        <w:tc>
          <w:tcPr>
            <w:tcW w:w="160" w:type="dxa"/>
            <w:vAlign w:val="bottom"/>
          </w:tcPr>
          <w:p>
            <w:pPr>
              <w:spacing w:after="0"/>
              <w:rPr>
                <w:sz w:val="18"/>
                <w:szCs w:val="18"/>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(46,754)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vMerge w:val="continue"/>
          </w:tcPr>
          <w:p>
            <w:pPr>
              <w:spacing w:after="0"/>
              <w:rPr>
                <w:sz w:val="21"/>
                <w:szCs w:val="21"/>
                <w:color w:val="auto"/>
              </w:rPr>
            </w:pPr>
          </w:p>
        </w:tc>
        <w:tc>
          <w:tcPr>
            <w:tcW w:w="110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10,052,198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11,080,100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adjustment to reflect the Preferred Stock</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w:t>
            </w:r>
            <w:r>
              <w:rPr>
                <w:rFonts w:ascii="Times New Roman" w:cs="Times New Roman" w:eastAsia="Times New Roman" w:hAnsi="Times New Roman"/>
                <w:sz w:val="23"/>
                <w:szCs w:val="23"/>
                <w:color w:val="auto"/>
                <w:vertAlign w:val="superscript"/>
              </w:rPr>
              <w:t>(2)</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​168,489,871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​168,489,871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​178,542,069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118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​179,569,971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2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1100" w:type="dxa"/>
            <w:vAlign w:val="bottom"/>
            <w:gridSpan w:val="3"/>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(0.87) </w:t>
            </w:r>
            <w:r>
              <w:rPr>
                <w:rFonts w:ascii="Times New Roman" w:cs="Times New Roman" w:eastAsia="Times New Roman" w:hAnsi="Times New Roman"/>
                <w:sz w:val="27"/>
                <w:szCs w:val="27"/>
                <w:color w:val="auto"/>
                <w:vertAlign w:val="subscript"/>
              </w:rPr>
              <w:t>​​ ​</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6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1640" w:right="399" w:hanging="362"/>
        <w:spacing w:after="0" w:line="255" w:lineRule="auto"/>
        <w:tabs>
          <w:tab w:leader="none" w:pos="1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reversal of the change in fair value of the derivative liability related to the subsequent tranche closings of redeemable convertible preferred stock recorded in our consolidated statement of operations and comprehensive loss for the year ended December 31, 2023 and in our interim condensed consolidated statement of operations and comprehensive loss for the three months ended March 31, 2024, as if the subsequent tranches closed on January 1, 2023.</w:t>
      </w:r>
    </w:p>
    <w:p>
      <w:pPr>
        <w:spacing w:after="0" w:line="31" w:lineRule="exact"/>
        <w:rPr>
          <w:rFonts w:ascii="Times New Roman" w:cs="Times New Roman" w:eastAsia="Times New Roman" w:hAnsi="Times New Roman"/>
          <w:sz w:val="14"/>
          <w:szCs w:val="14"/>
          <w:color w:val="auto"/>
        </w:rPr>
      </w:pPr>
    </w:p>
    <w:p>
      <w:pPr>
        <w:jc w:val="both"/>
        <w:ind w:left="1640" w:right="399" w:hanging="362"/>
        <w:spacing w:after="0" w:line="256" w:lineRule="auto"/>
        <w:tabs>
          <w:tab w:leader="none" w:pos="1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automatic conversion of 168,489,871 outstanding shares of our redeemable convertible preferred stock (which includes the issuance of 41,264,892 shares of Series C redeemable convertible preferred stock in May 2024) into shares of our common stock which will occur immediately prior to the closing of this offering, as if such issuance and conversion occurred on January 1, 2023.</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280" w:type="dxa"/>
        <w:tblCellMar>
          <w:top w:w="0" w:type="dxa"/>
          <w:left w:w="0" w:type="dxa"/>
          <w:bottom w:w="0" w:type="dxa"/>
          <w:right w:w="0" w:type="dxa"/>
        </w:tblCellMar>
      </w:tblP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Actual   </w:t>
            </w:r>
            <w:r>
              <w:rPr>
                <w:rFonts w:ascii="Times New Roman" w:cs="Times New Roman" w:eastAsia="Times New Roman" w:hAnsi="Times New Roman"/>
                <w:sz w:val="24"/>
                <w:szCs w:val="24"/>
                <w:b w:val="1"/>
                <w:bCs w:val="1"/>
                <w:color w:val="auto"/>
                <w:vertAlign w:val="subscript"/>
              </w:rPr>
              <w:t>​</w:t>
            </w:r>
          </w:p>
        </w:tc>
        <w:tc>
          <w:tcPr>
            <w:tcW w:w="860" w:type="dxa"/>
            <w:vAlign w:val="bottom"/>
            <w:tcBorders>
              <w:bottom w:val="single" w:sz="8" w:color="auto"/>
            </w:tcBorders>
            <w:gridSpan w:val="2"/>
          </w:tcPr>
          <w:p>
            <w:pPr>
              <w:ind w:left="4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Pro Forma</w:t>
            </w:r>
            <w:r>
              <w:rPr>
                <w:rFonts w:ascii="Times New Roman" w:cs="Times New Roman" w:eastAsia="Times New Roman" w:hAnsi="Times New Roman"/>
                <w:sz w:val="15"/>
                <w:szCs w:val="15"/>
                <w:b w:val="1"/>
                <w:bCs w:val="1"/>
                <w:color w:val="auto"/>
                <w:vertAlign w:val="superscript"/>
              </w:rPr>
              <w:t>(1)</w:t>
            </w:r>
          </w:p>
        </w:tc>
        <w:tc>
          <w:tcPr>
            <w:tcW w:w="1920" w:type="dxa"/>
            <w:vAlign w:val="bottom"/>
            <w:tcBorders>
              <w:bottom w:val="single" w:sz="8" w:color="auto"/>
            </w:tcBorders>
            <w:gridSpan w:val="3"/>
          </w:tcPr>
          <w:p>
            <w:pPr>
              <w:ind w:left="8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Pro Forma As Adjusted</w:t>
            </w:r>
            <w:r>
              <w:rPr>
                <w:rFonts w:ascii="Times New Roman" w:cs="Times New Roman" w:eastAsia="Times New Roman" w:hAnsi="Times New Roman"/>
                <w:sz w:val="15"/>
                <w:szCs w:val="15"/>
                <w:b w:val="1"/>
                <w:bCs w:val="1"/>
                <w:color w:val="auto"/>
                <w:vertAlign w:val="superscript"/>
              </w:rPr>
              <w:t>(2)(3)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 Data:</w:t>
            </w:r>
          </w:p>
        </w:tc>
        <w:tc>
          <w:tcPr>
            <w:tcW w:w="7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​​$ 112,071​​</w:t>
            </w:r>
          </w:p>
        </w:tc>
        <w:tc>
          <w:tcPr>
            <w:tcW w:w="1600" w:type="dxa"/>
            <w:vAlign w:val="bottom"/>
            <w:gridSpan w:val="3"/>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 ​$ 241,372 ​​ ​</w:t>
            </w:r>
          </w:p>
        </w:tc>
        <w:tc>
          <w:tcPr>
            <w:tcW w:w="11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21,656​​</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740" w:type="dxa"/>
            <w:vAlign w:val="bottom"/>
          </w:tcPr>
          <w:p>
            <w:pPr>
              <w:jc w:val="right"/>
              <w:ind w:right="443"/>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(4)</w:t>
            </w:r>
          </w:p>
        </w:tc>
        <w:tc>
          <w:tcPr>
            <w:tcW w:w="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117,258​​</w:t>
            </w:r>
          </w:p>
        </w:tc>
        <w:tc>
          <w:tcPr>
            <w:tcW w:w="1600" w:type="dxa"/>
            <w:vAlign w:val="bottom"/>
            <w:gridSpan w:val="3"/>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 ​ ​246,559 ​​ ​</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​177,375​​</w:t>
            </w:r>
          </w:p>
        </w:tc>
        <w:tc>
          <w:tcPr>
            <w:tcW w:w="1600" w:type="dxa"/>
            <w:vAlign w:val="bottom"/>
            <w:gridSpan w:val="3"/>
          </w:tcPr>
          <w:p>
            <w:pPr>
              <w:jc w:val="right"/>
              <w:ind w:right="443"/>
              <w:spacing w:after="0"/>
              <w:rPr>
                <w:sz w:val="20"/>
                <w:szCs w:val="20"/>
                <w:color w:val="auto"/>
              </w:rPr>
            </w:pPr>
            <w:r>
              <w:rPr>
                <w:rFonts w:ascii="Times New Roman" w:cs="Times New Roman" w:eastAsia="Times New Roman" w:hAnsi="Times New Roman"/>
                <w:sz w:val="18"/>
                <w:szCs w:val="18"/>
                <w:color w:val="auto"/>
              </w:rPr>
              <w:t>​ ​ ​306,676 ​​ ​</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67,726​​</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320" w:type="dxa"/>
            <w:vAlign w:val="bottom"/>
            <w:gridSpan w:val="2"/>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55,718 ​​ ​</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​495,575​​</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320" w:type="dxa"/>
            <w:vAlign w:val="bottom"/>
            <w:gridSpan w:val="2"/>
          </w:tcPr>
          <w:p>
            <w:pPr>
              <w:jc w:val="right"/>
              <w:ind w:right="443"/>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​(414,167​​)</w:t>
            </w:r>
          </w:p>
        </w:tc>
        <w:tc>
          <w:tcPr>
            <w:tcW w:w="1600" w:type="dxa"/>
            <w:vAlign w:val="bottom"/>
            <w:gridSpan w:val="3"/>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 ​ ​(414,167)​​ ​</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​(385,926​​)</w:t>
            </w:r>
          </w:p>
        </w:tc>
        <w:tc>
          <w:tcPr>
            <w:tcW w:w="1600" w:type="dxa"/>
            <w:vAlign w:val="bottom"/>
            <w:gridSpan w:val="3"/>
          </w:tcPr>
          <w:p>
            <w:pPr>
              <w:jc w:val="right"/>
              <w:ind w:right="443"/>
              <w:spacing w:after="0"/>
              <w:rPr>
                <w:sz w:val="20"/>
                <w:szCs w:val="20"/>
                <w:color w:val="auto"/>
              </w:rPr>
            </w:pPr>
            <w:r>
              <w:rPr>
                <w:rFonts w:ascii="Times New Roman" w:cs="Times New Roman" w:eastAsia="Times New Roman" w:hAnsi="Times New Roman"/>
                <w:sz w:val="18"/>
                <w:szCs w:val="18"/>
                <w:color w:val="auto"/>
              </w:rPr>
              <w:t>​ ​ ​250,958 ​​ ​</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88" w:lineRule="exact"/>
        <w:rPr>
          <w:sz w:val="20"/>
          <w:szCs w:val="20"/>
          <w:color w:val="auto"/>
        </w:rPr>
      </w:pPr>
    </w:p>
    <w:p>
      <w:pPr>
        <w:jc w:val="both"/>
        <w:ind w:left="1640" w:right="399" w:hanging="362"/>
        <w:spacing w:after="0" w:line="250" w:lineRule="auto"/>
        <w:tabs>
          <w:tab w:leader="none" w:pos="1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balance sheet data gives effect to (i) the elimination of the derivative liability related to the tranche closing of Series C redeemable convertible preferred stock in May 2024, (ii) the issuance of 41,264,982 shares of Series C redeemable convertible preferred stock in May 2024 for approximately $129.3 million in aggregate net proceeds therefrom, (iii) the Preferred Stock Conversion and the Common Stock Reclassification (as if each had occurred as of March 31, 2024), and (iv) the filing and effectiveness of our amended and restated certificate of incorporation to be in effect immediately prior to the closing of this offering.</w:t>
      </w:r>
    </w:p>
    <w:p>
      <w:pPr>
        <w:spacing w:after="0" w:line="201" w:lineRule="exact"/>
        <w:rPr>
          <w:rFonts w:ascii="Times New Roman" w:cs="Times New Roman" w:eastAsia="Times New Roman" w:hAnsi="Times New Roman"/>
          <w:sz w:val="14"/>
          <w:szCs w:val="14"/>
          <w:color w:val="auto"/>
        </w:rPr>
      </w:pPr>
    </w:p>
    <w:p>
      <w:pPr>
        <w:jc w:val="both"/>
        <w:ind w:left="1640" w:right="399" w:hanging="362"/>
        <w:spacing w:after="0" w:line="256" w:lineRule="auto"/>
        <w:tabs>
          <w:tab w:leader="none" w:pos="1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column in the consolidated balance sheet data gives effect to (i) the pro forma adjustments described in footnote (1) above and (ii) the issuance and sale of             shares of our common stock in this offering at the assumed initial public offering price of $            per share, after deducting underwriting discounts and commissions and estimated offering expenses payable by us.</w:t>
      </w:r>
    </w:p>
    <w:p>
      <w:pPr>
        <w:spacing w:after="0" w:line="213" w:lineRule="exact"/>
        <w:rPr>
          <w:rFonts w:ascii="Times New Roman" w:cs="Times New Roman" w:eastAsia="Times New Roman" w:hAnsi="Times New Roman"/>
          <w:sz w:val="14"/>
          <w:szCs w:val="14"/>
          <w:color w:val="auto"/>
        </w:rPr>
      </w:pPr>
    </w:p>
    <w:p>
      <w:pPr>
        <w:jc w:val="both"/>
        <w:ind w:left="1640" w:right="399" w:hanging="362"/>
        <w:spacing w:after="0" w:line="246" w:lineRule="auto"/>
        <w:tabs>
          <w:tab w:leader="none" w:pos="1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information is illustrative only and will depend on the actual initial public offering price and other terms of this offering determined at pricing. Each $1.00 increase or decrease in the assumed initial public offering price of $            per share would increase or decrease, as applicable, each of our cash and cash equivalents, working capital, total assets and total stockholders’ equity (deficit) by $1.0 million, assuming that the number of shares offered by us, as set forth on the cover page of this prospectus, remains the same, after deducting underwriting discounts and commissions and estimated offering expenses payable by us. Similarly, each increase or decrease of 1.0 million shares in the number of shares of common stock offered by us would increase or decrease, as applicable, each of our cash and cash equivalents, working capital, total assets and total stockholders’ equity (deficit) by $1.0 million, and after deducting underwriting discounts and commissions and estimated offering expenses payable by us.</w:t>
      </w:r>
    </w:p>
    <w:p>
      <w:pPr>
        <w:spacing w:after="0" w:line="205" w:lineRule="exact"/>
        <w:rPr>
          <w:rFonts w:ascii="Times New Roman" w:cs="Times New Roman" w:eastAsia="Times New Roman" w:hAnsi="Times New Roman"/>
          <w:sz w:val="14"/>
          <w:szCs w:val="14"/>
          <w:color w:val="auto"/>
        </w:rPr>
      </w:pPr>
    </w:p>
    <w:p>
      <w:pPr>
        <w:jc w:val="both"/>
        <w:ind w:left="1640" w:right="399" w:hanging="362"/>
        <w:spacing w:after="0" w:line="269" w:lineRule="auto"/>
        <w:tabs>
          <w:tab w:leader="none" w:pos="1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unaudited interim condensed consolidated financial statements and the related notes included elsewhere in this prospectus for further details regarding our current assets and current liabilities.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deciding to invest in shares of our common stock, you should carefully consider the risks described below, together with the other information contained in this prospectus, including in the section titled “Management’s Discussion and Analysis of Financial Condition and Results of Operations” and in our audited financial statements and the related notes included elsewhere in this prospectus. We cannot assure you that any of the events discussed below will not occur. These events could adversely impact our business, financial condition, results of operations and prospects. If that were to happen, the trading price of our common stock could decline, and you could lose all or part of your investment.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biopharmaceutical company with a limited operating history and no products approved for commercial sale, and have incurred substantial losses since our inception and anticipate incurring substantial and increasing losses for the foreseeable future.</w:t>
      </w:r>
    </w:p>
    <w:p>
      <w:pPr>
        <w:spacing w:after="0" w:line="101"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We are a clinical stage biopharmaceutical company with a limited operating history on which to base your investment decision. We have no product candidates approved for commercial sale and have not generated any revenue. Biopharmaceutical product development is a highly speculative undertaking. It entails substantial upfront capital expenditures and significant risk that any product candidate will fail to demonstrate adequate efficacy or an acceptable safety profile, gain regulatory approval or become commercially viable.</w:t>
      </w:r>
    </w:p>
    <w:p>
      <w:pPr>
        <w:spacing w:after="0" w:line="325"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Our most advanced candidate is ESK-001, an oral, small molecule allosteric inhibitor of Tyrosine Kinase 2 (TYK2). We are currently conducting Phase 2 clinical trials of ESK -001 in each of moderate-to-severe plaque psoriasis (PsO) and systemic lupus erythematosus (SLE). We plan to commence Phase 3 pivotal trials of ESK-001 in PsO in the second half of 2024. In addition, we are advancing A-005, an investigational central nervous system (CNS) penetrant allosteric inhibitor of TYK2 that has a potential application in multiple sclerosis (MS) and other neuroinflammatory and neurodegenerative diseases, currently in clinical development. Our ability to achieve profitability in the future is dependent upon obtaining regulatory approval for and successfully commercializing our most advanced candidate, ESK- 001, either alone or with third parties. However, our operations may not be profitable even if ESK-001 is successfully developed, approved and thereafter commercialized.</w:t>
      </w:r>
    </w:p>
    <w:p>
      <w:pPr>
        <w:spacing w:after="0" w:line="118"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We have and will continue to incur significant development and other expenses related to our research and clinical development programs and ongoing operations. For the three months ended March 31, 2023 and 2024, our net losses were $ 36.0 million and $49.8 million, respectively, and for the years ended December 31, 2022 and 2023, our net losses were $ 111.9 million and $155.0 million, respectively. As of March 31, 2024, we had an accumulated deficit of $414.2 million. Substantially all of our losses have resulted from expenses incurred in connection with the acquisition and development of our pipeline and from general and administrative costs associated with our operations. We expect to incur significant losses for the foreseeable future, and we expect these losses to increase as we continue our development of our product candidates.</w:t>
      </w:r>
    </w:p>
    <w:p>
      <w:pPr>
        <w:spacing w:after="0" w:line="3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04"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ESK-001, A-005, and other programs;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other acquisitions, and conduct development activities, including preclinical studies and clinical trials;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and future product candidates;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or any future product candidates;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product candidates or any future product candidates, if approved;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clinical, scientific, operations and management personnel;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maintain, enforce and defend our rights in our intellectual property portfolio;</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third-party interference, infringement and other intellectual property claims, if any;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therapies and market developments;</w:t>
      </w:r>
    </w:p>
    <w:p>
      <w:pPr>
        <w:spacing w:after="0" w:line="144"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in our preclinical studies or clinical trials and seeking regulatory approval for our product candidates due to public health concerns, macroeconomic conditions or geopolitical conflicts; and</w:t>
      </w:r>
    </w:p>
    <w:p>
      <w:pPr>
        <w:spacing w:after="0" w:line="29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 following the completion of this offering.</w:t>
      </w:r>
    </w:p>
    <w:p>
      <w:pPr>
        <w:spacing w:after="0" w:line="9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Even if we succeed in commercializing one or more product candidates, we expect to incur substantial development costs and other expenditures to develop and market additional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 or raise additional capital. Our prior losses and expected future losses have had and will continue to have an adverse effect on our stockholders’ equity (deficit) and our working capital.</w:t>
      </w:r>
    </w:p>
    <w:p>
      <w:pPr>
        <w:spacing w:after="0" w:line="108"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put on clinical hold or terminated by us, the investigational review boards (IRBs) or ethics committees of the institutions in which such trials are being conducted, the U.S. Food and Drug Administration (the FDA), or other comparable foreign regulatory authorities, or if a clinical trial is recommended for suspension or termination by the Data Safety Monitoring Board for such trial. A suspension, clinical hold or termination may be imposed due to a number of factors, including failure to conduct the clinical trial in accordance with regulatory requirements or our clinical protocols, failure by our contract research organizations (CROs) or clinical trial sites to perform in accordance with good clinical practices (GCP) requirements, or applicable regulatory guidelines in other countries, inspection of the clinical trial operations or trial site by the FDA or other comparable foreign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For example, we discontinued our proof-of-concept Phase 2a clinical trial of ESK-001 in patients with non-infectious uveitis in June 2024 based on the efficacy results of a data analysis prepared for a scheduled monitoring committee meeting, which efficacy results did not meet our clinical threshold for success despite safety results consistent with ESK-001’s safety profile in psoriasis patients. Many of the factors that cause, or lead to, a delay in the commencement or completion of clinical trials may also ultimately lead to the denial of regulatory approval of our product candidates. Further, the FDA or other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35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may also, in the future, conduct preclinical and clinical research in collaboration with other academic, pharmaceutical and biotechnology entities in which we combine our research or development efforts with those of our collaborators. Such collaborations may be subject to additional delays because of the management of the trials, contract negotiations, the need to obtain agreement from multiple parties and may increase our future costs and expenses.</w:t>
      </w:r>
    </w:p>
    <w:p>
      <w:pPr>
        <w:spacing w:after="0" w:line="11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regulatory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participants in clinical trials is an expensive and time-consuming process and could be made more difficult or rendered impossible by multiple factors outside our control, including difficulties in identifying patients, the availability of competitive products, and significant competition for recruiting participants in clinical trials.</w:t>
      </w:r>
    </w:p>
    <w:p>
      <w:pPr>
        <w:spacing w:after="0" w:line="115"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color w:val="auto"/>
        </w:rPr>
        <w:t>Participant enrollment, a significant factor in the timing of clinical trials, is affected by many conditions including the size and nature of the patient population, the number and location of clinical sites we enroll, the proximity of participants to clinical sites, the eligibility and exclusion criteria for the trial, the design of the clinical trial, the inability to obtain and maintain participant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Risks related to patient enrollment are heightened in longer clinical trials, including the 48-week trial period contemplated by our ongoing Phase 2b clinical trial of ESK-001 in SLE. In particular, this trial has been and may continue to be challenging to enroll due to the fact that patients must be experiencing active disease at the time of screening to be eligible for enrollment. In addition, our clinical trials will compete with other clinical trials for product candidates that are in the same areas as our product candidates, and this competition will reduce the number and types of participants available to us, because some participants who might have opted to enroll in our trials may instead opt to enroll in a trial being conducted by one of our competitors, or to use currently marketed therapies. Additionally, participants, including participants in any control groups, may withdraw from the clinical trial if they are not experiencing improvement in their underlying disease or condition or if they experience other difficulties or issues. Additionally, we could encounter delays if treating clinicians encounter unresolved ethical issues associated with enrolling participants in clinical trials of our product candidates in lieu of prescribing existing treatments that have established safety and efficacy profiles.</w:t>
      </w:r>
    </w:p>
    <w:p>
      <w:pPr>
        <w:spacing w:after="0" w:line="337"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have in the past and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spacing w:after="0" w:line="399"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failure to obtain additional capital when needed, or on acceptable terms to us, could cause us to delay, limit, reduce, or terminate our product development or future commercialization efforts.</w:t>
      </w:r>
    </w:p>
    <w:p>
      <w:pPr>
        <w:spacing w:after="0" w:line="10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 holder of our common stock.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337"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future collaborations, licenses and other similar arrangements, we may have to relinquish valuable rights to our future revenue streams or product candidates,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Product Candidate Development and Commercialization</w:t>
      </w:r>
    </w:p>
    <w:p>
      <w:pPr>
        <w:spacing w:after="0" w:line="225"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spacing w:after="0" w:line="107"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Our product candidates are either in clinical or preclinical development, and their risk of failure is high. It is impossible to predict when or if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for their intended uses. Before obtaining approval from regulatory authorities for the commercialization of any of our product candidates, we must conduct extensive clinical trials to demonstrate the safety and efficacy of the product candidate in humans.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Investigational New Drug application (IND) or similar regulatory submission. The FDA or comparable foreign regulatory authorities may require us to conduct additional preclinical studies for any product candidate before allowing us to initiate clinical trials under any IND or similar regulatory submission, which may lead to delays and increase the costs of our preclinical development programs.</w:t>
      </w:r>
    </w:p>
    <w:p>
      <w:pPr>
        <w:spacing w:after="0" w:line="117"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Once initiated, clinical testing can take many years to complete, and its outcome is inherently uncertain.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For example, notwithstanding extensive preclinical testing demonstrating that A-005 can penetrate the CNS, our clinical trials of A-005 may show that it cannot penetrate the human CNS as fully as was observed in preclinical testing.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and we have experienced and may experience setbacks in our programs in the future. For example, we discontinued our proof-of-concept Phase 2a clinical trial of ESK-001 in patients with non-infectious uveitis in June 2024 based on the efficacy results of a data analysis prepared for a scheduled monitoring committee meeting, which efficacy results did not meet our clinical threshold for success despite safety results consistent with ESK-001’s safety profile in psoriasis patients. Moreover, clinical data are often susceptible to varying interpretations and analyses, and many companies that have believed their product candidates performed satisfactorily in clinical trials have nonetheless failed to obtain regulatory approval of such product candidates.</w:t>
      </w:r>
    </w:p>
    <w:p>
      <w:pPr>
        <w:spacing w:after="0" w:line="333"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Commencing any future clinical trials is subject to finalizing the trial design and submitting an application to the FDA or a comparable foreign regulatory authority. Even after we make our submission, the FDA or comparable foreign regulatory authorities could disagree that we have satisfied their requirements to commence our clinical trials or disagree with our study design, which may require us to complete additional trials or amend our protocols or impose stricter conditions on the commencement of clinical trials.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w:t>
      </w:r>
    </w:p>
    <w:p>
      <w:pPr>
        <w:spacing w:after="0" w:line="12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expect to continue to rely on our CROs and clinical trial sites to ensure the proper and timely conduct of our clinical trials, including the participant enrollment process, and we have limited influence over their performance. We or any future collaborators may experience delays in initiating or completing clinical trials due to unforeseen events or otherwise, that could delay or prevent our ability to receive regulatory approval or commercialize our current and any future product candidates, including:</w:t>
      </w:r>
    </w:p>
    <w:p>
      <w:pPr>
        <w:spacing w:after="0" w:line="67" w:lineRule="exact"/>
        <w:rPr>
          <w:sz w:val="20"/>
          <w:szCs w:val="20"/>
          <w:color w:val="auto"/>
        </w:rPr>
      </w:pPr>
    </w:p>
    <w:p>
      <w:pPr>
        <w:ind w:left="1800" w:right="419" w:hanging="180"/>
        <w:spacing w:after="0" w:line="284"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be unable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such as the FDA or comparable foreign regulatory authorities, may disagree with the design or implementation of our clinical trials;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such as the FDA or comparable foreign regulatory authorities, IRBs, or ethics committees may impose additional requirements before permitting us to initiate a clinical trial, may not allow us or our investigators to commence or conduct a clinical trial at a prospective trial site, may not allow us to amend trial protocols, or regulators may require that we modify or amend our clinical trial protocols;</w:t>
      </w:r>
    </w:p>
    <w:p>
      <w:pPr>
        <w:spacing w:after="0" w:line="29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trial sites and CROs, the terms of which can be subject to extensive negotiation and may vary significantly;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recruit, or train suitable clinical investigators;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may deviate from trial protocol or drop out of a trial;</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 or we may have insufficient funds to initiate or complete a clinical trial or to pay the substantial user fees required by the FDA upon the submission of a New Drug Application (NDA) or comparable marketing authorization application in another jurisdiction;</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quantity of data relating to our product candidates or other materials necessary to conduct our clinical trials may be inadequate to initiate or complete a given clinical trial;</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tolerability or efficacy concerns about our product candidates;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trial sites may fail to perform in accordance with GCP requirements or other applicable regulations, rules or guidelines;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manufacture our product candidates from our contract manufacturing organizations (CMOs) in accordance with current Good Manufacturing Practice (cGMP) regulations or other applicable requirements in sufficient quantities for use in our clinical trials;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(SAEs) may occur in trials of the same class of agents conducted by other companies that could be considered similar to our product candidates;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select clinical endpoints that require prolonged periods of clinical observation or extended analysis of the resulting data;</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transfer our manufacturing processes to larger-scale facilities operated by a different CMO, or may experience delays or failure by our CMOs or us to make any necessary changes to such manufacturing process;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be unwilling or unable to satisfy their contractual obligations to us in a timely manner.</w:t>
      </w:r>
    </w:p>
    <w:p>
      <w:pPr>
        <w:spacing w:after="0" w:line="35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In addition, we have historically leveraged our extensive analyses of immune- relevant genome-wide association study (GWAS) results from both the public domain and the UK Biobank biomedical resource to identify the right therapeutic target on which to focus our preclinical and clinical development efforts. If our access to GWAS results from the public domain or the UK Biobank biomedical resource were to be restricted, including as a result of any potential future legislative policies or regulations that may seek to restrict the sharing of genetic data, our ability to efficiently identify additional therapeutic targets may be limited.</w:t>
      </w:r>
    </w:p>
    <w:p>
      <w:pPr>
        <w:spacing w:after="0" w:line="325"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In the EU, the EU Clinical Trials Regulation (CTR) became applicable on January 31, 2022, repealing and replacing the Clinical Trials Directive (CTD). The</w:t>
      </w:r>
    </w:p>
    <w:p>
      <w:pPr>
        <w:ind w:left="1260"/>
        <w:spacing w:after="0"/>
        <w:rPr>
          <w:sz w:val="20"/>
          <w:szCs w:val="20"/>
          <w:color w:val="auto"/>
        </w:rPr>
      </w:pPr>
      <w:r>
        <w:rPr>
          <w:rFonts w:ascii="Times New Roman" w:cs="Times New Roman" w:eastAsia="Times New Roman" w:hAnsi="Times New Roman"/>
          <w:sz w:val="18"/>
          <w:szCs w:val="18"/>
          <w:color w:val="auto"/>
        </w:rPr>
        <w:t>CTR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(CTIS). The CTR provides a three-year transition period. The extent to which ongoing clinical trials will be governed by the CTR varies. Clinical trials for which an application for approval was made on the basis of the CTD (i) before January 31, 2022, or (ii) between January 31, 2022 and January 31, 2023 and for which the sponsor has opted for the application of the CTD, remain governed by the CTD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spacing w:after="0" w:line="327"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It is currently unclear to what extent the UK, will seek to align its regulations with the EU. The UK regulatory framework in relation to clinical trials is derived from the CTD (as implemented into UK law, through secondary legislation).On January 17, 2022, the UK Medicines and Healthcare products Regulatory Agency (MHRA) launched an eight-week consultation on reframing the UK legislation for clinical trials with specific aims to streamline clinical trials approvals, enable innovation, enhance clinical trials transparency, enable greater risk proportionality, and promote patient and public involvement in clinical trials. The MHRA published its consultation outcome on March 21, 2023 in which it confirmed that it would update the existing legislation. The resulting legislative changes will ultimately determine the extent to which the UK regulations align with the CTR. A decision by the UK Government not to closely align its regulations with the new approach that has been adopted in the EU may have an effect on the cost of conducting clinical trials in the UK as opposed to other countries.</w:t>
      </w:r>
    </w:p>
    <w:p>
      <w:pPr>
        <w:spacing w:after="0" w:line="184"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reveal significant adverse events not seen in our preclinical studies or prior clinical trials and may result in a safety or tolerability profile that could delay or prevent regulatory approval or market acceptance of ESK-001, A-005 or any future product candidates.</w:t>
      </w:r>
    </w:p>
    <w:p>
      <w:pPr>
        <w:spacing w:after="0" w:line="10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Undesirable or clinically unmanageable side effects observed in our clinical trials for our product candidates could occur and cause us or regulatory authorities to interrupt, delay or halt our clinical trials and could result in a more restrictive labeling or the delay or denial of regulatory approval by the FDA or comparable foreign regulatory authorities.</w:t>
      </w:r>
    </w:p>
    <w:p>
      <w:pPr>
        <w:spacing w:after="0" w:line="11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have observed SAEs and adverse events (AEs) in our trials of ESK-001, and as more patients become exposed to ESK-001 over longer periods of time, we expect to see additional SAEs and AEs emerge. Further, long term treatment with ESK-001 continues to be evaluated in open label extension (OLE) and long term extension (LTE) trials, and additional AEs and SAEs will continue to accumulate. Certain conditions occur more frequently in patients with psoriasis compared to the general population. Examples include obesity, cardiovascular disease, psoriatic arthritis, and depression. Immune modulating treatments including ESK-001 may result in increasing susceptibility to various infections, including serious or life-threatening infections, and there is a theoretical risk with immune-modulating agents that dampening immune responses could increase the risk of malignancies. However, no increase in malignancy risk has been demonstrated to date with approved therapies targeting similar immunological pathways, including TYK-2, IL-23 and type I IFN. Furthermore, a naturally occurring TYK-2 loss-of-function-mutation (P1104A) that is present in 3-5% of Caucasian populations has not been associated with increased cancer risk in rigorous analyses of large genetic data sets.</w:t>
      </w:r>
    </w:p>
    <w:p>
      <w:pPr>
        <w:spacing w:after="0" w:line="33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Other TYK2 inhibitors, such as deucravacitinib (marketed as Sotyktu), which is approved for the treatment of adults with PsO, have shown AEs such as hypersensitivity reactions, infections, tuberculosis, malignancy, rhabdomyolysis, elevated PK and potential SAEs related to JAK inhibition, such as cardiovascular and thrombotic events. There can be no assurance that we will not observe such AEs in our ongoing and planned clinical trials of ESK-001.</w:t>
      </w:r>
    </w:p>
    <w:p>
      <w:pPr>
        <w:spacing w:after="0" w:line="114"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As of May 31, 2024, there have been six SAEs in the OLE trial. Two SAEs were considered potentially related: a case of wrist arthritis in a patient with a history of gout and osteoarthritis; and a case of peritonsillar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abscess (40mg BID) following COVID-19 infection that required treatment with antibiotics. Four additional SAEs were considered unrelated by the investigator, by us, or by both; a case of sepsis in a patient with diabetic leg ulcers (40mg BID); a case of dyspnea (40mg QD); a case of EGFR-positive, adenocarcinoma of the lung (40mg QD) in a patient with a strong familial history of lung cancer; and a case of advanced renal cell carcinoma (40mg BID) which, due to its large size and the slow-growing nature of renal cell carcinomas, very likely preceded exposure to ESK-001. In both cases of malignancy, the investigator could not definitively rule out relationship to ESK-001 but in our assessment, both cases were unrelated to ESK-001 treatment. Additionally, the adenocarcinoma of the lung (NSCLC) occurred after four weeks from the last dose and therefore is considered non-treatment-emergent and not shown in the table above.</w:t>
      </w:r>
    </w:p>
    <w:p>
      <w:pPr>
        <w:spacing w:after="0" w:line="12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most commonly reported AEs in our PsO trials include upper respiratory infections, nasopharyngitis and headaches.</w:t>
      </w:r>
    </w:p>
    <w:p>
      <w:pPr>
        <w:spacing w:after="0" w:line="9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AEs, SAEs or other side effects are observed in any of our ongoing or future clinical trials that are atypical of, or more severe than, the known side effects of the respective class of agents that each of our product candidates are a part of, we may have difficulty recruiting participants to our clinical trials, participants may drop out of our trials, or we may be required to abandon those trials or our development efforts of one or more product candidates altogether. If such effects are more severe or less reversible than we expect, or not reversible at all, we may decide or be required to perform additional studies or to halt or delay further clinical development of ESK-001, A-005 or any future product candidates, which could result in the delay or denial of regulatory approval by the FDA or comparable foreign regulatory authorities.</w:t>
      </w:r>
    </w:p>
    <w:p>
      <w:pPr>
        <w:spacing w:after="0" w:line="11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In addition, we believe that one of the potential benefits of ESK-001 includes the potential to improve on the safety and side-effect profile of the only currently approved allosteric TYK2 inhibitor in the United States. If ESK-001 is shown to have similar AEs, side effects or other safety or tolerability concerns, then our opportunity to disrupt the current standard of care may be limited. AEs and SAEs that emerge during clinical investigation of or treatment with ESK-001, A-005, or any future product candidates may be deemed to be related to our product candidates. This may require longer and more extensive clinical development, or regulatory authorities may increase the amount of data and information required to approve, market, or maintain ESK-001, A-005 or any future product candidates and could result in warnings and precautions in our product labeling or a restrictive risk evaluation and mitigation strategy (REMS) or comparable foreign strategies. This may also result in an inability to obtain approval of ESK-001, A-005 or any future product candidates. We, the FDA or other comparable foreign regulatory authorities, or an IRB or ethics committee, may suspend clinical trials of a product candidate at any time for various reasons, including a belief that participants in such trials are being exposed to unacceptable health risks or adverse side effects. Some potential product candidates developed in the biotechnology industry that initially showed promise in early-stage trials have later been found to cause side effects that prevented their further development. Even if the side effects do not preclude the product candidate from obtaining or maintaining regulatory approval, undesirable side effects, like those mentioned above, may inhibit market acceptance of the approved product due to its tolerability versus other therapies. Any of these developments could materially harm our business, financial condition, results of operations and prospects.</w:t>
      </w:r>
    </w:p>
    <w:p>
      <w:pPr>
        <w:spacing w:after="0" w:line="34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comparable foreign strategies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associated with AEs include:</w:t>
      </w:r>
    </w:p>
    <w:p>
      <w:pPr>
        <w:spacing w:after="0" w:line="302" w:lineRule="exact"/>
        <w:rPr>
          <w:sz w:val="20"/>
          <w:szCs w:val="20"/>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suspend marketing of a product, or we may decide to remove such product from the marketplace;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change their approvals of a product;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a product for patients, or to conduct post-marketing studies.</w:t>
      </w:r>
    </w:p>
    <w:p>
      <w:pPr>
        <w:spacing w:after="0" w:line="9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our product candidates, if approved by the FDA or comparable foreign regulatory authorities.</w:t>
      </w:r>
    </w:p>
    <w:p>
      <w:pPr>
        <w:spacing w:after="0" w:line="186"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and interim data from our clinical trials that we announce or publish from time to time may change as more patient data become available or are subject to audit and verification procedures that could result in material changes in the final data.</w:t>
      </w:r>
    </w:p>
    <w:p>
      <w:pPr>
        <w:spacing w:after="0" w:line="10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preliminary data we previously published. As a result, top-line and preliminary data should be viewed with caution until the final data are available.</w:t>
      </w:r>
    </w:p>
    <w:p>
      <w:pPr>
        <w:spacing w:after="0" w:line="124"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From time to time, we may also disclose data from interim analyses from our clinical trials. Interim analyses from clinical trials that we may complete are subject to the risk that one or more of the clinical outcomes may materially change as participants enrollment continues and more participant data become available or as participants from our clinical trials continue other treatments for their disease. Adverse differences between interim data, topline data, or preliminary data and final data could significantly harm our business prospects.</w:t>
      </w:r>
    </w:p>
    <w:p>
      <w:pPr>
        <w:spacing w:after="0" w:line="33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could adversely affect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0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 after this offering.</w:t>
      </w:r>
    </w:p>
    <w:p>
      <w:pPr>
        <w:spacing w:after="0" w:line="179"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are currently conducting, and may in the future conduct, clinical trials for current or future product candidates outside the United States, and the FDA and comparable foreign regulatory authorities may not accept data from such trials.</w:t>
      </w:r>
    </w:p>
    <w:p>
      <w:pPr>
        <w:spacing w:after="0" w:line="107"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have conducted, are currently conducting, and may in the future conduct, clinical trials outside the United States, including in Argentina, Austria, Australia, Belgium, Bulgaria, Canada, Chile, Colombia, Croatia, Czech Republic, Denmark, Estonia, France, Georgia, Germany, Hungary, India, Israel, Japan, Latvia, Mexico, Netherlands, Peru, Philippines, Poland, Portugal, Puerto Rico, Romania, South Korea, Spain, Taiwan, and the UK. We expect to continue to conduct trials internationally in the future. The acceptance of data from clinical trials conducted outside the United States or another jurisdiction by the FDA or comparable foreign regulatory authorities may be subject to certain conditions or may not be accepted at all. In cases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where data from foreign clinical trials are intended to serve as the sole basis for regulatory approval in the United States, the FDA will generally not approve the application on the basis of foreign data alone unless</w:t>
      </w:r>
    </w:p>
    <w:p>
      <w:pPr>
        <w:jc w:val="both"/>
        <w:ind w:left="1260" w:right="419"/>
        <w:spacing w:after="0"/>
        <w:tabs>
          <w:tab w:leader="none" w:pos="14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are applicable to the U.S. population and U.S. medical practice and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are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spacing w:after="0" w:line="39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our current or future product candidates in the United States, we may never receive regulatory approval to market outside of the United States.</w:t>
      </w:r>
    </w:p>
    <w:p>
      <w:pPr>
        <w:spacing w:after="0" w:line="7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We plan to seek regulatory approval for our current and future product candidates outside of the United States and are currently conducting certain clinical trials internationally, including in the European Union (EU) and Japan.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regulatory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Regulatory approval in one country does not ensure regulatory approval in another, but a failure or delay in obtaining regulatory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spacing w:after="0" w:line="200" w:lineRule="exact"/>
        <w:rPr>
          <w:sz w:val="20"/>
          <w:szCs w:val="20"/>
          <w:color w:val="auto"/>
        </w:rPr>
      </w:pPr>
    </w:p>
    <w:p>
      <w:pPr>
        <w:spacing w:after="0" w:line="202"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successful commercialization of our product candidates, if approved, will depend in part on the extent to which governmental authorities and health payors and insurers establish coverage, adequate reimbursement levels and favorable pricing policies. Failure to obtain or maintain coverage and adequate reimbursement for our product candidates could limit our ability to market those products and decrease our ability to generate revenue.</w:t>
      </w:r>
    </w:p>
    <w:p>
      <w:pPr>
        <w:spacing w:after="0" w:line="93"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Even if we obtain coverage for a given product by a third-party payor, the resulting reimbursement payment rates may not be adequate or may require co-payments that patients find unacceptably high. We cannot be sure that coverage and reimbursement in the United States, the EU, Japan or elsewhere will be available for any product that we may develop, and any reimbursement that may become available may be decreased or eliminated in the future.</w:t>
      </w:r>
    </w:p>
    <w:p>
      <w:pPr>
        <w:spacing w:after="0" w:line="328"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equivalent generic drugs, biosimilars or less expensive therapies are available. It is possible that a third-party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payor may consider our product candidates, if approved, as substitutable and only be willing to cover the cost of the alternative product. Even if we show improved efficacy, safety or improved convenience of administration with ESK-001, A-005 or any of our future product candidates, if approved, pricing of competitive products may limit the amount we will be able to charge for our product candidates, if approved. Third-party payors may deny or revoke the reimbursement status of a given product or establish prices for new or existing marketed products at levels that are too low to enable us to realize an appropriate return on our investment in our product candidates. In some cases, when new competitor generic and biosimilar products enter the market, there are mandatory price reductions for the innovator compound. In other cases, payors employ “therapeutic category” price referencing and seek to lower the reimbursement levels for all treatments in the respective therapeutic category. Additionally, new competitor brand drugs can trigger therapeutic category reviews in the interest of modifying coverage and/or reimbursement levels. The potential of third-party payors to introduce more challenging price negotiation methodologies could have a negative impact on our ability to successfully commercialize our product candidates, if approved.</w:t>
      </w:r>
    </w:p>
    <w:p>
      <w:pPr>
        <w:spacing w:after="0" w:line="12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therapies before they will reimburse healthcare providers who use such therapies. It is difficult to predict at this time what third-party payors will decide with respect to the coverage and reimbursement for our products, if approved.</w:t>
      </w:r>
    </w:p>
    <w:p>
      <w:pPr>
        <w:spacing w:after="0" w:line="11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1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Outside the United States, biopharmaceutical products and services are generally subject to extensive governmental price controls and other market regulations, and we believe the increasing emphasis on cost-containment initiatives in Europe and other countries will continue to put pressure on the pricing and usage of our product candidates. In many countries, the prices of medical products are subject to varying price control mechanisms as part of national health systems.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allow companies to establish their own prices for medical products but monitor and control company profits or control prescription volumes and issue guidance to physicians to limit prescriptions. In addition, some EU member states may require the completion of additional studies that compare the cost-effectiveness of a particular medicinal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w:t>
      </w:r>
    </w:p>
    <w:p>
      <w:pPr>
        <w:spacing w:after="0" w:line="342"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Additional foreign price controls or other changes in pricing regulation could restrict the amount that we are able to charge for our product candidates, if approved. In December 2021, Regulation No 2021/2282 on Health Technology Assessment (HTA Regulation) was adopted. The HTA Regulation intends to boost cooperation among EU member states in assessing health technologies, including new medicinal products, and provide the basis for cooperation at EU level for joint clinical assessments in these areas. While the HTA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Regulation entered into force in January 2022, it will only begin to apply from January 2025 onwards, with preparatory and implementation-related steps to take place in the interim. Once applicable, it will have a phased implementation depending on the concerned products. The HTA Regulation will be intended to harmonize the clinical benefit assessment of HTA across the EU. Accordingly, in markets outside the United States, the reimbursement for our product candidates may be reduced compared with the United States and may be insufficient to generate commercially reasonable revenue and profits.</w:t>
      </w:r>
    </w:p>
    <w:p>
      <w:pPr>
        <w:spacing w:after="0" w:line="11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There can be no assurance that any country that has reimbursement limitations for pharmaceutical products will allow favorable reimbursement and pricing arrangements for any of our products, if approved in those countries.</w:t>
      </w:r>
    </w:p>
    <w:p>
      <w:pPr>
        <w:spacing w:after="0" w:line="182"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made substantial investments into the rapid development of competitor treatments for immunological indications, including large and specialty pharmaceutical and biotechnology companies, many of which already have approved therapies in our current indications.</w:t>
      </w:r>
    </w:p>
    <w:p>
      <w:pPr>
        <w:spacing w:after="0" w:line="101"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development and commercialization of therapies is highly competitive. Our product candidates, if approved, will face significant competition, including from well-established, currently marketed therapies, and our failure to demonstrate a meaningful improvement to the existing standard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their products as compared to our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any future product candidates. We anticipate that we will continue to face increasing competition as new therapies and combinations thereof, and related data, emerge.</w:t>
      </w:r>
    </w:p>
    <w:p>
      <w:pPr>
        <w:spacing w:after="0" w:line="32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current product candidates, initially under development for treatment of patients with immune- mediated diseases, if approved, would face competition from existing approved immunological treatments, many of which have achieved commercial success. For example, we are currently developing ESK-001 for the treatment of PsO and SLE. Other emerging and established life sciences companies have been focused on similar therapeutics. If approved, ESK-001 would compete with several currently approved or late-stage oral clinical therapeutics, including Otezla (marketed by Amgen Inc.), Sotyktu (marketed by Bristol Myers Squibb Company (BMS)), TAK-279 (in development by Takeda Pharmaceutical Company), VTX-958 (in development by Ventyx Biosciences, Inc.), JNJ-2113 (in development by Johnson &amp; Johnson), DC-806 (in development by Lilly), as well as new early-stage therapeutic companies that may develop competing molecules. Other TYK2 agents are also under development in SLE by BMS, as well as other TYK2 clinical development programs at Galapagos NV, Innocare, and Priovant Therapeutics, Inc.</w:t>
      </w:r>
    </w:p>
    <w:p>
      <w:pPr>
        <w:spacing w:after="0" w:line="12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are also developing A-005, which has potential applications in MS and other neuroinflammatory and neurodegenerative diseases. There are several therapies available for the treatment of relapsing forms of MS, including interferon beta regulators, monoclonal antibodies, synthetic immunomodulatory drugs and S1P receptor modulators. Ocrevus, a CD20 antibody marketed by Genentech, Inc., is approved for primary progressive multiple sclerosis (PPMS).</w:t>
      </w:r>
    </w:p>
    <w:p>
      <w:pPr>
        <w:spacing w:after="0" w:line="11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To compete successfully, we need to disrupt these currently marketed drugs, meaning that we will have to demonstrate that the relative cost, method of administration, safety, tolerability and efficacy of our product candidates provide a better alternative to existing and new therapies. Our commercial opportunity and</w:t>
      </w: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likelihood of success will be reduced or eliminated if our product candidates are not ultimately demonstrated to be safer, more effective, more conveniently administered, or less expensive than the current standard of care.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w:t>
      </w:r>
    </w:p>
    <w:p>
      <w:pPr>
        <w:spacing w:after="0" w:line="11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w:t>
      </w:r>
    </w:p>
    <w:p>
      <w:pPr>
        <w:spacing w:after="0" w:line="33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in establishing clinical trial sites and enrolling patients in clinical trials, as well as in acquiring technologies complementary to, or necessary for, our programs.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jc w:val="both"/>
        <w:ind w:left="1260" w:right="399"/>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most advanced product candidate, ESK-001, and we cannot guarantee that ESK-001 will successfully complete development, receive regulatory approval or be successfully commercialized. If we are unable to develop, receive regulatory approval for, and ultimately successfully commercialize our product candidates, or if we experience significant delays in doing so, our business will be materially harmed.</w:t>
      </w:r>
    </w:p>
    <w:p>
      <w:pPr>
        <w:spacing w:after="0" w:line="113"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currently have no products approved for commercial sale or for which regulatory approval to market has been sought. We have invested a significant portion of our efforts and financial resources in the development of our most advanced product candidate, ESK-001, which is still in clinical development, and expect that we will continue to invest heavily in ESK-001, as well as our second product candidate, A-005, and any future product candidates we may develop. Our business and our ability to generate revenue, which we do not expect will occur for many years, if ever, are substantially dependent on our ability to develop, obtain regulatory approval for, and then successfully commercialize our product candidates, which may never occur.</w:t>
      </w:r>
    </w:p>
    <w:p>
      <w:pPr>
        <w:spacing w:after="0" w:line="32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product candidates will require substantial additional preclinical and clinical development time, regulatory approval, commercial manufacturing arrangements, establishment of a commercial organization, significant marketing efforts, and further investment before we can generate any revenue from product sales. We currently generate no revenue, and we may never be able to develop or commercialize any products.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AEs or failure to achieve primary endpoints in clinical trials. For example, we discontinued our proof-of-concept Phase 2a clinical trial of ESK-001 in patients with non-infectious uveitis in June 2024 based on the efficacy results of a data analysis prepared for a scheduled monitoring committee meeting, which efficacy results did not meet our clinical threshold for success despite safety results consistent with ESK-001’s safety profile in psoriasis patients. Additionally, we may in the future advance ESK-001, A-005, or future product candidates into clinical trials and terminate such trials prior to their completion.</w:t>
      </w:r>
    </w:p>
    <w:p>
      <w:pPr>
        <w:spacing w:after="0" w:line="12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Even if our product candidates are successful in clinical trials, we are not permitted to market or promote our product candidates before we receive regulatory approval from the FDA or comparable foreign regulatory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authorities, and we may never receive sufficient regulatory approval that will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spacing w:after="0" w:line="11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have not previously submitted an NDA or similar marketing application to the FDA or comparable foreign regulatory authorities for any product candidate, and we cannot be certain that our current or any future product candidates will be successful in clinical trials or receive regulatory approval. The FDA may also consider its approvals of competing products, which may alter the treatment landscape concurrently with their review of any NDA we may submit, and which may lead to changes in the FDA’s review requirements that have been previously communicated to us and our interpretation thereof, including changes to requirements for clinical data or clinical study design. Such changes could delay approval or necessitate withdrawal of any such NDA submission. Similar risks may exist in foreign jurisdictions.</w:t>
      </w:r>
    </w:p>
    <w:p>
      <w:pPr>
        <w:spacing w:after="0" w:line="12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 from our product candidates will depend on our ability to:</w:t>
      </w:r>
    </w:p>
    <w:p>
      <w:pPr>
        <w:spacing w:after="0" w:line="54" w:lineRule="exact"/>
        <w:rPr>
          <w:sz w:val="20"/>
          <w:szCs w:val="20"/>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such that third-party and government reimbursement permits broad product adoption;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superiority of our products compared to the standard of care, as well as to other therapies in development;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commercialize any of our products that receive regulatory approval;</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through CMOs in sufficient quantities and at acceptable quality and manufacturing cost to meet commercial demand at launch and thereafter;</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products;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products by patients, the medical community, and third-party payors;</w:t>
      </w:r>
    </w:p>
    <w:p>
      <w:pPr>
        <w:spacing w:after="0" w:line="314"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 and</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that our product will be used as directed and that additional unexpected safety risks will not arise.</w:t>
      </w:r>
    </w:p>
    <w:p>
      <w:pPr>
        <w:spacing w:after="0" w:line="200" w:lineRule="exact"/>
        <w:rPr>
          <w:sz w:val="20"/>
          <w:szCs w:val="20"/>
          <w:color w:val="auto"/>
        </w:rPr>
      </w:pPr>
    </w:p>
    <w:p>
      <w:pPr>
        <w:spacing w:after="0" w:line="219"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9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are subject to extensive regulation by the FDA in the U.S. and by comparable foreign regulatory authorities in foreign markets. In the U.S., we are not permitted to market our product candidates in the U.S. until we receive regulatory approval of an NDA from the FDA. Similar approvals are required in order to market product candidates in foreign countries.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regulations may change, and the FDA and comparable foreign regulatory authorities have substantial discretion in the approval process, including the ability to delay, limit or deny approval of a product candidate for many reasons.</w:t>
      </w:r>
    </w:p>
    <w:p>
      <w:pPr>
        <w:spacing w:after="0" w:line="10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U.S. or abroad, we must demonstrate with substantial evidence from adequate and well-controlled clinical trials, and to the satisfaction of the FDA or comparable foreign regulatory authorities, that such product candidates are safe and effective for their intended uses. Clinical testing is expensive, time consuming and subject to uncertainty. We cannot guarantee that any current or future clinical trials will be conducted as planned or completed on schedule, if at all, or that our product candidates will receive regulatory approval. Our planned Phase 3 pivotal trials of ESK-001 in PsO, even if successfully completed, may not be sufficient for approval of ESK-001 in that disease. Although we have discussed and intend to further discuss our Phase 3 clinical trial design and overall development plan with the FDA to align on its sufficiency to support an NDA submission, the feedback is typically non-binding and dependent on the strength of the ultimate clinical data and the FDA’s perspective on the benefit—risk profile of the treatment in the intended population. For example, the Committee for Medicinal Products for Human Use (CHMP) in the EU provided comments on the length of our two pivotal 24 week Phase 3 trials, and we plan to address their feedback with our comparator trials. These modifications could delay our development timelines for EU regulatory approval and require substantially more resources. Phase 3 clinical trials typically involve hundreds of patients, have significant costs and take years to complete. In addition to our planned Phase 3 program in PsO, we plan to initiate an additional trial of ESK-001 in SLE. Even as these trials progress, issues may arise that could require us to suspend or terminate such clinical trials or could cause the results of one cohort to differ from a prior cohort. For example, we may experience slower than anticipated enrollment in our clinical trials, which may consequently delay our development timelines or permit competitors to obtain approvals that may alter our strategy. A failure of one or more clinical trials can occur at any stage of testing, and our future clinical trials may not be successful.</w:t>
      </w:r>
    </w:p>
    <w:p>
      <w:pPr>
        <w:spacing w:after="0" w:line="333"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In addition, even if such clinical trials are successfully completed, we cannot guarantee that the FDA or comparable foreign regulatory authorities will interpret the results as we do, and more trials could be required before we submit our product candidates for approval. To the extent that the results of the clinical trials are not satisfactory to the FDA or comparable foreign regulatory authorities for support of a marketing application, we may be required to expend significant resources, which may not be available to us, to conduct additional clinical trials in support of potential approval of our product candidates.</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addition, if the FDA or comparable foreign regulatory authorities grant approval for our product candidates, then, as a condition for approval, the FDA or comparable foreign regulatory authorities may require us to perform costly post-marketing testing, including Phase 4 clinical trials or surveillance to monitor the effects of the marketed product.</w:t>
      </w:r>
    </w:p>
    <w:p>
      <w:pPr>
        <w:spacing w:after="0" w:line="11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Our clinical trial results may also not support approval. In addition, our product candidates could fail to receive regulatory approval for many reasons, including the following:</w:t>
      </w:r>
    </w:p>
    <w:p>
      <w:pPr>
        <w:spacing w:after="0" w:line="40" w:lineRule="exact"/>
        <w:rPr>
          <w:sz w:val="20"/>
          <w:szCs w:val="20"/>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2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an NDA or other comparable submission in foreign jurisdictions or to obtain regulatory approval in the United States or elsewhere;</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us regarding the formulation, labeling and/or the product specifications of our product candidates;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those sought by us, and/or may include significant restrictions on distribution and use;</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will review CMOs’ manufacturing process and inspect our CMOs’ commercial manufacturing facilities and may not approve our CMOs’ manufacturing process or facilities with respect to our product candidates;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81"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of an NDA or comparable foreign marketing application for our product candidates, the FDA or comparable foreign regulatory authority may grant approval contingent on the performance of costly additional clinical trials and/or the implementation of a REMS or comparable foreign strategies, which may be required because the FDA or comparable foreign regulatory authority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w:t>
      </w:r>
    </w:p>
    <w:p>
      <w:pPr>
        <w:spacing w:after="0" w:line="324"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policies and new regulations may be enacted. For instance, on April 26, 2023, the European Commission adopted a proposal for a new Directive and Regulation to revise the existing pharmaceutical legislation in the EU. If adopted in the form proposed, the proposals may result in a decrease in data and market exclusivity opportunities for our product candidates in the EU and make them open to generic or biosimilar competition earlier than is currently the case with a related reduction in reimbursement status.</w:t>
      </w:r>
    </w:p>
    <w:p>
      <w:pPr>
        <w:spacing w:after="0" w:line="17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or comparable foreign regulatory authorities caused by funding shortages or global health concerns could hinder their ability to hire, retain or deploy key leadership and other personnel, prevent new or modified products from being developed, review, approved or commercialized in a timely manner or at all, which could negatively impact our business.</w:t>
      </w:r>
    </w:p>
    <w:p>
      <w:pPr>
        <w:spacing w:after="0" w:line="107"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statutory, regulatory, and policy changes, the FDA’s or comparable foreign regulatory authorities’ ability to hire and retain key personnel and accept the payment of user fees, and other events that may otherwise affect the FDA’s or comparable foreign regulatory authorities’ ability to perform routine functions. In addition, government funding of other government agencies that fund research and development activities is subject to the political process, which is inherently fluid and unpredictable. Disruptions at the FDA and other agencies or comparable foreign authorities may also slow the time necessary for new drugs or modifications to approved drugs to be reviewed and/or approved by necessary government agencies or regulatory authorities, which would adversely affect our business. For example, over the last several years, the U.S. government has shut down several times and certain regulatory authorities, such as the FDA, have had to furlough critical FDA employees and stop critical activities.</w:t>
      </w:r>
    </w:p>
    <w:p>
      <w:pPr>
        <w:spacing w:after="0" w:line="327"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Separately, in response to the global COVID-19 pandemic, the FDA postponed most inspections of domestic and foreign manufacturing facilities at various points. Even though the FDA has since resumed standard inspection operations, any resurgence of the virus or emergence of new variants may lead to inspectional or administrative delays. If a prolonged government shutdown occurs, or if global health concerns prevent the FDA or other comparable foreign regulatory authorities from conducting their regular inspections, reviews, or other regulatory activities, it could significantly impact the ability of the FDA or other comparable foreign regulatory authorities to timely review and process our regulatory submissions, which could have a material adverse effect on our business.</w:t>
      </w:r>
    </w:p>
    <w:p>
      <w:pPr>
        <w:spacing w:after="0" w:line="196"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if approved, do not achieve broad market acceptance, the revenue that we generate from their sales will be limited.</w:t>
      </w:r>
    </w:p>
    <w:p>
      <w:pPr>
        <w:spacing w:after="0" w:line="9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0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degree of market acceptance of our product candidates, if approved, will depend on a number of factors, some of which are beyond our control, including:</w:t>
      </w:r>
    </w:p>
    <w:p>
      <w:pPr>
        <w:spacing w:after="0" w:line="54"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tolerability and ease of administration of our product candidates;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approved labeling, including potential limitations on the use of the product or warnings for such products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such product candidates or to which we agree as part of a mandatory REMS or risk management plan;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difficulty of administration or compliance with administration instructions of such product candidates;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as compared to the clinical benefit in relation to alternative treatments or therapies;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parties, such as insurance companies and other healthcare payors, and by government healthcare programs, including Medicare and Medicaid or comparable foreign programs;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of, and availability of, alternative treatments already used or that may later be approved for any of our intended indications;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physicians to switch their patients’ current standard of care;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patients to switch from their existing therapy regardless of the safety and efficacy of newer products;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5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85"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107"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our development efforts on certain selected product candidates in certain selected indications. For example, we are initially focused on our most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advanced product candidate, ESK-001, currently in development for the treatment of PsO and SLE, and our second product candidate, A-005, currently in development for the treatment of neuroinflammatory and neurodegenerative diseases. As a result, we may forgo or delay pursuit of opportunities with other product candidates, or other indications for our existing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For example, we discontinued our proof -of -concept Phase 2a clinical trial of ESK-001 in patients with non-infectious uveitis in June 2024 based on the efficacy results of a data analysis prepared for a scheduled monitoring committee meeting, which efficacy results did not meet our clinical threshold for success despite safety results consistent with ESK-001’s safety profile in psoriasis patients.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55"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our growth and expanding our operations, which could adversely affect our business.</w:t>
      </w:r>
    </w:p>
    <w:p>
      <w:pPr>
        <w:spacing w:after="0" w:line="9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As of March 31, 2024, we had 107 full-time employees and 2 part-time employees. As our development and commercialization plans and strategies develop, and as we transition into operating as a public company, we expect to expand our employee base for managerial, operational, financial and other resources. In addition, we have limited experience in manufacturing and commercialization. As our product candidates enter and advance through preclinical studies and clinical trials, we will need to expand our development and regulatory capabilities and contract with other organizations to provide manufacturing and other capabilities for us. In the future, we expect to have to manage additional relationships with future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adversely affect our business, financial condition, results of operations and prospects.</w:t>
      </w:r>
    </w:p>
    <w:p>
      <w:pPr>
        <w:spacing w:after="0" w:line="145"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our management team and other clinical and scientific personnel, and if we are not able to retain these individuals or recruit additional management or clinical and scientific personnel, our business will suffer.</w:t>
      </w:r>
    </w:p>
    <w:p>
      <w:pPr>
        <w:spacing w:after="0" w:line="101"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the members of our senior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31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San Francisco Bay Area.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365" w:lineRule="exact"/>
        <w:rPr>
          <w:sz w:val="20"/>
          <w:szCs w:val="20"/>
          <w:color w:val="auto"/>
        </w:rPr>
      </w:pPr>
    </w:p>
    <w:p>
      <w:pPr>
        <w:jc w:val="both"/>
        <w:ind w:left="1260" w:right="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6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CROs, CMOs and vendors. Misconduct by these parties could</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include intentional, reckless and/or negligent conduct that fails to comply with FDA or other regulations, provide true, complete and accurate information to the FDA and other similar foreign regulatory bodies, respect our confidentiality and intellectual property rights, comply with manufacturing standards we may establish, comply with healthcare fraud and abuse laws and regulations, report financial information or data accurately or disclose unauthorized activities to us. If we obtain FDA approval for our product candidates and begin commercializing those products in the United States, our potential exposure under these laws will increase significantly, and our costs associated with compliance with these laws are likely to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Similar requirements apply in foreign countries.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comparable foreign regulatory authorities, exclusion from participation in government contracting, healthcare reimbursement or other government programs, including Medicare and Medicaid or comparable foreign programs, integrity oversight and reporting obligations, or reputational harm.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9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including in the EU, the United Kingdom and Japan, for which we may rely on collaboration with third parties. We are not permitted to market or promote our product candidates before we receive regulatory approval from the applicable regulatory authority in that foreign market and may never receive such regulatory approval for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regulatory approvals, our target market will be reduced, our ability to realize the full market potential of our product candidates will be harmed and our business will be adversely affected. We may not obtain foreign regulatory approvals on a timely basis, if at all. Our failure to obtain approval for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these risks and uncertainties, including the burden of complying with complex and changing foreign regulatory, tax, accounting and legal requirements and reduced protection of intellectual property rights in some foreign countries.</w:t>
      </w:r>
    </w:p>
    <w:p>
      <w:pPr>
        <w:spacing w:after="0" w:line="399"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adversely affect our business, financial condition, results of operations and prospects.</w:t>
      </w:r>
    </w:p>
    <w:p>
      <w:pPr>
        <w:spacing w:after="0" w:line="7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As we conduct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FDA or other regulatory authority investigation of the safety and effectiveness of our future product candidates, our manufacturing processes and facilities or our marketing programs and potentially a recall of our products or more serious enforcement action, limitations on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approved indications for which they may be used or suspension, variation or withdrawal of approvals. Regardless of the merits or eventual outcome,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may need to obtain higher levels of product liability insurance for later stages of clinical development or marketing of our product candidates. Any insurance we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pacing w:after="0" w:line="200" w:lineRule="exact"/>
        <w:rPr>
          <w:sz w:val="20"/>
          <w:szCs w:val="20"/>
          <w:color w:val="auto"/>
        </w:rPr>
      </w:pPr>
    </w:p>
    <w:p>
      <w:pPr>
        <w:spacing w:after="0" w:line="207"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9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commercial general liability, general liability, cyber liability,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w:t>
      </w:r>
    </w:p>
    <w:p>
      <w:pPr>
        <w:spacing w:after="0" w:line="176"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in the future, which could impact our liquidity, increase our expenses and present significant distractions to our management.</w:t>
      </w:r>
    </w:p>
    <w:p>
      <w:pPr>
        <w:spacing w:after="0" w:line="9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may enter into strategic transactions in the future, including acquisitions of companies, asset purchases and in-licensing of intellectual property with the potential to acquire and advance new assets or product candidates where we believe we are well qualified to optimize the development of promising therapies. For example, we were founded in January 2021, and subsequently acquired ESK-001 via a stock purchase of FronThera U.S. Holdings, Inc. and its wholly owned subsidiary, FronThera U.S. Pharmaceuticals LLC (the FronThera Acquisition). Additional potential transactions that we may consider in the future include a variety of business arrangements, including strategic partnerships, in-licensing of product candidates, strategic collaborations,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w:t>
      </w:r>
    </w:p>
    <w:p>
      <w:pPr>
        <w:spacing w:after="0" w:line="11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adversely affect our business, financial condition, results of operations and prospects.</w:t>
      </w:r>
    </w:p>
    <w:p>
      <w:pPr>
        <w:spacing w:after="0" w:line="200" w:lineRule="exact"/>
        <w:rPr>
          <w:sz w:val="20"/>
          <w:szCs w:val="20"/>
          <w:color w:val="auto"/>
        </w:rPr>
      </w:pPr>
    </w:p>
    <w:p>
      <w:pPr>
        <w:spacing w:after="0" w:line="201"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(NOL) carryforwards and certain other tax attributes to offset taxable income or taxes may be limited.</w:t>
      </w:r>
    </w:p>
    <w:p>
      <w:pPr>
        <w:spacing w:after="0" w:line="7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As of December 31, 2023, we had federal NOL carryforwards of $48.6 million and state NOL carryforwards of $4.4 million. Under the Internal Revenue Code of 1986, as amended (the Code), our U.S. federal net operating losses generated post tax years beginning after December 31, 2017 will not expire and may be carried forward indefinitely, but the deductibility of such federal net operating losses is limited to no more than 80% of current year taxable income.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 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date, and there may be ownership changes in the future, some of which may be outside of our control. If we undergo an ownership change, and our ability to use our pre-change NOL carryforwards and other pre-change tax attributes (such as research tax credits) to offset our post-change income or taxes (if any) is limited, such limitation could harm our future results of operations by effectively increasing our future tax obligations.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 and future changes to tax laws could materially adversely affect our company.</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with respect to income and non -income taxes, are unsettled and may be subject to significant change. Changes in tax laws, regulations, or rulings, or changes in interpretations of existing laws and regulations, could materially adversely affect our company. For example, the Tax Cuts and Jobs Act, the Coronavirus Aid, Relief, and Economic Security Act, and the Inflation Reduction Act enacted many significant changes to the U.S. tax laws. Future guidance from the Internal Revenue Service and other tax authorities with respect to such legislation may affect us, and certain aspects thereof could be repealed or modified in future legislation. For example, the Inflation Reduction Act includes provisions that will impact the U.S. federal income taxation of certain corporations, including imposing a 15% minimum tax on the book income of certain large corporations and an excise tax on certain corporate stock repurchases that would be imposed on the corporation repurchasing such stock.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w:t>
      </w:r>
    </w:p>
    <w:p>
      <w:pPr>
        <w:spacing w:after="0" w:line="199" w:lineRule="exact"/>
        <w:rPr>
          <w:sz w:val="20"/>
          <w:szCs w:val="20"/>
          <w:color w:val="auto"/>
        </w:rPr>
      </w:pPr>
    </w:p>
    <w:p>
      <w:pPr>
        <w:jc w:val="both"/>
        <w:ind w:left="1260" w:right="39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used by our CROs, CMOs, clinical sites or other third parties upon which 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regulatory investigations or actions, litigation, fines, penalties and liability, and other adverse consequences to our business, results of operations, and financial condition.</w:t>
      </w:r>
    </w:p>
    <w:p>
      <w:pPr>
        <w:spacing w:after="0" w:line="113"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personal information and other sensitive data, including intellectual property, trade secrets, proprietary or confidential business information, preclinical and clinical trial data, personal information related to relevant stakeholders, third-party data, and other sensitive data (collectively, sensitive information) and as a result, we and the third parties upon which we rely face a variety of evolving threats which could cause security incidents affecting or interruptions to our information technology systems and sensitive information.</w:t>
      </w:r>
    </w:p>
    <w:p>
      <w:pPr>
        <w:spacing w:after="0" w:line="11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information technology systems and those of our CROs, CMOs, clinical sites and other third parties upon which we rely are vulnerable to attack, damage and interruption from a variety of evolving threats, including but not limited to computer viruses, misconfigurations, software bugs, worms, or other vulnerabilities and malicious codes, malware (including ransomware and as a result of advanced persistent threat intrusions), application security attacks, social engineering (including through phishing attacks and deep fakes, which may be increasingly more difficult to identify as fake), supply chain attacks and vulnerabilities through our third-party service providers, denial or degradation-of-service attacks (such as credential stuffing), credential harvesting, personnel misconduct or error, fraud, server malfunctions, software or hardware failures, loss of data or other information technology assets, attacks enhanced or facilitated by AI, adware, telecommunications and electrical failures, terrorism, war, earthquakes, fires, floods, and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similar threats. Such threats are prevalent, are occurring more often,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information), loss of income, significant extra expenses to restore data or systems, reputational loss, the diversion of funds and other consequences. To alleviate the negative impact of a ransomware attack, it may be preferable to make extortion payments, but we may be unwilling or unable to do so (including, for example, if applicable laws or regulations prohibit such payments).</w:t>
      </w:r>
    </w:p>
    <w:p>
      <w:pPr>
        <w:spacing w:after="0" w:line="11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Some actors also now engage and are expected to continue to engage in cyberattacks, including without limitation nation- 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operations and supply chain. 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11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Additionally, remote work has become more common and has increased risks to our information technology systems and data, as more of our personnel utilize network connections, computers and devices outside our premises or network, including working at home, while in transit and in public locations.</w:t>
      </w:r>
    </w:p>
    <w:p>
      <w:pPr>
        <w:spacing w:after="0" w:line="10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issues that were not found during due diligence of such acquired or integrated entities, and it may be difficult to integrate acquired entities into our information technology environment and security program.</w:t>
      </w:r>
    </w:p>
    <w:p>
      <w:pPr>
        <w:spacing w:after="0" w:line="325"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While we take steps designed to anticipate, detect and remediate threats and vulnerabilities, because the threats and techniques used to exploit such vulnerabilities and gain unauthorized access to, to sabotage or otherwise compromise systems change frequently, are often sophisticated in nature, and are often are not recognized until launched against a target, we may be unable to anticipate these techniques or implement and maintain adequate preventative measures. Therefore, such vulnerabilities have and could be exploited but may not be detected until after a security incident has occurred. We may also experience security breaches that may remain undetected for an extended period. Even if identified, we may experience delays in developing and deploying remedial measures designed to address any such identified vulnerabilities and we may be unable to adequately investigate or remediate incidents or breaches due to attackers increasingly using tools and techniques that are designed to circumvent controls, to avoid detection, and to remove or obfuscate forensic evidence. There can be no assurance that our information security policies, controls or procedures, will be fully implemented, complied with or effective in protecting our systems and sensitive information.</w:t>
      </w:r>
    </w:p>
    <w:p>
      <w:pPr>
        <w:spacing w:after="0" w:line="32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reliance on third- party service providers could introduce additional cybersecurity risks and vulnerabilities, including supply-chain attacks and other threats to our business operations. We rely on third-party service providers and technologies to operate critical business systems and to process sensitive information in a variety of contexts, including, without limitation, cloud-based infrastructure, data hosting, encryption and authentication technology, personnel email, human resource management, training and other functions. We also rely on third-party service providers to assist with our clinical trials or otherwise to operate our business, including to manage and store sensitive patient data from our clinical trials. Our ability to monitor these third parties’ information security practices is limited, and these third parties may not have adequate information security measures in place. Our third-party service providers have and may in the future experience a security incident or other interruption.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that could result in a breach of or disruption to our information technology systems or the third-party information technology systems that support our operations.</w:t>
      </w:r>
    </w:p>
    <w:p>
      <w:pPr>
        <w:spacing w:after="0" w:line="81"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and certain of our service providers have been and are from time to time subject to cyberattacks and security incidents. Any of the previously identified or similar threats have or could cause a security incident or other interruption that could result in unauthorized, unlawful, or accidental acquisition, modification, destruction, loss, alteration, encryption, disclosure, or other processing of, or access to our sensitive information or our information technology systems, or those of the third parties upon whom we rely. A security incident or other interruption could disrupt our ability (and that of third parties upon whom we rely) to conduct clinical trials. Additionally, sensitive information of the company could be leaked, disclosed, or revealed as a result of or in connection with our employees’, personnels’, or vendors’ use of generative AI technologies.</w:t>
      </w:r>
    </w:p>
    <w:p>
      <w:pPr>
        <w:spacing w:after="0" w:line="32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cause us to incur significant expenses. If the information technology systems of our CROs, CMOs, clinical sites and other third parties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Further, our cyber liability insurance coverage may not be sufficient to cover the financial, legal, business reputational or other losses that may result from an interruption or breach.</w:t>
      </w:r>
    </w:p>
    <w:p>
      <w:pPr>
        <w:spacing w:after="0" w:line="11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If any such incidents were to occur and cause interruptions in our operations, it could result in a disruption of our business and development programs. For example, the loss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in the future. To the extent that any disruption or security incident were to result in the loss of or damage to our data or applications, or inappropriate disclosure of sensitive information, we could incur liability and the further development of any product candidates could be delayed.</w:t>
      </w:r>
    </w:p>
    <w:p>
      <w:pPr>
        <w:spacing w:after="0" w:line="32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0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legal claims or proceedings, liability including litigation exposure, penalties and fines under relevant legal obligations, enforcement actions and investigations by regulatory authorities, additional reporting requirements or oversight, restrictions on processing sensitive information (including personal information), indemnification obligations, monetary fund diversions, diversion of management attention, other financial loss, and damage to our reputation and a loss of confidence in us and our ability to conduct clinical trials, which could delay the clinical development of our product candidates, and of which may adversely affect our business, results of operations or financial condition.</w:t>
      </w:r>
    </w:p>
    <w:p>
      <w:pPr>
        <w:spacing w:after="0" w:line="392"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concentrated in one location, and we or the third parties upon whom we depend may be adversely affected by a wildfire, earthquake or other natural disasters and our business continuity and disaster recovery plans may not adequately protect us from a serious disaster.</w:t>
      </w:r>
    </w:p>
    <w:p>
      <w:pPr>
        <w:spacing w:after="0" w:line="101"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Our current operations are predominantly located in California. Any unplanned event, such as flood, wildfire, explosion, earthquake, extreme weather condition, medical epidemic including the COVID-19 pandemic, power shortage, telecommunication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service providers, such as our CMOs and CROs located globally,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trial sites, impacted clinical supply or the conduct of our clinical trials, that damaged critical infrastructure, such as the manufacturing facilities of our third-party CMOs, or that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otherwise disrupted operations, it may be difficult or, in certain cases, impossible, for us to continue our business for a substantial period of time. The disaster recovery and business continuity plans we and third parties upon whom we rely have or may have in place may prove inadequate in the event of a serious disaster or similar event.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CMOs,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9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scientific literature, surveys of clinics, patient foundations or market research, and may prove to be incorrect in general, or as to their applicability to our company. Further, new trials may change the estimated incidence or prevalence of these diseases. The total addressable market across all of our product candidates will ultimately depend upon, among other things, the diagnosis criteria included in the final labeling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may be exposed to failure of our banking institutions.</w:t>
      </w:r>
    </w:p>
    <w:p>
      <w:pPr>
        <w:spacing w:after="0" w:line="14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While we seek to minimize our exposure to third-party losses of our cash and cash equivalents, we hold our balances in a number of large financial institutions. Notwithstanding, those institutions are subject to risk of failure. For example, on March 10, 2023, Silicon Valley Bank (“SVB”) was closed by the California Department of Financial Protection and Innovation, which appointed the Federal Deposit Insurance Corporation (“FDIC”) as receiver. Similarly, on March 12, 2023, Signature Bank was also swept into receivership. The U.S. Department of Treasury, the Federal Reserve Board (the “Federal Reserve”), and the FDIC released a statement that indicated that all depositors of SVB would have access to all of their funds, including funds held in uninsured deposit accounts, after only one business day of closure. The U.S. Department of Treasury, FDIC and Federal Reserve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however, that the U.S. Department of Treasury, FDIC and Federal Reserve will provide access to uninsured funds in the future in the event of the closure of other banks or financial institutions, or that they would do so in a timely fashion.</w:t>
      </w:r>
    </w:p>
    <w:p>
      <w:pPr>
        <w:spacing w:after="0" w:line="34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Although we expect to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w:t>
      </w:r>
    </w:p>
    <w:p>
      <w:pPr>
        <w:spacing w:after="0" w:line="11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These factors could include, among others, events such as liquidity constraints or failures, the ability to perform obligations under various types of financial, credit or liquidity agreements or arrangements,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1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18"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In addition, one or more of our critical vendors, third party manufacturers, or other business partners could be adversely affected by any of the liquidity or other risks that are described above, which in turn, could have a material adverse effect on our current and/or projected business operations and results of operations and financial condition. Any business partner bankruptcy or insolvency, or any breach or default by a business partner, or the loss of any significant supplier relationships, could result in material adverse impacts on our current and/or projected business operations and financial condition.</w:t>
      </w:r>
    </w:p>
    <w:p>
      <w:pPr>
        <w:spacing w:after="0" w:line="191"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immunology treatments may impact public perception of our company and product candidates, or may adversely affect our ability to conduct our business and our business plans.</w:t>
      </w:r>
    </w:p>
    <w:p>
      <w:pPr>
        <w:spacing w:after="0" w:line="90"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Public perception may be influenced by claims, such as claims that our product candidates are unsafe, unethical or immoral and, consequently, our approach may not gain the acceptance of the public or the medical community. Adverse public attitudes may also adversely impact our ability to enroll clinical trials.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In addition, side effects generally associated with TYK2 or JAK inhibitors may negatively impact public perception of us or ESK-001 and A-005.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left="1260" w:right="3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10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know-how and confidentiality agreements to protect the intellectual property related to our product candidates and technologies and to prevent third parties from copying and surpassing our achievements, thus eroding our competitive position in our market.</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product candidates and novel discoveries that are important to our business. Our pending and future patent applications may not result in patents being issued. We cannot assure you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products or product candidates.</w:t>
      </w:r>
    </w:p>
    <w:p>
      <w:pPr>
        <w:spacing w:after="0" w:line="11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product candidates.</w:t>
      </w:r>
    </w:p>
    <w:p>
      <w:pPr>
        <w:spacing w:after="0" w:line="33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Composition of matter patents for pharmaceutical product candidates often provide a strong form of intellectual property protection for those types of products, as such patents provide protection without regard to any method of use. However, we cannot be certain that the claims in our pending patent applications directed to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2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or in-licensed patent applications may not result in issued patents that protect our product candidates effectively to prevent others from commercializing our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343"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our issued patents may be subject to post-grant review (PGR) proceedings, oppositions, derivations, reexaminations, interferences, inter partes review (IPR) proceedings or other similar proceedings, in the United States or elsewhere, challenging our patent rights or the patent rights of others. Such submissions may also be made prior to a patent’s issuance, precluding the granting of a patent based on one or more of our owned pending patent applications. 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adverse determination in any such challenges may result in loss of exclusivity or in patent claims being narrowed, invalidated, or held unenforceable, in whole or in part, which could limit our ability to stop others from using or commercializing similar or identical product candidates, or limit the duration of the patent protection of our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11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 third party may also claim that our patent rights are invalid or unenforceable in a litigation. An adverse result in any legal proceeding could put one or more of our owned or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14"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200" w:lineRule="exact"/>
        <w:rPr>
          <w:sz w:val="20"/>
          <w:szCs w:val="20"/>
          <w:color w:val="auto"/>
        </w:rPr>
      </w:pPr>
    </w:p>
    <w:p>
      <w:pPr>
        <w:spacing w:after="0" w:line="20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or any future licensors pending patent applications will issue or that patents based on our or any future licensors patent applications will not be challenged and rendered invalid and/or unenforceable.</w:t>
      </w:r>
    </w:p>
    <w:p>
      <w:pPr>
        <w:spacing w:after="0" w:line="10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potential future licensors or collaborators will be successful in protecting our product candidates by obtaining and defending patents. We have several pending United States and foreign patent applications in our portfolio. We cannot predict:</w:t>
      </w:r>
    </w:p>
    <w:p>
      <w:pPr>
        <w:spacing w:after="0" w:line="69"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patent applications will provide protection against competitors;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will result in issued patents with claims that cover our product candidates or uses thereof in the United States or in other foreign countries; or</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if the COVID-19 pandemic continues to spread around the globe, we may experience patent office interruption or delays to our ability to timely secure patent coverage to our product candidates.</w:t>
      </w:r>
    </w:p>
    <w:p>
      <w:pPr>
        <w:spacing w:after="0" w:line="81"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cannot be certain that the claims in our or any future licensors’ pending patent applications directed to our product candidates will be considered patentable by the USPTO or by patent offices in foreign countries. There can be no assurance that any such patent applications will issue as granted patents. One aspect of the determination of patentability of our or any future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any future licensors’ patent claims or, if issued, affect the validity or enforceability of a patent claim. Even if the patents do issue based on our or any future licensors’ patent applications, third parties may challenge the validity, enforceability or scope thereof, which may result in such patents being narrowed, invalidated or held unenforceable. Furthermore, even if they are unchallenged, patents in our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any future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Patents are of national or regional effect, and filing, prosecuting and defending patents on all of our research programs and product candidates in all countries throughout the world would be prohibitively expensive.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any future licensors’ inventions in all countries outside the United States, even in jurisdictions where we or any future licensors do pursue patent protection, or from selling or importing products made using our or any future licensors’ inventions in and into the United States or other jurisdictions. Competitors may use our or any future licensors’ technologies in jurisdictions where we have not obtained patent protection to develop their own products and, further, may export otherwise infringing products to territories where we or any future licensors have patent protection, but enforcement is not as strong as that in the United States. These competitor products may compete with our product candidates, and our or any future licensors’ patents or other intellectual property rights may not be effective or sufficient to prevent them from competing.</w:t>
      </w:r>
    </w:p>
    <w:p>
      <w:pPr>
        <w:spacing w:after="0" w:line="12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or any future licensors’ patents or marketing of competing products in violation of our proprietary rights.</w:t>
      </w:r>
    </w:p>
    <w:p>
      <w:pPr>
        <w:spacing w:after="0" w:line="10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Certain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future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 in the future.</w:t>
      </w:r>
    </w:p>
    <w:p>
      <w:pPr>
        <w:spacing w:after="0" w:line="121"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8" w:lineRule="exact"/>
        <w:rPr>
          <w:sz w:val="20"/>
          <w:szCs w:val="20"/>
          <w:color w:val="auto"/>
        </w:rPr>
      </w:pPr>
    </w:p>
    <w:p>
      <w:pPr>
        <w:jc w:val="both"/>
        <w:ind w:left="1800" w:right="41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pending patent applications that we own or any patents or patent applications that we may in-license in the future;</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or collaborators might not have been the first to make the inventions covered by the pending patent application that we own or may in-license in the future;</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or otherwise violating our owned intellectual property rights or any patent applications that we may license in the future;</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patent applications or those that we may own or license in the future will not lead to issued patents;</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if any arise in the future, that we either own or that we may license in the future may be revoked, modified, or held invalid or unenforceable, as a result of legal challenges by our competitors;</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or any future licensors’ patent applications, including whether the patent applications that we own, or, in the future, in-license will result in issued patents with claims directed to our product candidates or uses thereof in the United States or in other foreign countries;</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United States courts, allowing foreign competitors a better opportunity to create, develop and market competing product candidates; the claims of any patent issuing based on our patent applications may not provide protection against competitors or any competitive advantages, or may be challenged by third parties;</w:t>
      </w:r>
    </w:p>
    <w:p>
      <w:pPr>
        <w:spacing w:after="0" w:line="7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a court may not hold that our patents, if they issue in the future, are valid, enforceable and infringed;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initiate litigation or administrative proceedings to enforce and/or defend our patent rights which will be costly whether we win or lose;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that covered by our patent applications.</w:t>
      </w:r>
    </w:p>
    <w:p>
      <w:pPr>
        <w:spacing w:after="0" w:line="94"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Should any of these or similar events occur, they could significantly harm our business, financial condition, results of operations and prospects.</w:t>
      </w:r>
    </w:p>
    <w:p>
      <w:pPr>
        <w:spacing w:after="0" w:line="158" w:lineRule="exact"/>
        <w:rPr>
          <w:sz w:val="20"/>
          <w:szCs w:val="20"/>
          <w:color w:val="auto"/>
        </w:rPr>
      </w:pPr>
    </w:p>
    <w:p>
      <w:pPr>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w:t>
      </w:r>
    </w:p>
    <w:p>
      <w:pPr>
        <w:spacing w:after="0" w:line="78"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There can be no</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32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Numerous United States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United States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product candidates or will prevent, limit or otherwise interfere with our ability to make, use or sell our product candidates.</w:t>
      </w:r>
    </w:p>
    <w:p>
      <w:pPr>
        <w:spacing w:after="0" w:line="12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121"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w:t>
      </w:r>
    </w:p>
    <w:p>
      <w:pPr>
        <w:spacing w:after="0" w:line="179"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which could be expensive, time-consuming and unsuccessful.</w:t>
      </w:r>
    </w:p>
    <w:p>
      <w:pPr>
        <w:spacing w:after="0" w:line="7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trademarks or other intellectual property. To counter infringement or unauthorized use, we or any future licensors may be required to file infringement claims, which can be expensive and time consuming and divert the time and attention of our management and scientific personnel. Our or any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any future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any future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any future licensors’ patent claims do not cover the invention, or decide that the other party’s use of our or any future licensors’ patented technology falls under the safe harbor to patent infringement under 35 U.S.C. §271I(1). An adverse outcome in a litigation or proceeding involving our or any future licensors’ patents could limit our ability to assert our or any future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333"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4"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third-party claims of intellectual property infringement, which may prevent or delay our product discovery and development efforts.</w:t>
      </w:r>
    </w:p>
    <w:p>
      <w:pPr>
        <w:spacing w:after="0" w:line="9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Our commercial success depends in part on our avoiding infringement of the patents and proprietary rights of third parties. There is a substantial amount of litigation involving the infringement of patents and other intellectual property rights in the biotechnology and pharmaceutical industries. We may be exposed to, or threatened with, future litigation by third parties having patent or other intellectual property rights and who allege that our product candidates, uses and/or other proprietary technologies infringe their intellectual property rights. Numerous United States and foreign issued patents and pending patent applications, which are owned by third parties, exist in the fields in which we are developing our product candidates. As the biotechnology and pharmaceutical industries expand and more patents are issued, the risk that our product candidates may give rise to claims of infringement of the patent rights of others increases. Moreover, it is not always clear to industry participants, including us, which patents exist which may be found to cover various types of drugs, products or their methods of use or manufacture. Thus, because of the large number of patents issued and patent applications currently pending in our fields, there may be a risk that third parties may allege they have patent rights which are infringed by our product candidates, technologies or methods.</w:t>
      </w:r>
    </w:p>
    <w:p>
      <w:pPr>
        <w:spacing w:after="0" w:line="32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a third party alleges that we infringe its intellectual property rights, we may face a number of issues, including, but not limited to:</w:t>
      </w:r>
    </w:p>
    <w:p>
      <w:pPr>
        <w:spacing w:after="0" w:line="54" w:lineRule="exact"/>
        <w:rPr>
          <w:sz w:val="20"/>
          <w:szCs w:val="20"/>
          <w:color w:val="auto"/>
        </w:rPr>
      </w:pPr>
    </w:p>
    <w:p>
      <w:pPr>
        <w:jc w:val="both"/>
        <w:ind w:left="1800" w:right="4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misappropriation which, regardless of merit, may be expensive and time-consuming to litigate and may divert our management’s attention from our core business;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or misappropriation, which we may have to pay if a court decides that the product candidate or technology at issue infringes on or violates the third-party’s rights, and, if the court finds we have willfully infringed intellectual property rights, we could be ordered to pay treble damages and the patent owner’s attorneys’ fees;</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75"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injunction prohibiting us from manufacturing, marketing or selling our product candidates, or from using our proprietary technologies, unless the third party agrees to license its patent rights to us;</w:t>
      </w:r>
    </w:p>
    <w:p>
      <w:pPr>
        <w:spacing w:after="0" w:line="281"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license is available from a third party, we may have to pay substantial royalties, upfront fees and other amounts, and/or grant cross-licenses to intellectual property rights protecting our products; and</w:t>
      </w:r>
    </w:p>
    <w:p>
      <w:pPr>
        <w:spacing w:after="0" w:line="295"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try to redesign our product candidates or processes so they do not infringe third-party intellectual property rights, an undertaking which may not be possible or which may require substantial monetary expenditures and time.</w:t>
      </w:r>
    </w:p>
    <w:p>
      <w:pPr>
        <w:spacing w:after="0" w:line="9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16"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preclinical and clinical trials and other development activities in the United States is not considered an act of infringement. While we may believe that patent claims or other intellectual property rights of a third party would not have a materially adverse effect on the commercialization of our product candidates, we may be incorrect in this belief, or we may not be able to prove it in litigation. In this regard,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our activities. If any third-party patents, held now or obtained in the future by a third party, were found by a court of competent jurisdiction to cover the manufacturing process of our product candidates,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any aspect of our formulations, any combination therapies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00" w:lineRule="exact"/>
        <w:rPr>
          <w:sz w:val="20"/>
          <w:szCs w:val="20"/>
          <w:color w:val="auto"/>
        </w:rPr>
      </w:pPr>
    </w:p>
    <w:p>
      <w:pPr>
        <w:spacing w:after="0" w:line="36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9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obtained, we may have to abandon development of the relevant program or product candidate, which could adversely affect our business, financial condition, results of operations and prospects.</w:t>
      </w:r>
    </w:p>
    <w:p>
      <w:pPr>
        <w:spacing w:after="0" w:line="34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may enter into license agreements in the future with others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that event, we may be required to expend significant time and resources to redesign our product candidates, or the methods for manufacturing them,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w:t>
      </w:r>
    </w:p>
    <w:p>
      <w:pPr>
        <w:spacing w:after="0" w:line="200" w:lineRule="exact"/>
        <w:rPr>
          <w:sz w:val="20"/>
          <w:szCs w:val="20"/>
          <w:color w:val="auto"/>
        </w:rPr>
      </w:pPr>
    </w:p>
    <w:p>
      <w:pPr>
        <w:spacing w:after="0" w:line="202"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or any future licensors’ patents and other intellectual property.</w:t>
      </w:r>
    </w:p>
    <w:p>
      <w:pPr>
        <w:spacing w:after="0" w:line="7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or any future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347"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Any future licensors may have relied on third-party consultants or collaborators or on funds from third parties, such as the United States government, such that these licensors are not the sole and exclusive owners of the patents we in-licensed. If other third parties have ownership rights or other rights to our in-licensed patents, they may be able to license such patents to our competitors, and our competitors could market competing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products and technology. This could adversely affect our competitive position, business, financial condition, results of operations and prospects.</w:t>
      </w:r>
    </w:p>
    <w:p>
      <w:pPr>
        <w:spacing w:after="0" w:line="81"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182"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collaborations or strategic alliances or enter into licensing arrangements in the future, and we may neither enter into, nor realize the benefits of, such alliances or licensing arrangements.</w:t>
      </w:r>
    </w:p>
    <w:p>
      <w:pPr>
        <w:spacing w:after="0" w:line="7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and we may not enter into such collaborations at all. The success of our collaboration arrangements will depend heavily on the efforts and activities of any future collaborators. Collaborations are subject to numerous risks, which may include that:</w:t>
      </w:r>
    </w:p>
    <w:p>
      <w:pPr>
        <w:spacing w:after="0" w:line="69" w:lineRule="exact"/>
        <w:rPr>
          <w:sz w:val="20"/>
          <w:szCs w:val="20"/>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 or the ongoing COVID-19 pandemic;</w:t>
      </w:r>
    </w:p>
    <w:p>
      <w:pPr>
        <w:spacing w:after="0" w:line="7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314"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future product candidates or that results in costly litigation or arbitration that diverts management attention and resources;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future product candidates;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58"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agreements under which we in-license or acquire development or commercialization rights to product candidates, or data from third parties, we could lose such rights that are important to our business.</w:t>
      </w:r>
    </w:p>
    <w:p>
      <w:pPr>
        <w:spacing w:after="0" w:line="10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may in the future in-license or otherwise acquire development or commercialization rights to product candidates or data from third parties, and any future licensors may rely upon third-party companies,</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consultants or collaborators, or on funds from third parties such that licensors are not the sole and exclusive owners of the patents we in-license. If any future licensors fail to prosecute, maintain, enforce, and defend such patents, or lose rights to those patents, the rights we have licensed may be reduced or eliminated, and our right to develop and commercialize future product candidates that may be subject of such licensed rights could be adversely affected. In spite of our efforts,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will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Any of these events could adversely affect our business, financial condition, results of operations, and prospects.</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obligations;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any future licensors and us and our partners;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58"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In addition, any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may license in the future prevent or impair our ability to maintain future licensing arrangements on commercially acceptable terms, we may be unable to successfully develop and commercialize the affected product candidates, which could adversely affect our business, financial condition, results of operations, and prospects.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Any license agreements we enter into in the future may be subject to certain rights retained by third parties.</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Any future licensors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w:t>
      </w:r>
    </w:p>
    <w:p>
      <w:pPr>
        <w:spacing w:after="0" w:line="114"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In addition, the United States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 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may at times choose to collaborate with academic institutions to accelerate our preclinical research or development. While we do not currently engage, and it is our policy to avoid engaging, university partners in projects in which there is a risk that federal funds may be commingled, we cannot be sure that any co-developed intellectual property will be free from government rights pursuant to the Bayh-Dole Act. Although none of our licenses to date are subject to march-in rights, if,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6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7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(Leahy-Smith Act), signed into law on September 16, 2011, could increase those uncertainties and costs surrounding the prosecution of patent applications filed after March 2013 and the enforcement or defense of our future issued patents or claiming priority to patent applications filed after March 2023. The Leahy-Smith Act includes a number of significant changes to United States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w:t>
      </w:r>
    </w:p>
    <w:p>
      <w:pPr>
        <w:spacing w:after="0" w:line="32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any future licensors’ patent claims that would not have been invalidated if first challenged by the third party as a defendant in a district court action. Thus, the Leahy-Smith Act and its implementation could increase the uncertainties and costs surrounding the prosecution of our or any future licensors’ patent applications and the enforcement or defense of our or any future licensors’ future issued patents, all of which could adversely affect our business, financial condition, results of operations and prospects.</w:t>
      </w:r>
    </w:p>
    <w:p>
      <w:pPr>
        <w:spacing w:after="0" w:line="11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or any future licensors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any future licensors were the first to either (i) file any patent application related to our product candidates and other proprietary technologies we may develop or (ii) invent any of the inventions claimed in our or any future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future issued patents, all of which could adversely affect our business, financial condition, results of operations and prospects.</w:t>
      </w:r>
    </w:p>
    <w:p>
      <w:pPr>
        <w:spacing w:after="0" w:line="200" w:lineRule="exact"/>
        <w:rPr>
          <w:sz w:val="20"/>
          <w:szCs w:val="20"/>
          <w:color w:val="auto"/>
        </w:rPr>
      </w:pPr>
    </w:p>
    <w:p>
      <w:pPr>
        <w:spacing w:after="0" w:line="359"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The United States Supreme Court has ruled on several patent cases in recent years,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either narrowing the scope of patent protection available in certain circumstances or weakening the rights of patent owners in certain situations. Depending on future actions by the United States Congress, the United States courts, the USPTO and the relevant law- making bodies in other countries, the laws and regulations governing patents could change in unpredictable ways that would weaken our or any future licensors’ ability to obtain new patents and patents that we or any future licensors might obtain in the future. We cannot predict how future decisions by the courts, the United States Congress or the USPTO may impact the value of our patents. Any similar adverse change in the patent laws of other jurisdictions could also adversely affect our business, financial condition, results of operations and prospects.</w:t>
      </w:r>
    </w:p>
    <w:p>
      <w:pPr>
        <w:spacing w:after="0" w:line="11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 but doing so may preclude us from realizing the benefits of the UPC. Moreover, if we do not meet all of the formalities and requirements for opt-out under the UPC, our future European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19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10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 patent applications. We rely on our outside patent counsel to pay these fees due to United States and non-United States patent agencies. The USPTO and various non-United States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98"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products or product candidates for an adequate amount of time.</w:t>
      </w:r>
    </w:p>
    <w:p>
      <w:pPr>
        <w:spacing w:after="0" w:line="9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United States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patent portfolio may not provide us with sufficient and continuing rights to exclude others from commercializing products similar or identical to ours.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regulatory approval of our product candidates, one or more of our issued United States patents or issued United States patents that we may own</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in the future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00" w:lineRule="exact"/>
        <w:rPr>
          <w:sz w:val="20"/>
          <w:szCs w:val="20"/>
          <w:color w:val="auto"/>
        </w:rPr>
      </w:pPr>
    </w:p>
    <w:p>
      <w:pPr>
        <w:spacing w:after="0" w:line="207"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9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to protect proprietary know-how that is not patentable, processes for which patents are difficult to enforce and any other elements of our product discovery and development processes that involve proprietary know-how, information, or technology that is not covered by our patents. We may not be able to meaningfully protect our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to our competitors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124"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Monitoring and detecting unauthorized disclosure or other compromise of trade secrets is difficult, and we do not know whether the steps we have taken to prevent such compromise are, or will be, adequate. If we were to enforce a claim that a third party had illegally obtained and was using our trade secrets, it would be expensive and time-consuming, and the outcome would be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For example, significant elements of our business, including confidential aspects of sample preparation, methods of manufacturing, proprietary assays, computational-biological algorithms, data analytics and machine learning related to genetics, genomics, proteomics, biomarkers and samples, and related processes and software, are based on unpatented trade secrets, including those of our collaborators. For example, our collaborator, Foresite Labs, utilizes extensive trade secret algorithms, machine learning and AI analysis techniques, and we rely on their maintenance of these trade secrets.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01"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33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In addition, we may in the future be subject to claims by former employees, consultants or other third parties asserting an ownership right in our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technologies and product candidates. Such challenges may also result in our inability to develop, manufacture or commercialize our technologies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technologies and product candidates. Any of the foregoing could adversely affect our business, financial condition, results of operations and prospects.</w:t>
      </w:r>
    </w:p>
    <w:p>
      <w:pPr>
        <w:spacing w:after="0" w:line="396"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Our unregistered trademarks, trade names or future registered trademarks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33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left="1260" w:right="399"/>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spacing w:after="0" w:line="113"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Any regulatory approvals that we or our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w:t>
      </w:r>
    </w:p>
    <w:p>
      <w:pPr>
        <w:spacing w:after="0" w:line="11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our product candidates, the manufacturing processes, labeling, packaging, distribution, post-approval monitoring and AE reporting, storage, import, export, advertising, promotion and recordkeeping for the product will be subject to extensive and ongoing regulatory requirements. The FDA has significant post- 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Comparable foreign regulatory authorities may have similar authority. The manufacturing facilities we use to make a future product, if any, will also be subject to periodic review and inspection by the FDA and other regulatory authorities,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As we expect to rely on third- party manufacturers, we will have limited control over compliance with applicable rules and regulations by such manufacturers.</w:t>
      </w:r>
    </w:p>
    <w:p>
      <w:pPr>
        <w:spacing w:after="0" w:line="33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In addition, any product promotion and advertising will also be subject to regulatory requirements and continuing regulatory review. For example, the FDA and comparable foreign regulatory authorities impose stringent restrictions on manufacturers’ communications regarding use of their products. Although clinicians may prescribe products for off-label uses, as the FDA and comparable foreign regulatory authorities do not regulate a physician’s choice of drug treatment made in the physician’s independent medical judgment, the FDA and such comparable foreign regulatory authorities do restrict promotional communications from companies or their sales force with respect to off-label uses of products. Specifically, any regulatory approval that the FDA grants is limited to those specific diseases and indications for which a product is deemed to be safe and effective by FDA, and our ability to promote any products will be narrowly limited to those indications that are specifically approved by the FDA. Similar restrictions apply in other countries. In the EU, applicable laws require that promotional materials and advertising in relation to medicinal products comply with the product’s Summary of Product Characteristics (SmPC) which may require approval by the competent national authorities in connection with an marketing authorization. The SmPC is the document that provides information to physicians concerning the safe and effective use of the product. Promotional activity that does not comply with the SmPC is considered off-label and is prohibited in the EU. If we are found to have promoted such off-label uses, we may become subject to significant liability. In addition, if we do not conduct head-to-head comparative clinical trials for our product candidates, we will be unable to make comparative claims regarding any other products in the promotional materials for our product candidates. If we promote our products, if approved, in a manner inconsistent with FDA-approved labeling, or the label approved by another comparable foreign regulatory authority, or otherwise not in compliance with FDA regulations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comparable foreign rules, we may be subject to enforcement action.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w:t>
      </w:r>
    </w:p>
    <w:p>
      <w:pPr>
        <w:spacing w:after="0" w:line="33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Subsequent discovery of previously unknown problems with a product, including AEs of unanticipated severity or frequency, or with our third-party manufacturers or manufacturing processes, or failure by us, our contract manufacturers or service providers, or collaborators to comply with regulatory requirements, may result in, among other things:</w:t>
      </w:r>
    </w:p>
    <w:p>
      <w:pPr>
        <w:spacing w:after="0" w:line="72" w:lineRule="exact"/>
        <w:rPr>
          <w:sz w:val="20"/>
          <w:szCs w:val="20"/>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authorities to approve, or delays in the approval of, pending applications or supplements to approved applications;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variation or revocation of product approvals;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5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9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FDA’s and comparable foreign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5"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other healthcare reform measures may increase the difficulty and cost for us to obtain regulatory approval for and commercialize our product candidates and may affect the prices we may set.</w:t>
      </w:r>
    </w:p>
    <w:p>
      <w:pPr>
        <w:spacing w:after="0" w:line="107"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regulatory approval. In particular, there have been and continue to be a number of initiatives at the U.S. federal and state levels that seek to reduce healthcare costs and improve the quality of healthcare.</w:t>
      </w:r>
    </w:p>
    <w:p>
      <w:pPr>
        <w:spacing w:after="0" w:line="120"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(collectively, the ACA) was enacted in the United States, which made a number of substantial changes in the way healthcare is financed by both governmental and private insurers. The ACA included a number of provisions that may reduce the profitability of drug products, including provisions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American Taxpayer Relief Act of 2021, effective January 1, 2024, eliminated the statutory cap on rebate amounts owed by drug manufacturers under the Medicaid Drug Rebate Program, which was previously capped at 100% of the Average Manufacturer Price (AMP) for a covered outpatient drug.</w:t>
      </w:r>
    </w:p>
    <w:p>
      <w:pPr>
        <w:spacing w:after="0" w:line="11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Healthcare reform initiatives recently culminated in the enactment of the IRA in August 2022, which, among other things, allows the Department of Health and Human Services (HHS) to directly negotiate the selling price of a statutorily specified number of drugs and biologics each year that the Centers for Medicare &amp; Medicaid Services (CMS) reimburses under Medicare Part B and Part D. Only high-expenditure single-source drugs that have been approved for at least 7 years for single-source drugs (11 years for biologics) are eligible to be selected by CMS for negotiation, with the negotiated price taking effect two years after the selection year. Negotiations for Medicare Part D products take place in 2024 with the negotiated price taking effect in 2026, and negotiations for Medicare Part B products will begin in 2026 with the negotiated price taking effect in 2028. In August 2023, HHS announced the ten Medicare Part D drugs and biologics that it selected for negotiations. HHS will announce the negotiated maximum fair prices by September 1, 2024, and this price cap, which cannot exceed a statutory ceiling price, will go into effect on January 1, 2026.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negotiated prices will represent a significant discount from average prices to wholesalers and direct purchasers. The law also imposes rebates on Medicare Part D and Part B drugs whose prices have increased at a rate greater than the rate of inflation. The IRA also extends enhanced subsidies for individuals purchasing health insurance coverage in ACA marketplaces through plan year 2025. The IRA permits the Secretary of HHS to implement many of these provisions through guidance, as opposed to regulation, for the initial years. Manufacturers that fail to comply with the IRA may be subject to various penalties, including civil monetary penalties. These provisions may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pharmaceutical industry.</w:t>
      </w:r>
    </w:p>
    <w:p>
      <w:pPr>
        <w:spacing w:after="0" w:line="200" w:lineRule="exact"/>
        <w:rPr>
          <w:sz w:val="20"/>
          <w:szCs w:val="20"/>
          <w:color w:val="auto"/>
        </w:rPr>
      </w:pPr>
    </w:p>
    <w:p>
      <w:pPr>
        <w:spacing w:after="0" w:line="33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restrictions on certain product access, reporting on price increases and the introduction of high-cost drugs. In some states, laws have been enacted to encourage importation of lower cost drugs from other countries and bulk purchasing. For example, the FDA released a final rule in September 2020 providing guidance for states to build and submit plans for importing drugs from Canada, and FDA authorized the first such plan in Florida in January 2024.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w:t>
      </w:r>
    </w:p>
    <w:p>
      <w:pPr>
        <w:spacing w:after="0" w:line="127"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08"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Moreover, in order to obtain reimbursement for our products in some European countries, including some EU member states, we may be required to compile additional data comparing the cost-effectiveness of our products to other available therapies. This of medicinal products is becoming an increasingly common part of the pricing and reimbursement procedures in some EU member states, including those representing the larger markets. The HTA process is the procedure to assess therapeutic, economic and societal impact of a given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and provide the basis for cooperation at EU level for joint clinical assessments in these areas. It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200" w:lineRule="exact"/>
        <w:rPr>
          <w:sz w:val="20"/>
          <w:szCs w:val="20"/>
          <w:color w:val="auto"/>
        </w:rPr>
      </w:pPr>
    </w:p>
    <w:p>
      <w:pPr>
        <w:spacing w:after="0" w:line="203"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healthcare providers, healthcare organizations, customers and third-party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w:t>
      </w:r>
    </w:p>
    <w:p>
      <w:pPr>
        <w:spacing w:after="0" w:line="11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future arrangements with healthcare providers, healthcare organizations, third-party payors and customers will expose us to broadly applicable anti-bribery, fraud and abuse and other healthcare laws and regulations that may constrain the business or financial arrangements and relationships through which we research, market, sell and distribute our product candidates, if approved. Restrictions under applicable federal, state and foreign anti-bribery and healthcare laws and regulations, include the following:</w:t>
      </w:r>
    </w:p>
    <w:p>
      <w:pPr>
        <w:spacing w:after="0" w:line="75" w:lineRule="exact"/>
        <w:rPr>
          <w:sz w:val="20"/>
          <w:szCs w:val="20"/>
          <w:color w:val="auto"/>
        </w:rPr>
      </w:pPr>
    </w:p>
    <w:p>
      <w:pPr>
        <w:jc w:val="both"/>
        <w:ind w:left="1800" w:right="419" w:hanging="180"/>
        <w:spacing w:after="0" w:line="255"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in whole or in part, under a federal and state healthcare program such as Medicare and Medicaid.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and civil false claims laws, including the federal False Claims Act, which can be enforced through civil whistleblower or qui tam actions against individuals or entities, and the Federal Civil Monetary Penalties Laws,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w:t>
      </w:r>
    </w:p>
    <w:p>
      <w:pPr>
        <w:spacing w:after="0" w:line="86"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Portability and Accountability Act (HIPAA),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person or entity does not need to have actual knowledge of the statute or specific intent to violate it in order to have committed a violation;</w:t>
      </w:r>
    </w:p>
    <w:p>
      <w:pPr>
        <w:spacing w:after="0" w:line="40" w:lineRule="exact"/>
        <w:rPr>
          <w:sz w:val="20"/>
          <w:szCs w:val="20"/>
          <w:color w:val="auto"/>
        </w:rPr>
      </w:pPr>
    </w:p>
    <w:p>
      <w:pPr>
        <w:jc w:val="both"/>
        <w:ind w:left="1800" w:right="419" w:hanging="180"/>
        <w:spacing w:after="0" w:line="254"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legislation commonly referred to as the Physician Payments Sunshine Act, enacted as part of the ACA, and its implementing regulations, which requires certain manufacturers of covered drugs, devices, biologics and medical supplies that are reimbursable under Medicare, Medicaid, or the Children’s Health Insurance Program, with certain exceptions, to report annually to CMS information on certain payments and other transfers of value to clinicians (defined to include doctors, dentists, optometrists, podiatrists and chiropractors), teaching hospitals, and certain other health care providers (such as physician assistants and nurse practitioners), as well as ownership and investment interests held by the clinicians described above and their immediate family members;</w:t>
      </w:r>
    </w:p>
    <w:p>
      <w:pPr>
        <w:spacing w:after="0" w:line="7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and false claims laws, that may apply to sales or marketing arrangements and claims involving healthcare items or services reimbursed by non-governmental third-party payors, including private insurers; and</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and foreign laws that require pharmaceutical companies to comply with the pharmaceutical industry’s voluntary compliance guidelines and the relevant compliance guidance promulgated by the government in addition to requiring drug manufacturers to report information related to payments to clinicians and other healthcare providers or marketing expenditures and drug pricing information, and state and local laws that require the registration of pharmaceutical sales representatives.</w:t>
      </w:r>
    </w:p>
    <w:p>
      <w:pPr>
        <w:spacing w:after="0" w:line="336"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the EU, interactions between pharmaceutical companies and healthcare professionals and healthcare organizations are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transparency and reporting rules may require pharmaceutical companies to report/publish transfers of value provided to healthcare professionals and associations on a regular (e.g. annual) basis.</w:t>
      </w:r>
    </w:p>
    <w:p>
      <w:pPr>
        <w:spacing w:after="0" w:line="12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If we or our future collaborators, manufacturers or service providers fail to comply with applicable federal, state or foreign laws or regulations, we could be subject to enforcement actions, which could affect our ability to develop, market and sell our product candidates successfully and could harm our reputation and lead to reduced acceptance of our products, if approved by the market.</w:t>
      </w:r>
    </w:p>
    <w:p>
      <w:pPr>
        <w:spacing w:after="0" w:line="11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or comparable foreign regulatory authorities, exclusion from participation in government contracting, healthcare reimbursement or other government programs, including Medicare and Medicaid or comparable foreign programs, integrity oversight and reporting obligations, or reputational harm, any of which could adversely affect our financial results.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7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some countries, particularly in the European Union, the pricing of prescription pharmaceuticals is subject to governmental control. In these countries, pricing negotiations with governmental authorities can take considerable time after the receipt of regulatory approval for a drug. To obtain coverage and reimbursement or pricing approval in some countries, we may be required to conduct a study that compares the cost-effectiveness of our product candidate to other available therapies. In addition, many countries outside the United States have limited government support programs that provide for reimbursement of drugs such as our product candidates, with an emphasis on private payors for access to commercial products. If reimbursement of our products, if approved is unavailable or limited in scope or amount, or if pricing is set at unsatisfactory levels, our business could be materially harmed.</w:t>
      </w:r>
    </w:p>
    <w:p>
      <w:pPr>
        <w:spacing w:after="0" w:line="197" w:lineRule="exact"/>
        <w:rPr>
          <w:sz w:val="20"/>
          <w:szCs w:val="20"/>
          <w:color w:val="auto"/>
        </w:rPr>
      </w:pPr>
    </w:p>
    <w:p>
      <w:pPr>
        <w:jc w:val="both"/>
        <w:ind w:left="1260" w:right="399"/>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consequences for our business, results of operations and financial condition.</w:t>
      </w:r>
    </w:p>
    <w:p>
      <w:pPr>
        <w:spacing w:after="0" w:line="113"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or processing) personal data and other sensitive information, including proprietary and confidential business data, trade secrets, employee data, intellectual property, data we collect about trial participants in connection with clinical trials, and other sensitive third-party data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1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Various federal, state, local and foreign legislative and regulatory bodies, or self-regulatory organizations, may expand current laws, rules or regulations, enact new laws, rules or regulations or issue revised rules or guidance regarding data privacy and security. Implementation standards and enforcement practices are likely to remain uncertain for the foreseeable future, and we cannot yet determine the impact future laws, regulations, standards, or perception of their requirements may have on our business.</w:t>
      </w:r>
    </w:p>
    <w:p>
      <w:pPr>
        <w:spacing w:after="0" w:line="11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information privacy laws, and consumer protection laws. For example, HIPAA, as amended by the Health Information Technology for Economic and Clinical Health Act of 2009 and their respective implementing regulations (collectively, HIPAA)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1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Additionally, the California Consumer Privacy Act (CCPA) applies to personal information of California consumers, business representatives, and employees, and among other things requires regulated businesses to provide specific disclosures in privacy notices and honor requests of California residents to exercise certain privacy rights, including the right to opt out of certain disclosures of their information. The CCPA provides for civil penalties as well as a private right of action with statutory damages for certain data breaches, thereby potentially increasing risks associated with a data breach. The CCPA does not currently apply to us because we do not generate the requisite annual revenue, but it may apply to us in the future. In addition, although the CCPA includes limited exceptions, including for certain information collected as part of clinical trials, the CCPA may impact our processing of personal information and increases our compliance costs depending on how it is interpreted. Additionally, amendments to the CCPA expanded the CCPA’s requirements, including by granting additional rights to California residents, such as the right to correct personal information and additional opt-out rights, and establishing a regulatory authority dedicated to enforcing the CCPA. Other states, such as Virginia, Connecticut, Utah and Colorado, have also passed comprehensive privacy laws, and similar laws are being considered or have been enacted in several other states, as well as at the federal and local levels. While U.S. state privacy laws, like the CCPA, may also exempt some data processed in the context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clinical trials, these developments further complicate compliance efforts, and increase legal risk and compliance costs for us and the third parties upon whom we rely. In addition to government activity, privacy advocacy groups and technology and other industries are considering various new, additional or different self-regulatory standards that may place additional burdens on us.</w:t>
      </w:r>
    </w:p>
    <w:p>
      <w:pPr>
        <w:spacing w:after="0" w:line="11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There are also various laws, regulations and industry standards in other jurisdictions outside the United States relating to data privacy and security, with which we may need to comply. For example, the European Union’s General Data Protection Regulation (EU GDPR) and the United Kingdom’s equivalent (UK GDPR), collectively, GDPR, impose strict requirements for processing personal data. Notably, under the GDPR, companies may face temporary or definitive bans on data processing and other corrective actions; fines of up to €20 million under the EU GDPR / £17.5 million under the UK GDPR, or, in each case, 4% of the annual global revenue of the noncompliant undertaking, whichever is greater. The GDPR also provides for private litigation related to processing of personal data brought by classes of data subjects or consumer protection organizations authorized at law to represent their interests. Additionally, EU member states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process such special categories of personal data, and could cause our compliance costs to increase, ultimately adversely affecting our business, financial condition, results of operations and prospects.</w:t>
      </w:r>
    </w:p>
    <w:p>
      <w:pPr>
        <w:spacing w:after="0" w:line="117"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Although there are currently various mechanisms that may be used to transfer personal data from the EEA and UK to the United States in compliance with law, such as the EEA standard contractual clauses, the UK’s International Data Transfer Agreement / Addendum, the EU-US Data Privacy Framework, and the UK extension thereto (which allows for transfers to relevant U.S. -based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333"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Other jurisdictions may adopt similarly stringent interpretations of their data localization and cross-border data transfer laws.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1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addition to data privacy and security laws, we are also bound by other contractual obligations related to data privacy and security, and our efforts to comply with such obligations may not be successful.</w:t>
      </w:r>
    </w:p>
    <w:p>
      <w:pPr>
        <w:spacing w:after="0" w:line="95"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changing regulations is expensive and difficult, and failure to comply with any data privacy or security laws, whether by us, one of our CROs, CMOs or another third party, could adversely affect our business, financial condition, results of operations and prospects, including but not limited to: regulatory investigation costs; material fines and penalties; compensatory, special, punitive and statutory damages; litigation (including class claims); consent orders regarding our data privacy and security practices; requirements that we provide notices, bans on processing personal data (including clinical trial data), orders to destroy or not use personal data, credit monitoring services and/or credit restoration services or other relevant services to impacted individuals in the event of an information security incident impacting personal information; adverse actions against our licenses to do business; reputational damage; and injunctive relief. The implementation of the GDPR have increased our responsibility and liability in relation to sensitive data that we process, including in clinical trials, and we may be required to put in place additional mechanisms to comply with the GDPR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EEA, the UK and other jurisdictions, and we cannot determine the impact such future laws, regulations and standards may have on our business.</w:t>
      </w:r>
    </w:p>
    <w:p>
      <w:pPr>
        <w:spacing w:after="0" w:line="326"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Any actual or perceived failure by us or our third-party service providers to comply with any federal, state or foreign laws, rules, regulations, industry self -regulatory principles, industry standards or codes of conduct, 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or other compromise of data that we store or handle as part of operating our business. Any of these events could adversely affect our reputation, business, or financial condition, including but not limited to: interruptions or stoppages in our business operations (including clinical trials and the development of product candidates);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324"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We cannot assure you that our CROs, CMOs or other third-party service providers with access to our or our suppliers’, manufacturers’, trial participants’, employees’ and others’ sensitive data in relation to which we are responsible will not breach contractual obligations imposed by us, or that they will not experience data security incidents, which could have a corresponding effect on our business, including putting us in breach of our obligations including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w:t>
      </w:r>
    </w:p>
    <w:p>
      <w:pPr>
        <w:spacing w:after="0" w:line="11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also publicly post our privacy policies and practices concerning our collection, use, disclosure and other processing of the personal information provided to us or that we collect. Although we endeavor to comply with our public statements and documentation, we may at times fail to do so or be perceived to have failed to do so. Our publication of our privacy policies and other statements we publish that provide promises and assurances about data privacy and security can subject us to potential claims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transfer or other compromise of personal information or other sensitive data, may result in enforcement actions and prosecutions, private litigation (including class claims), significant fines, penalties (including bans on processing personal data or orders to destroy or not use personal data) and censure, claims for damages by affected individuals, regulatory inquiries and investigations or adverse publicity and could cause reputational harm, any of which could adversely affect our business, financial condition, results of operations and prospects.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successful assertion of one or more large data privacy or security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with any future licensors or collaborators that could delay or prevent the development or commercialization of our product candidates.</w:t>
      </w:r>
    </w:p>
    <w:p>
      <w:pPr>
        <w:spacing w:after="0" w:line="9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We may enter into strategic transactions in the future, and we may have conflicts with any potential licensors or collaborators, such as conflicts concerning the interpretation of preclinical or clinical data, the achievement of milestones, the interpretation of contractual obligations, payments for services, development obligations or the ownership of intellectual property developed during our collaboration. If any conflicts arise with any of our future collaborators, such collaborator may act in a manner that is adverse to our best interests. Any such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future additional collaborations; unwillingness by such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200" w:lineRule="exact"/>
        <w:rPr>
          <w:sz w:val="20"/>
          <w:szCs w:val="20"/>
          <w:color w:val="auto"/>
        </w:rPr>
      </w:pPr>
    </w:p>
    <w:p>
      <w:pPr>
        <w:spacing w:after="0" w:line="209"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116"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rely and intend to rely in the future on third-party clinical investigators, CROs and clinical data management organizations to conduct, supervise and monitor preclinical studies and clinical trials of our current or future product candidates. Because we currently rely and intend to continue to rely on these third parties, we will have less control over the timing, quality and other aspects of preclinical studies and clinical trials than we would have had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w:t>
      </w:r>
    </w:p>
    <w:p>
      <w:pPr>
        <w:spacing w:after="0" w:line="111"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have no experience as a company in submitting and supporting the applications necessary to gain regulatory approvals. Securing regulatory approval requires the submission of extensive preclinical and clinical data and supporting information to regulatory authorities for each indication to establish the product candidate’s safety or efficacy for that indication. Securing regulatory approval also requires the submission of information about the product manufacturing process to, and inspection of manufacturing facilities and clinical trial sites by, applicable regulatory authorities.</w:t>
      </w:r>
    </w:p>
    <w:p>
      <w:pPr>
        <w:spacing w:after="0" w:line="12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are conducted in accordance with good laboratory practices, where applicable, and clinical trials are conducted in accordance with GCPs and applicable rules.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through inspections that may be conducted once we submit an NDA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 Moreover, our business may be significantly impacted if our CROs, clinical investigators or other third parties violate federal or state healthcare fraud and abuse or false claims laws and regulations or healthcare privacy and security laws, and foreign equivalents.</w:t>
      </w:r>
    </w:p>
    <w:p>
      <w:pPr>
        <w:spacing w:after="0" w:line="301"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regulatory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spacing w:after="0" w:line="105"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future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04"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and/or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and may ultimately lead to the denial of regulatory approval of one or more of our product candidates.</w:t>
      </w:r>
    </w:p>
    <w:p>
      <w:pPr>
        <w:spacing w:after="0" w:line="366"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spacing w:after="0" w:line="10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for drug manufacturing, storage, distribution or quality testing. We currently rely, and expect to continue to rely, on</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third parties for the manufacture of active pharmaceutical ingredients (API), bulk drug substances, raw materials, samples, components and other materials for our product candidates for clinical testing, as well as for the manufacture of any products candidates that we commercialize, if approved. Reliance on third-party manufacturers may expose us to different risks than if we were to manufacture product candidates ourselves. There can be no assurance that our preclinical and clinical development product supplies will not be limited, interrupted, terminated or will be of satisfactory quality or be available at acceptable prices. In addition, any replacement of our manufacturer could require significant effort and time because there may be a limited number of qualified replacements.</w:t>
      </w:r>
    </w:p>
    <w:p>
      <w:pPr>
        <w:spacing w:after="0" w:line="11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We obtain our preclinical and clinical supplies from our manufacturers on a purchase order basis, and currently do not have long-term supply arrangements in place. The manufacturing process for our product candidates is subject to the FDA and foreign regulatory authority review. We, and our suppliers and manufacturers, must meet applicable manufacturing requirements and undergo rigorous facility and process validation tests required by regulatory authorities in order to comply with regulatory standards, such as cGMPs. If our CMOs cannot successfully manufacture material that conforms to our specifications and the strict regulatory requirements of the FDA or comparable foreign regulatory authorities, we may not be able to rely on their facilities for the manufacture of elements of our product candidates. Securing regulatory approval also requires the submission of information about the product manufacturing process to, and inspection of manufacturing facilities by, the FDA, and comparable foreign regulatory authorities. If the FDA or any comparable foreign regulatory authority determines that our third-party manufacturers’ facilities are not in compliance with applicable laws and regulations, including those governing cGMPs, they may deny any NDA or marketing application we submit until the deficiencies are corrected or we replace the manufacturer in our application with a manufacturer that is able to demonstrate a compliance status acceptable to the FDA or foreign regulatory authority. Moreover, we are dependent on our CMOs for manufacturing in compliance with cGMPs and other regulatory requirements. In the event that any of our manufacturers fails to comply with such requirements or to perform its obligations in relation to quality, timing or otherwise, or if our projected manufacturing capacity or supply of materials becomes limited, interrupted, or more costly than anticipated, we may be forced to enter into an agreement with another third party, which we may not be able to do timely or on reasonable terms, if at all. In some cases, the technical skills or technology required to manufacture our product candidates may be unique or proprietary to the original manufacturer and we may have difficulty transferring such to another third party. These factors would increase our reliance on such manufacturer or require us to obtain a license from such manufacturer in order to enable us, or to have another third party, manufacture our product candidates. We will be required to verify that the new manufacturer maintains facilities and procedures that comply with applicable quality standards and regulations and guidelines; and we may be required to repeat some of the development program. If we are required to change manufacturers, the delays and costs associated with the verification of a new manufacturer, whether due to failure to comply with regulatory requirements, or quality, timing and supply issues, or other reason, could negatively affect our ability to develop product candidates in a timely manner or within budget.</w:t>
      </w:r>
    </w:p>
    <w:p>
      <w:pPr>
        <w:spacing w:after="0" w:line="200" w:lineRule="exact"/>
        <w:rPr>
          <w:sz w:val="20"/>
          <w:szCs w:val="20"/>
          <w:color w:val="auto"/>
        </w:rPr>
      </w:pPr>
    </w:p>
    <w:p>
      <w:pPr>
        <w:spacing w:after="0" w:line="34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 xml:space="preserve">For example, as part of our process development efforts, we also may make changes to the manufacturing processes at various points during development, for various reasons, such as controlling costs, achieving scale, decreasing processing time, improving product formulations, increasing manufacturing success rate or other reasons. For example, we plan to implement certain manufacturing process changes for ESK-001 to increase scalability with respect to our planned Phase 3 clinical trials. Such changes carry the risk that they will not achieve their intended objectives, and any of these changes could cause our current or future product candidates to perform differently and affect the results of our future clinical trials. In some circumstances, changes in the manufacturing process may require us to perform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or clinical bridging studies, and we may be required to collect additional data from participants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11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We expect to continue to rely on third- party manufacturers if we receive regulatory approval for any product candidate. To the extent that we enter into future long-term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w:t>
      </w:r>
    </w:p>
    <w:p>
      <w:pPr>
        <w:sectPr>
          <w:pgSz w:w="11900" w:h="16838" w:orient="portrait"/>
          <w:cols w:equalWidth="0" w:num="1">
            <w:col w:w="9879"/>
          </w:cols>
          <w:pgMar w:left="580" w:top="97" w:right="1440" w:bottom="1440" w:gutter="0" w:footer="0" w:header="0"/>
        </w:sect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inspection by the FDA and comparable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ways, including:</w:t>
      </w:r>
    </w:p>
    <w:p>
      <w:pPr>
        <w:spacing w:after="0" w:line="73"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preclinical studies or clinical trials of product candidates;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future collaborators;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being imposed on us, including shutdown of the third-party vendor or invalidation of drug product lots or processes, fines, injunctions, civil penalties, delays, suspension, variation or withdrawal of approvals, license revocation, seizures of product candidates or drugs, operating restrictions and criminal prosecutions;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9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Additionally, our CMOs may experience difficulties due to resource constraints or as a result of labor disputes or unstable political environments. If our CMOs were to encounter any of these difficulties, our ability to provide our product candidates to participants in preclinical and clinical trials, or to provide product for treatment of participants once approved, would be jeopardized.</w:t>
      </w:r>
    </w:p>
    <w:p>
      <w:pPr>
        <w:spacing w:after="0" w:line="173"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depend on limited source suppliers for certain raw materials used in our product candidates. If we are unable to source these supplies on a timely basis or establish redundancy in our manufacturing process or longer-term contracts with our CMOs, we will not be able to complete our clinical trials on time and the development of our product candidates may be delayed.</w:t>
      </w:r>
    </w:p>
    <w:p>
      <w:pPr>
        <w:spacing w:after="0" w:line="107"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Certain of the raw materials necessary to produce ESK-001 and A-005 are in limited supply, and we generally rely on one CMO for each manufacturing stage. While we intend to identify and qualify additional suppliers and redundant manufacturers provide the API, drug product and critical raw material prior to submission of an NDA to the FDA and/or a comparable marketing application outside the United States, there can be no assurance that we will be successful in doing so. Furthermore, any of the limited source suppliers upon whom we rely could stop producing our supplies, cease operations or be acquired by, or enter into exclusive arrangements with, our competitors. Establishing redundancy in CMOs and additional or replacement suppliers for these supplies, and obtaining regulatory authorizations that may result from adding or replacing CMOs and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source suppliers, we have a limited operating history and cannot assure you that we will not experience disruptions in our supply chain in the future as a result of such reliance or otherwise.</w:t>
      </w:r>
    </w:p>
    <w:p>
      <w:pPr>
        <w:spacing w:after="0" w:line="328"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In addition, we do not currently have long-term supply contracts with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prior to any potential NDA submission, we may not be successful in negotiating such agreements 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event that we do not conduct our trials on planned timelines or utilize the drug products that we are required to purchase. Any change in our relationships with our CMOs or changes to the contractual terms of our agreements with them could adversely affect our business, financial condition, results of operations and prospects.</w:t>
      </w:r>
    </w:p>
    <w:p>
      <w:pPr>
        <w:spacing w:after="0" w:line="396"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suppliers, most of which are located outside of the United States, are subject to additional risks that are beyond our control and that could harm our business, financial condition, results of operations and prospects.</w:t>
      </w:r>
    </w:p>
    <w:p>
      <w:pPr>
        <w:spacing w:after="0" w:line="107"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Currently, most of our suppliers are located outside of the United States. As a result of our global suppliers, we are subject to risks associated with doing business abroad, including:</w:t>
      </w:r>
    </w:p>
    <w:p>
      <w:pPr>
        <w:spacing w:after="0" w:line="54" w:lineRule="exact"/>
        <w:rPr>
          <w:sz w:val="20"/>
          <w:szCs w:val="20"/>
          <w:color w:val="auto"/>
        </w:rPr>
      </w:pPr>
    </w:p>
    <w:p>
      <w:pPr>
        <w:ind w:left="1800" w:right="4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labor disputes, and economic instability resulting in the disruption of trade from foreign countries in which our products are manufactured;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challenges and increased costs with enforcing and periodically auditing or reviewing our suppliers’ and manufacturers’ compliance with cGMPs or status acceptable to the FDA or comparable foreign regulatory authorities;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including trademark protection, in some countries particularly China;</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operations due to global, regional, or local public health crises or other emergencies or natural disasters, including, for example, disruptions experienced during the COVID-19 pandemic;</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countries where our manufacturers or suppliers are located.</w:t>
      </w:r>
    </w:p>
    <w:p>
      <w:pPr>
        <w:spacing w:after="0" w:line="158"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harm our business, financial condition, results of operations and prospects.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our history of losses and negative cash flows from operations, our consolidated financial statements contain a statement regarding a substantial doubt about our ability to continue as a going concern.</w:t>
      </w:r>
    </w:p>
    <w:p>
      <w:pPr>
        <w:spacing w:after="0" w:line="7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A history of operating losses and negative cash flows from operations combined with our anticipated use of cash to fund operations raises substantial doubt about our ability to continue as a going concern beyond the 12-month period from the date when our unaudited interim condensed consolidated financial statements for the three months ended March 31, 2024 are available to be issued. Our future viability as an ongoing business is dependent on our ability to generate cash from our operating activities or to raise additional capital to finance our operations.</w:t>
      </w:r>
    </w:p>
    <w:p>
      <w:pPr>
        <w:spacing w:after="0" w:line="12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we are unable to raise additional capital as and when needed, our business, financial condition and results of operations will be materially and adversely affected, and we may be forced to delay our development efforts, limit our activities and reduce research and development costs. If we are unable to continue as a going concern, we may have to liquidate our assets, and the values we receive for our assets in liquidation or dissolution could be significantly lower than the values reflected in our financial statements. The inclusion of a going concern explanatory paragraph by our independent registered public accounting firm, our lack of cash resources and our potential inability to continue as a going concern may materially adversely affect our share price and our ability to raise new capital, enter into licensing and collaboration arrangements or other contractual relationships with third parties and otherwise execute our development strategy.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not develop and you may not be able to resell your shares of common stock at or above the public offering price, if at all.</w:t>
      </w:r>
    </w:p>
    <w:p>
      <w:pPr>
        <w:spacing w:after="0" w:line="7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Prior to this offering, no market for shares of our common stock existed. We intend to apply to list our common stock on Nasdaq under the symbol “ALMS.” Assuming that our common stock is listed and after the consummation of this offering, an active or liquid trading market for our common stock may never develop or be sustained following this offering. To the extent certain of our existing stockholders and their affiliated entities participate in this offering, such purchases would reduce the non-affiliated public float of our shares, meaning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your shares. Moreover, the initial public offering price for our common stock will be determined through negotiations with the underwriters and may vary from the market price of our common stock following this offering. As a result of these and other factors, you may be unable to resell your shares of our common stock at or above the initial public offering price, at the time you wish to sell them, or at a price that you consider reasonable. The lack of an active market may also reduce the fair market value of your shares. Furthermore, an inactive market may also impair our ability to raise capital by selling shares of our common stock in the future and may impair our ability to enter into strategic collaborations or acquire companies or products by using our shares of common stock as consideration.</w:t>
      </w:r>
    </w:p>
    <w:p>
      <w:pPr>
        <w:spacing w:after="0" w:line="191"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significantly or may fall below the expectations of investors or securities analysts or any guidance we may publicly provide, each of which may cause our stock price to fluctuate or decline.</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and annual fluctuations which may, in turn, cause the price of our common stock to fluctuate substantially. Our net loss and other operating results will be affected by numerous factors, including:</w:t>
      </w:r>
    </w:p>
    <w:p>
      <w:pPr>
        <w:spacing w:after="0" w:line="68" w:lineRule="exact"/>
        <w:rPr>
          <w:sz w:val="20"/>
          <w:szCs w:val="20"/>
          <w:color w:val="auto"/>
        </w:rPr>
      </w:pPr>
    </w:p>
    <w:p>
      <w:pPr>
        <w:ind w:left="1800" w:right="4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most advanced product candidate ESK-001, A-005 and other development programs;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preclinical studies and ongoing and future clinical trials, or the addition or termination of any such clinical trials;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payments we may make or receive under future license and future collaboration arrangements or the termination or modification thereof;</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strategic transactions, including acquisitions, collaborations, licenses or similar arrangements, and the timing and amount of payments we may make or receive in connection with such transactions;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departures of key personnel;</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 candidates receive regulatory approval, the terms of such approval and market acceptance and demand for such products;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inflation and rising interest rates on our business and operations;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15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could result in substantial losses for investors purchasing shares in this offering.</w:t>
      </w:r>
    </w:p>
    <w:p>
      <w:pPr>
        <w:spacing w:after="0" w:line="78"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likely to be volatile and could fluctuate widely in response to many factors, including but not limited to:</w:t>
      </w:r>
    </w:p>
    <w:p>
      <w:pPr>
        <w:spacing w:after="0" w:line="54"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instability in the financial and capital markets;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our product candidates, including the results of clinical trials by us or any future collaborators;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that impact our competitive outlook;</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developments with respect to our product candidates, or similar products or product candidates with which we compete;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intellectual property rights;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 candidates, new products or new contracts by us or our competitors;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strategic transactions, including acquisitions, collaborations, licenses or similar arrangements;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equities research analysts and whether our earnings (or losses) meet or exceed such estimates;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and receipt, or lack of receipt, of funding in support of conducting our business;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 or issuances by us of shares of our common stock in connection with strategic transactions;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 described in the section titled “Underwriting;”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within, and outside of, the United States, including changes in the structure of health care payment systems;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or other pandemics, natural disasters, or major catastrophic events;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other factors;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risks described in this section titled “Risk Factors.”</w:t>
      </w:r>
    </w:p>
    <w:p>
      <w:pPr>
        <w:spacing w:after="0" w:line="15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w:t>
      </w:r>
    </w:p>
    <w:p>
      <w:pPr>
        <w:spacing w:after="0" w:line="176"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as a result of this offering and may experience additional dilution in the future.</w:t>
      </w:r>
    </w:p>
    <w:p>
      <w:pPr>
        <w:spacing w:after="0" w:line="9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You will suffer immediate and substantial dilution with respect to the common stock you purchase in this offering. Specifically, assuming an initial public offering price of $            per share, and assuming that the number of shares offered by us, as set forth on the cover page of this prospectus, remains the same and that the underwriters do not exercise their option to purchase additional shares of common stock in this offering, you will incur immediate dilution of $            per share. That number represents the difference between the assumed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initial public offering price of $            per share and our pro forma as adjusted net tangible book value per share as of March 31, 2024, after giving effect to (i) the elimination of the derivative liability related to the second tranche closing of Series C redeemable convertible preferred stock in May 2024, (ii) the issuance of 41,264,892 shares of Series C redeemable convertible preferred stock in May 2024 for approximately $129.3 million in aggregate net proceeds therefrom, (iii) the Preferred Stock Conversion and the Common Stock Reclassification (as if each had occurred as of March 31, 2024) and (iv) the filing and effectiveness of our amended and restated certificate of incorporation to be in effect immediately prior to the closing of this offering.</w:t>
      </w:r>
    </w:p>
    <w:p>
      <w:pPr>
        <w:spacing w:after="0" w:line="337"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For a further description of the dilution that you will experience immediately after this offering, see the section titled “Dilution.”</w:t>
      </w:r>
    </w:p>
    <w:p>
      <w:pPr>
        <w:spacing w:after="0" w:line="15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9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9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Based on shares of common stock outstanding as of March 31, 2024 (after giving effect to (i) the issuance of 41,264,892 shares of Series C redeemable convertible preferred stock in May 2024 and (ii) the Preferred Stock Conversion and the Common Stock Reclassification (as if each had occurred as of March 31, 2024)), upon the closing of this offering, we will have outstanding a total of             shares of common stock and</w:t>
      </w:r>
    </w:p>
    <w:p>
      <w:pPr>
        <w:spacing w:after="0" w:line="3" w:lineRule="exact"/>
        <w:rPr>
          <w:sz w:val="20"/>
          <w:szCs w:val="20"/>
          <w:color w:val="auto"/>
        </w:rPr>
      </w:pPr>
    </w:p>
    <w:p>
      <w:pPr>
        <w:jc w:val="both"/>
        <w:ind w:left="1260" w:right="419"/>
        <w:spacing w:after="0" w:line="253" w:lineRule="auto"/>
        <w:tabs>
          <w:tab w:leader="none" w:pos="13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non-voting common stock, assuming no exercise of the underwriters’ option to purchase additional shares and no exercise of outstanding options subsequent to such date. Of these shares, only the shares of common stock sold in this offering by us, plus any shares sold upon exercise of the underwriters’ option to purchase additional shares, will (unless they are purchased by one of our affiliates) be freely tradable, without restriction, in the public market immediately following this offering.</w:t>
      </w:r>
    </w:p>
    <w:p>
      <w:pPr>
        <w:spacing w:after="0" w:line="11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 xml:space="preserve">Our directors and executive officers and holders of substantially all of our outstanding securities have entered into lock-up agreements with the underwriters pursuant to which they may not, with certain exceptions, for a period of 180 days from the date of this prospectus, offer, sell or otherwise transfer or dispose of any of our securities, without the prior written consent of Morgan Stanley &amp; Co. LLC. However, Morgan Stanley &amp; Co. LLC may permit our officers, directors and other security holders who are subject to the lock-up agreements to sell shares prior to the expiration of the lock-up agreements at any time in their sole discretion. See the section titled “Underwriting.” Sales of these shares, or perceptions that they will be sold, could cause the trading price of our common stock to decline. After the lock-up agreements expire, an additional             shares of common stock will be eligible for sale in the public market, of which            </w:t>
      </w:r>
    </w:p>
    <w:p>
      <w:pPr>
        <w:spacing w:after="0" w:line="6"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color w:val="auto"/>
        </w:rPr>
        <w:t>shares are held by directors, executive officers and other affiliates and will be subject to volume limitations under Rule 144 under the Securities Act.</w:t>
      </w:r>
    </w:p>
    <w:p>
      <w:pPr>
        <w:spacing w:after="0" w:line="114"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In addition, as of March 31, 2024,             shares of common stock that are subject to outstanding options under our employee benefit plan will become eligible for sale in the public market after this offering, to the extent permitted by the provisions of various vesting schedules, the lock-up agreements (and the exceptions thereto) and Rule 144 and Rule 701 under the Securities Act. If these additional shares of common stock are sold, or if it is perceived that they will be sold, in the public market, the trading price of our common stock could decline.</w:t>
      </w:r>
    </w:p>
    <w:p>
      <w:pPr>
        <w:spacing w:after="0" w:line="323"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After this offering, the holders of             shares of our outstanding common stock, or approximately        % of our total outstanding common stock and non-voting stock based on shares outstanding as of March 31, 2024, will be entitled to rights with respect to the registration of their shares under the Securities Act, subject to the lock-up agreements described above. See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adversely affect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use the net proceeds of this offering and may not use these proceeds effectively, which could affect our results of operations and cause our stock price to decline.</w:t>
      </w:r>
    </w:p>
    <w:p>
      <w:pPr>
        <w:spacing w:after="0" w:line="7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will have considerable discretion in the application of the net proceeds of this offering, including for any of the purposes described in the section of this prospectus titled “Use of Proceeds,”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2"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control matters subject to stockholder approval.</w:t>
      </w:r>
    </w:p>
    <w:p>
      <w:pPr>
        <w:spacing w:after="0" w:line="7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Based on 181,015,104 shares of our capital stock outstanding as of March 31, 2024, after giving effect to the second tranche closing of Series C redeemable convertible preferred stock in May 2024 and prior to this offering, our executive officers, directors, holders of 5% or more of our capital stock and their respective affiliates beneficially owned approximately        % of our voting common stock and        % of our non-voting common stock and, upon the completion of this offering, that same group will hold approximately        % of our outstanding voting common stock and        % of our outstanding non-voting common stock (assuming no exercise of the underwriters’ option to purchase additional shares of common stock, no exercise of outstanding options and no purchases of shares of common stock in this offering. Therefore, even after this offering, these stockholders will have the ability to influence us through this ownership position.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00" w:lineRule="exact"/>
        <w:rPr>
          <w:sz w:val="20"/>
          <w:szCs w:val="20"/>
          <w:color w:val="auto"/>
        </w:rPr>
      </w:pPr>
    </w:p>
    <w:p>
      <w:pPr>
        <w:spacing w:after="0" w:line="202"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Participation in this offering by our existing stockholders and their affiliated entities may further concentrate control among these existing stockholders, and may reduce the public float for our common stock.</w:t>
      </w:r>
    </w:p>
    <w:p>
      <w:pPr>
        <w:spacing w:after="0" w:line="9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the extent certain of our existing stockholders and their affiliated entities participate in this offering, such purchases could increase or further concentrate the control and voting power held by our existing stockholders. In addition, such participation would reduce the non-affiliate public float of our shares, meaning the number of shares of our common stock that are not held by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If any shares are purchased by our existing stockholders, the number and percentage of shares of our common stock beneficially owned by them after this offering will differ from the amounts set forth in this prospectus.</w:t>
      </w:r>
    </w:p>
    <w:p>
      <w:pPr>
        <w:spacing w:after="0" w:line="184"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10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an emerging growth company, we are only required to provide two years of audited financial statements (in addition to any required unaudited interim financial statements) and correspondingly reduced management discussion and analysis of financial condition and results of operations disclosure. In addition, we are not required to obtain auditor attestation of reporting on internal control over financial reporting, we have reduced disclosure obligations regarding executive compensation and we are not required to hold non-binding advisory votes on executive compensation or obtain stockholder approval of any golden parachute payments not previously approved. We may choose to take advantage of some, but not all, of the available exemptions. We have taken advantage of reduced reporting obligations in this prospectus.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particular, in this prospectus, we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These provisions allow an emerging growth company to delay the adoption of these accounting standards until they would otherwise apply to private companies. We have elected to take advantage of such extended transition period. We cannot predict whether investors will find our common stock less attractive as a result of its reliance on these exemptions. If some investors find our common stock to be less attractive as a result, there may be a less active trading market for our common stock and the price of our common stock may be more volatile than the current trading market and price of our common stock.</w:t>
      </w:r>
    </w:p>
    <w:p>
      <w:pPr>
        <w:spacing w:after="0" w:line="33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Further, there is no guarantee that the exemptions available under the JOBS Act will result in significant savings. To the extent that we choose not to use exemptions from various reporting requirements under the JOBS Act, we will incur additional compliance costs, which may impact our financial condition.</w:t>
      </w:r>
    </w:p>
    <w:p>
      <w:pPr>
        <w:spacing w:after="0" w:line="10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end of the fiscal year in which we have a total annual gross revenue of   $1.235 billion; (ii) the last day of our fiscal year following the fifth anniversary of the completion of this offering; (iii) the date on which we have, during the previous three-year period, issued more than $1.0 billion in non-convertible debt; or (iv) the end of the fiscal year in which the market value of common stock held by non-affiliates exceeds $700 million as of the prior June 30.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addition, if we are a smaller reporting company with less than $100 million in annual revenue, we would not be required to comply with the auditor attestation requirements of Section 404 of the Sarbanes-Oxley Act.</w:t>
      </w:r>
    </w:p>
    <w:p>
      <w:pPr>
        <w:spacing w:after="0" w:line="190"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that may be beneficial to our stockholders and may prevent attempts by our stockholders to replace or remove our current management.</w:t>
      </w:r>
    </w:p>
    <w:p>
      <w:pPr>
        <w:spacing w:after="0" w:line="9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that will be in effect upon completion of this offering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75"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31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amended and restated certificate of incorporation and amended and restated bylaws;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8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8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upon completion of this offering, to the fullest extent permitted by law, will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that is governed by the internal affairs doctrine. This exclusive forum provision does not apply to suits brought to enforce a duty or liability created by the Exchange Act.</w:t>
      </w:r>
    </w:p>
    <w:p>
      <w:pPr>
        <w:spacing w:after="0" w:line="114"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114"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amended and restated bylaws will provide that the federal district courts of the United States of America will, to the fullest extent permitted by law, be the exclusive forum for resolving any complaint asserting a cause of action arising under the Securities Act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32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 our amended and restated bylaws,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76"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will be authorized to issue and designate shares of our preferred stock without stockholder approval.</w:t>
      </w:r>
    </w:p>
    <w:p>
      <w:pPr>
        <w:spacing w:after="0" w:line="9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authorize our board of directors, without the approval of our stockholders, to issue shares of preferred stock, subject to limitations prescribed by applicable law, rules and regulations and the provisions of our amended and restated certificate of incorporation, and to establish from time to time the number of shares of preferred stock to be included in each such series and to fix the designation, powers, preferences and rights of the shares of each such series and the qualifications,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limitations or restrictions thereof. The powers, preferences and rights of these additional series of convertible preferred stock may be senior to or on parity with our common stock, which may reduce our common stock’s value.</w:t>
      </w:r>
    </w:p>
    <w:p>
      <w:pPr>
        <w:spacing w:after="0" w:line="16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dividends on our capital stock in the foreseeable future, capital appreciation, if any, will be your sole source of gain.</w:t>
      </w:r>
    </w:p>
    <w:p>
      <w:pPr>
        <w:spacing w:after="0" w:line="7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spacing w:after="0" w:line="177"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limit your ability to influence corporate matters and may limit your visibility with respect to certain transactions.</w:t>
      </w:r>
    </w:p>
    <w:p>
      <w:pPr>
        <w:spacing w:after="0" w:line="7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ownership and other limitations provided for in our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Additionally, stockholders who hold, in the aggregate, more than 10% of our common stock and non-voting common stock, but 10% or less of our common stock, and are not otherwise an insider, may not be required to report changes in their ownership due to transactions in our non-voting common stock pursuant to Section 16(a) of the Exchange Act, and may not be subject to the short-swing profit provisions of Section 16(b) of the Exchange Act.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Unstable economic and market conditions may have serious adverse consequences on our business, financial condition and stock price.</w:t>
      </w:r>
    </w:p>
    <w:p>
      <w:pPr>
        <w:spacing w:after="0" w:line="90"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(for example, related to the ongoing conflicts in Ukraine and Israel and the surrounding areas).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200" w:lineRule="exact"/>
        <w:rPr>
          <w:sz w:val="20"/>
          <w:szCs w:val="20"/>
          <w:color w:val="auto"/>
        </w:rPr>
      </w:pPr>
    </w:p>
    <w:p>
      <w:pPr>
        <w:spacing w:after="0" w:line="211"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91"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87"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9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After the completion of this offering, as a public company, and particularly after we are no longer an emerging growth company, we will incur significant legal, accounting and other expenses that we did not incur as a private company. The Securities Act, the Exchange Act,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1"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101"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 quarterly basis, we will not be required to make our first annual assessment of our internal control over financial reporting until our second annual report on Form 10-K. However, as an emerging growth company, our independent registered public accounting firm will not be required to formally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would need to issue a report that is adverse in the event that there are material weaknesses in our internal control over financial reporting.</w:t>
      </w:r>
    </w:p>
    <w:p>
      <w:pPr>
        <w:spacing w:after="0" w:line="116"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comparable foreign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well-conceived and operated, can provide only reasonable, not absolute, assurance that the objectives of the control system are met.</w:t>
      </w:r>
    </w:p>
    <w:p>
      <w:pPr>
        <w:spacing w:after="0" w:line="336"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market price of our common stock is likely to be volatile. The stock market in general, and Nasdaq and biopharmaceutical companies in particular, have experienced extreme price and volume fluctuations that have often been unrelated or disproportionate to the operating performance of companies. In the past, companies that have experienced volatility in the market price of their stock have been subject to securities class action litigation. We may be the target of this type of litigation in the future. Securities litigation (including the cost to defend against, and any potential adverse outcome resulting from any such proceeding) can be expensive, time-consuming, damage our reputation and divert our management’s attention from other business concerns,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This prospectus contains forward-looking statements that are based on our management’s beliefs and assumptions and on information currently available to our management. Some of the statements under the sections titled “Prospectus Summary,” “Risk Factors,” “Management’s Discussion and Analysis of Financial Condition and Results of Operations” and “Business” and elsewhere in this prospectus contain forward-looking statements.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w:t>
      </w:r>
    </w:p>
    <w:p>
      <w:pPr>
        <w:spacing w:after="0" w:line="11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These forward-looking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285"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of our strategy;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operation of our product candidates and related benefits;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our strategic vision and planned product candidate pipeline;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success, cost and timing of our product candidate development activities and current and future clinical trials and studies, including study design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or other actions and related regulatory authority responses;</w:t>
      </w:r>
    </w:p>
    <w:p>
      <w:pPr>
        <w:spacing w:after="0" w:line="30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various third parties to engage in research and development activities involving our product candidates, and our ability to leverage those activities;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ease of administration associated with our product candidates;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patient compatibility associated with our product candidates;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potential markets for our product candidates and our ability to serve those markets;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regulatory approval of any of our product candidates, and any related restrictions, limitations and/or warnings in the label of any approved product candidate;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approved products;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approved products;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our future revenue, as well as our future operating expenses, capital requirements and needs for additional financing;</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any commercialization of our product candidates;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intellectual property protection for our product candidates and technology and not infringe, misappropriate or otherwise violate the intellectual property of others;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the net proceeds to us from this offering; and</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qualify as an “emerging growth company” under the JOBS Act, and a “smaller reporting company,” as defined in Rule 12b-2 of the Exchange Act.</w:t>
      </w:r>
    </w:p>
    <w:p>
      <w:pPr>
        <w:spacing w:after="0" w:line="32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You should refer to the section titled “Risk Factors”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w:t>
      </w:r>
    </w:p>
    <w:p>
      <w:pPr>
        <w:spacing w:after="0" w:line="11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06"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used throughout this prospectus from our own internal estimates and research, as well as from market research, industry and general publications and surveys, governmental agencies, research, surveys and studies conducted by third parties and publicly available information.</w:t>
      </w:r>
    </w:p>
    <w:p>
      <w:pPr>
        <w:spacing w:after="0" w:line="11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In presenting this data, we have made certain assumptions based on our knowledge of our industry and market, which we believe to be reasonable. Internal estimates are derived from publicly available information released by industry analysts and third-party sources, our internal research and our industry experience.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 risks and uncertainties and are subject to change based on various factors, including those discussed in the sections titled “Risk Factors” and “Special Note Regarding Forward-Looking Statements.” These and other factors could cause results to differ materially from those expressed in the estimates made by the independent parties or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             million (or approximately $            million if the underwriters’ over-allotment option is exercised in full) based on the assumed initial public offering price of $            per share, after deducting underwriting discounts and commissions and estimated offering expenses payable by us.</w:t>
      </w:r>
    </w:p>
    <w:p>
      <w:pPr>
        <w:spacing w:after="0" w:line="11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would increase or decrease, as applicable, the net proceeds to us from this offering by approximately $            million, assuming the number of shares offered by us, as set forth on the cover page of this prospectus, remains the same, and after deducting underwriting discounts and commissions and estimated offering expenses payable by us. Similarly, each increase or decrease of 1.0 million shares in the number of shares of common stock offered by us would increase or decrease, as applicable, the net proceeds to us from this offering by approximately $            million, assuming the assumed initial public offering price of $            per share remains the same, and after deducting underwriting discounts and commissions and estimated offering expenses payable by us.</w:t>
      </w:r>
    </w:p>
    <w:p>
      <w:pPr>
        <w:spacing w:after="0" w:line="32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principal purposes of this offering are to obtain additional capital to support our operations, establish a public market for our common stock and facilitate our future access to the public capital markets.</w:t>
      </w:r>
    </w:p>
    <w:p>
      <w:pPr>
        <w:spacing w:after="0" w:line="9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we receive from this offering, together with our existing cash, cash equivalents and marketable securities, as follows:</w:t>
      </w:r>
    </w:p>
    <w:p>
      <w:pPr>
        <w:spacing w:after="0" w:line="54" w:lineRule="exact"/>
        <w:rPr>
          <w:sz w:val="20"/>
          <w:szCs w:val="20"/>
          <w:color w:val="auto"/>
        </w:rPr>
      </w:pPr>
    </w:p>
    <w:p>
      <w:pPr>
        <w:jc w:val="both"/>
        <w:ind w:left="1800" w:right="419" w:hanging="180"/>
        <w:spacing w:after="0" w:line="275"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to advance the clinical development of ESK-001, through the topline data readout in our Phase 3 clinical trial in PsO and through completion of our Phase 2b clinical trial in SLE;</w:t>
      </w:r>
    </w:p>
    <w:p>
      <w:pPr>
        <w:spacing w:after="0" w:line="28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to advance the clinical development of A-005 by completing the single ascending doses (SAD) and multiple ascending doses (MAD) portions of our Phase 1 study in healthy volunteers;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to advance our discovery research efforts, including preclinical development activities;</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 million for a milestone payment that is contingent upon the first administration of ESK-001 to a patient enrolled in a Phase 3 clinical trial of ESK-001, under our stock purchase agreement with FronThera U.S. Holdings, Inc.;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general corporate purposes, including additional clinical development, working capital, operating expenses and capital expenditures.</w:t>
      </w:r>
    </w:p>
    <w:p>
      <w:pPr>
        <w:spacing w:after="0" w:line="9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may also use a portion of the net proceeds and our existing cash, cash equivalents and marketable securities to in- license, acquire, or invest in complementary businesses, technology platforms, products or assets, although we have no current agreements, commitments or understandings to do so.</w:t>
      </w:r>
    </w:p>
    <w:p>
      <w:pPr>
        <w:spacing w:after="0" w:line="10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together with the estimated net proceeds from this offering, will be sufficient to meet our working capital and capital expenditure needs for at least the next 12 months, although there can be no assurance in that regard. In particular, we expect that the net proceeds from this offering will allow us to fund the continued clinical development of ESK-001, through the topline data readout in our Phase 3 clinical trial in PsO and through completion of our Phase 2b clinical trial in SLE; to advance the clinical development of A-005 by completing the SAD/MAD portions of our Phase 1 study in healthy volunteers; and to advance our discovery research efforts, including preclinical development activities. Our expected use of proceeds from this offering described above represents our current intentions based on our present plans and business condition. As of the date of this prospectus, we cannot predict with certainty all of the particular uses for the proceeds to be received upon the closing of this offering or the actual amounts that we will spend on the uses set forth above. The net proceeds from this offering, together with our existing cash, cash equivalents and marketable securities, will not be sufficient to complete the clinical development of our product candidates, and we will need to raise substantial additional capital to complete the development of and commercialize our product candidates.</w:t>
      </w:r>
    </w:p>
    <w:p>
      <w:pPr>
        <w:spacing w:after="0" w:line="33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do not have sufficient certainty regarding the additional dollar amount that will be needed to fund our product candidates through clinical development and regulatory approval, as the amounts and timing of our</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actual expenditures will depend on numerous factors, including the time and cost necessary to conduct our ongoing and planned preclinical studies and clinical trials, the results of our preclinical studies and clinical trials and other factors described in the section titled “Risk Factors” in this prospectus, as well as the amount of cash used in our operations and any unforeseen cash needs. Therefore, our actual expenditures may differ materially from the estimates described above. We may find it necessary or advisable to use the net proceeds for other purposes.</w:t>
      </w:r>
    </w:p>
    <w:p>
      <w:pPr>
        <w:spacing w:after="0" w:line="12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to us from this offering. We intend to invest the net proceeds to us from this offering that are not used as described above in short-term, investment-grade, interest-bearing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 addition, our ability to pay cash dividends on our capital stock in the future may be limited by the terms of any future debt or preferred securities we issue or any credit facilities we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1260"/>
        <w:spacing w:after="0" w:line="297"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marketable securities, and total capitalization as of March 31, 2024:</w:t>
      </w:r>
    </w:p>
    <w:p>
      <w:pPr>
        <w:spacing w:after="0" w:line="55"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jc w:val="both"/>
        <w:ind w:left="1800" w:right="1260" w:hanging="180"/>
        <w:spacing w:after="0" w:line="25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giving effect to (i) the issuance of 41,264,892 shares of Series C redeemable convertible preferred stock in May 2024 for approximately $129.3 million in aggregate net proceeds therefrom, (ii) the elimination of the derivative liability related to the second tranche closing of Series C redeemable convertible preferred stock in May 2024, (iii) the Preferred Stock Conversion and the Common Stock Reclassification (as if each had occurred as of March 31, 2024) and (iv) the filing and effectiveness of our amended and restated certificate of incorporation; and</w:t>
      </w:r>
    </w:p>
    <w:p>
      <w:pPr>
        <w:spacing w:after="0" w:line="79" w:lineRule="exact"/>
        <w:rPr>
          <w:rFonts w:ascii="Times New Roman" w:cs="Times New Roman" w:eastAsia="Times New Roman" w:hAnsi="Times New Roman"/>
          <w:sz w:val="18"/>
          <w:szCs w:val="18"/>
          <w:color w:val="auto"/>
        </w:rPr>
      </w:pPr>
    </w:p>
    <w:p>
      <w:pPr>
        <w:jc w:val="both"/>
        <w:ind w:left="1800" w:right="1260"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further effect to our issuance and sale of shares of our common stock in this offering at the assumed initial public offering price of $            per share, after deducting underwriting discounts and commissions and estimated offering expenses payable by us.</w:t>
      </w:r>
    </w:p>
    <w:p>
      <w:pPr>
        <w:spacing w:after="0" w:line="14" w:lineRule="exact"/>
        <w:rPr>
          <w:sz w:val="20"/>
          <w:szCs w:val="20"/>
          <w:color w:val="auto"/>
        </w:rPr>
      </w:pPr>
    </w:p>
    <w:p>
      <w:pPr>
        <w:jc w:val="both"/>
        <w:ind w:left="1260" w:right="1260"/>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the sections titled “Management’s Discussion and Analysis of Financial Condition and Results of Operations” and “Description of Capital Stock,” and our consolidated financial statements and the related notes included elsewhere in this prospectus.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26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spacing w:after="0"/>
              <w:rPr>
                <w:sz w:val="17"/>
                <w:szCs w:val="17"/>
                <w:color w:val="auto"/>
              </w:rPr>
            </w:pPr>
          </w:p>
        </w:tc>
        <w:tc>
          <w:tcPr>
            <w:tcW w:w="1700" w:type="dxa"/>
            <w:vAlign w:val="bottom"/>
            <w:gridSpan w:val="6"/>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Actual   ​ ​ Pro Forma ​ ​</w:t>
            </w:r>
          </w:p>
        </w:tc>
        <w:tc>
          <w:tcPr>
            <w:tcW w:w="1000" w:type="dxa"/>
            <w:vAlign w:val="bottom"/>
            <w:gridSpan w:val="4"/>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4"/>
              </w:rPr>
              <w:t>As Adjusted</w:t>
            </w:r>
            <w:r>
              <w:rPr>
                <w:rFonts w:ascii="Times New Roman" w:cs="Times New Roman" w:eastAsia="Times New Roman" w:hAnsi="Times New Roman"/>
                <w:sz w:val="17"/>
                <w:szCs w:val="17"/>
                <w:b w:val="1"/>
                <w:bCs w:val="1"/>
                <w:color w:val="auto"/>
                <w:w w:val="94"/>
                <w:vertAlign w:val="superscript"/>
              </w:rPr>
              <w:t>(1)(2)</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2"/>
                <w:szCs w:val="2"/>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980" w:type="dxa"/>
            <w:vAlign w:val="bottom"/>
            <w:tcBorders>
              <w:bottom w:val="single" w:sz="8" w:color="auto"/>
            </w:tcBorders>
            <w:gridSpan w:val="10"/>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43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980" w:type="dxa"/>
            <w:vAlign w:val="bottom"/>
            <w:gridSpan w:val="10"/>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 except share and per share amounts)​</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4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shd w:val="clear" w:color="auto" w:fill="CCEEFF"/>
          </w:tcPr>
          <w:p>
            <w:pPr>
              <w:spacing w:after="0"/>
              <w:rPr>
                <w:sz w:val="15"/>
                <w:szCs w:val="15"/>
                <w:color w:val="auto"/>
              </w:rPr>
            </w:pPr>
          </w:p>
        </w:tc>
        <w:tc>
          <w:tcPr>
            <w:tcW w:w="2140" w:type="dxa"/>
            <w:vAlign w:val="bottom"/>
            <w:gridSpan w:val="7"/>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​​​$ 112,071 ​​ ​ ​$241,372 ​​ ​</w:t>
            </w:r>
          </w:p>
        </w:tc>
        <w:tc>
          <w:tcPr>
            <w:tcW w:w="1000" w:type="dxa"/>
            <w:vAlign w:val="bottom"/>
            <w:tcBorders>
              <w:right w:val="single" w:sz="8" w:color="CCEEFF"/>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 xml:space="preserve">​$           </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4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Marketable securities</w:t>
            </w:r>
          </w:p>
        </w:tc>
        <w:tc>
          <w:tcPr>
            <w:tcW w:w="680" w:type="dxa"/>
            <w:vAlign w:val="bottom"/>
          </w:tcPr>
          <w:p>
            <w:pPr>
              <w:spacing w:after="0"/>
              <w:rPr>
                <w:sz w:val="16"/>
                <w:szCs w:val="16"/>
                <w:color w:val="auto"/>
              </w:rPr>
            </w:pPr>
          </w:p>
        </w:tc>
        <w:tc>
          <w:tcPr>
            <w:tcW w:w="3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auto"/>
              </w:rPr>
              <w:t>21,656 ​​ ​ ​ ​ 21,656 ​​ ​</w:t>
            </w:r>
          </w:p>
        </w:tc>
        <w:tc>
          <w:tcPr>
            <w:tcW w:w="460" w:type="dxa"/>
            <w:vAlign w:val="bottom"/>
            <w:gridSpan w:val="2"/>
          </w:tcPr>
          <w:p>
            <w:pPr>
              <w:jc w:val="right"/>
              <w:ind w:right="65"/>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6"/>
                <w:szCs w:val="16"/>
                <w:color w:val="auto"/>
              </w:rPr>
            </w:pPr>
          </w:p>
        </w:tc>
        <w:tc>
          <w:tcPr>
            <w:tcW w:w="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8"/>
        </w:trPr>
        <w:tc>
          <w:tcPr>
            <w:tcW w:w="1260" w:type="dxa"/>
            <w:vAlign w:val="bottom"/>
          </w:tcPr>
          <w:p>
            <w:pPr>
              <w:spacing w:after="0"/>
              <w:rPr>
                <w:sz w:val="17"/>
                <w:szCs w:val="17"/>
                <w:color w:val="auto"/>
              </w:rPr>
            </w:pPr>
          </w:p>
        </w:tc>
        <w:tc>
          <w:tcPr>
            <w:tcW w:w="4380" w:type="dxa"/>
            <w:vAlign w:val="bottom"/>
            <w:tcBorders>
              <w:top w:val="single" w:sz="8" w:color="CCEEFF"/>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ind w:left="40"/>
              <w:spacing w:after="0" w:line="16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2"/>
                <w:szCs w:val="12"/>
                <w:color w:val="auto"/>
              </w:rPr>
              <w:t>$ 133,727</w:t>
            </w:r>
          </w:p>
        </w:tc>
        <w:tc>
          <w:tcPr>
            <w:tcW w:w="280" w:type="dxa"/>
            <w:vAlign w:val="bottom"/>
            <w:tcBorders>
              <w:top w:val="single" w:sz="8" w:color="CCEEFF"/>
              <w:bottom w:val="single" w:sz="8" w:color="CCEEFF"/>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top w:val="single" w:sz="8" w:color="auto"/>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263,028</w:t>
            </w:r>
          </w:p>
        </w:tc>
        <w:tc>
          <w:tcPr>
            <w:tcW w:w="280" w:type="dxa"/>
            <w:vAlign w:val="bottom"/>
            <w:tcBorders>
              <w:top w:val="single" w:sz="8" w:color="CCEEFF"/>
              <w:bottom w:val="single" w:sz="8" w:color="CCEEFF"/>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line="169" w:lineRule="exact"/>
              <w:rPr>
                <w:sz w:val="20"/>
                <w:szCs w:val="20"/>
                <w:color w:val="auto"/>
              </w:rPr>
            </w:pPr>
            <w:r>
              <w:rPr>
                <w:rFonts w:ascii="Times New Roman" w:cs="Times New Roman" w:eastAsia="Times New Roman" w:hAnsi="Times New Roman"/>
                <w:sz w:val="12"/>
                <w:szCs w:val="12"/>
                <w:color w:val="auto"/>
                <w:w w:val="93"/>
              </w:rPr>
              <w:t>​</w:t>
            </w:r>
            <w:r>
              <w:rPr>
                <w:rFonts w:ascii="Times New Roman" w:cs="Times New Roman" w:eastAsia="Times New Roman" w:hAnsi="Times New Roman"/>
                <w:sz w:val="19"/>
                <w:szCs w:val="19"/>
                <w:color w:val="auto"/>
                <w:w w:val="93"/>
                <w:vertAlign w:val="superscript"/>
              </w:rPr>
              <w:t>$</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220" w:type="dxa"/>
            <w:vAlign w:val="bottom"/>
            <w:tcBorders>
              <w:top w:val="single" w:sz="8" w:color="CCEEFF"/>
              <w:bottom w:val="single" w:sz="8" w:color="CCEEFF"/>
            </w:tcBorders>
            <w:gridSpan w:val="3"/>
            <w:vMerge w:val="restart"/>
          </w:tcPr>
          <w:p>
            <w:pPr>
              <w:spacing w:after="0" w:line="185" w:lineRule="exact"/>
              <w:rPr>
                <w:sz w:val="20"/>
                <w:szCs w:val="20"/>
                <w:color w:val="auto"/>
              </w:rPr>
            </w:pPr>
            <w:r>
              <w:rPr>
                <w:rFonts w:ascii="Times New Roman" w:cs="Times New Roman" w:eastAsia="Times New Roman" w:hAnsi="Times New Roman"/>
                <w:sz w:val="18"/>
                <w:szCs w:val="18"/>
                <w:color w:val="auto"/>
              </w:rPr>
              <w:t>Redeemable convertible preferred stock, $0.0001 par value per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260" w:type="dxa"/>
            <w:vAlign w:val="bottom"/>
          </w:tcPr>
          <w:p>
            <w:pPr>
              <w:spacing w:after="0"/>
              <w:rPr>
                <w:sz w:val="12"/>
                <w:szCs w:val="12"/>
                <w:color w:val="auto"/>
              </w:rPr>
            </w:pPr>
          </w:p>
        </w:tc>
        <w:tc>
          <w:tcPr>
            <w:tcW w:w="5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3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share; 202,643,727 shares authorized, 127,224,979 issued and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3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outstanding, actual; and no shares authorized, issued and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pro forma and pro forma as adjusted</w:t>
            </w:r>
          </w:p>
        </w:tc>
        <w:tc>
          <w:tcPr>
            <w:tcW w:w="680" w:type="dxa"/>
            <w:vAlign w:val="bottom"/>
          </w:tcPr>
          <w:p>
            <w:pPr>
              <w:spacing w:after="0"/>
              <w:rPr>
                <w:sz w:val="20"/>
                <w:szCs w:val="20"/>
                <w:color w:val="auto"/>
              </w:rPr>
            </w:pPr>
          </w:p>
        </w:tc>
        <w:tc>
          <w:tcPr>
            <w:tcW w:w="1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​495,575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80" w:type="dxa"/>
            <w:vAlign w:val="bottom"/>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Stockholders’ equity (deficit):</w:t>
            </w:r>
          </w:p>
        </w:tc>
        <w:tc>
          <w:tcPr>
            <w:tcW w:w="6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69"/>
        </w:trPr>
        <w:tc>
          <w:tcPr>
            <w:tcW w:w="1260" w:type="dxa"/>
            <w:vAlign w:val="bottom"/>
          </w:tcPr>
          <w:p>
            <w:pPr>
              <w:spacing w:after="0"/>
              <w:rPr>
                <w:sz w:val="14"/>
                <w:szCs w:val="14"/>
                <w:color w:val="auto"/>
              </w:rPr>
            </w:pPr>
          </w:p>
        </w:tc>
        <w:tc>
          <w:tcPr>
            <w:tcW w:w="4380" w:type="dxa"/>
            <w:vAlign w:val="bottom"/>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jc w:val="right"/>
              <w:ind w:right="105"/>
              <w:spacing w:after="0" w:line="169" w:lineRule="exact"/>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jc w:val="right"/>
              <w:ind w:right="65"/>
              <w:spacing w:after="0" w:line="169"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4"/>
                <w:szCs w:val="14"/>
                <w:color w:val="auto"/>
              </w:rPr>
            </w:pPr>
          </w:p>
        </w:tc>
        <w:tc>
          <w:tcPr>
            <w:tcW w:w="200" w:type="dxa"/>
            <w:vAlign w:val="bottom"/>
            <w:tcBorders>
              <w:right w:val="single" w:sz="8" w:color="CCEEFF"/>
            </w:tcBorders>
            <w:vMerge w:val="continue"/>
            <w:shd w:val="clear" w:color="auto" w:fill="CCEEFF"/>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538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no shares authorized, issued</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3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and outstanding, actual;               shares authorized, no</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3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pro forma and pro forma as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w:t>
            </w:r>
          </w:p>
        </w:tc>
        <w:tc>
          <w:tcPr>
            <w:tcW w:w="680" w:type="dxa"/>
            <w:vAlign w:val="bottom"/>
          </w:tcPr>
          <w:p>
            <w:pPr>
              <w:spacing w:after="0"/>
              <w:rPr>
                <w:sz w:val="20"/>
                <w:szCs w:val="20"/>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jc w:val="right"/>
              <w:ind w:right="105"/>
              <w:spacing w:after="0"/>
              <w:rPr>
                <w:sz w:val="20"/>
                <w:szCs w:val="20"/>
                <w:color w:val="auto"/>
              </w:rPr>
            </w:pPr>
            <w:r>
              <w:rPr>
                <w:rFonts w:ascii="Times New Roman" w:cs="Times New Roman" w:eastAsia="Times New Roman" w:hAnsi="Times New Roman"/>
                <w:sz w:val="18"/>
                <w:szCs w:val="18"/>
                <w:color w:val="auto"/>
              </w:rPr>
              <w:t>—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538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Class A common</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3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225,000,000 shares authorized, 12,525,233 shares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3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actual; no shares authorized, issued</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3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pro forma and pro forma as adjusted;</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3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common stock; 168,489,897 shares authorized, no</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3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actual; no shares authorized,</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pro forma and pro forma as</w:t>
            </w: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w:t>
            </w:r>
          </w:p>
        </w:tc>
        <w:tc>
          <w:tcPr>
            <w:tcW w:w="6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1 ​​ ​ ​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4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no shares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authorized, issued and outstanding, actual;                </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shares issued and outstanding,</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and pro forma as adjusted</w:t>
            </w:r>
          </w:p>
        </w:tc>
        <w:tc>
          <w:tcPr>
            <w:tcW w:w="680" w:type="dxa"/>
            <w:vAlign w:val="bottom"/>
          </w:tcPr>
          <w:p>
            <w:pPr>
              <w:spacing w:after="0"/>
              <w:rPr>
                <w:sz w:val="20"/>
                <w:szCs w:val="20"/>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jc w:val="right"/>
              <w:ind w:right="105"/>
              <w:spacing w:after="0"/>
              <w:rPr>
                <w:sz w:val="20"/>
                <w:szCs w:val="20"/>
                <w:color w:val="auto"/>
              </w:rPr>
            </w:pPr>
            <w:r>
              <w:rPr>
                <w:rFonts w:ascii="Times New Roman" w:cs="Times New Roman" w:eastAsia="Times New Roman" w:hAnsi="Times New Roman"/>
                <w:sz w:val="18"/>
                <w:szCs w:val="18"/>
                <w:color w:val="auto"/>
              </w:rPr>
              <w:t>— ​​ ​ ​ ​</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538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per share; no</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3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shares authorized, issued and outstanding, actual;              </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3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authorized, issued and outstanding, pro forma and</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pro forma as adjusted</w:t>
            </w:r>
          </w:p>
        </w:tc>
        <w:tc>
          <w:tcPr>
            <w:tcW w:w="6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CCEEFF"/>
            </w:tcBorders>
            <w:gridSpan w:val="3"/>
            <w:shd w:val="clear" w:color="auto" w:fill="CCEEFF"/>
          </w:tcPr>
          <w:p>
            <w:pPr>
              <w:jc w:val="right"/>
              <w:ind w:right="105"/>
              <w:spacing w:after="0" w:line="202" w:lineRule="exact"/>
              <w:rPr>
                <w:sz w:val="20"/>
                <w:szCs w:val="20"/>
                <w:color w:val="auto"/>
              </w:rPr>
            </w:pPr>
            <w:r>
              <w:rPr>
                <w:rFonts w:ascii="Times New Roman" w:cs="Times New Roman" w:eastAsia="Times New Roman" w:hAnsi="Times New Roman"/>
                <w:sz w:val="18"/>
                <w:szCs w:val="18"/>
                <w:color w:val="auto"/>
              </w:rPr>
              <w:t>— ​​ ​ ​ ​</w:t>
            </w: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CCEEFF"/>
            </w:tcBorders>
            <w:gridSpan w:val="2"/>
            <w:shd w:val="clear" w:color="auto" w:fill="CCEEFF"/>
          </w:tcPr>
          <w:p>
            <w:pPr>
              <w:jc w:val="right"/>
              <w:ind w:right="65"/>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4380" w:type="dxa"/>
            <w:vAlign w:val="bottom"/>
          </w:tcPr>
          <w:p>
            <w:pPr>
              <w:ind w:left="180"/>
              <w:spacing w:after="0" w:line="149" w:lineRule="exact"/>
              <w:rPr>
                <w:sz w:val="20"/>
                <w:szCs w:val="20"/>
                <w:color w:val="auto"/>
              </w:rPr>
            </w:pPr>
            <w:r>
              <w:rPr>
                <w:rFonts w:ascii="Times New Roman" w:cs="Times New Roman" w:eastAsia="Times New Roman" w:hAnsi="Times New Roman"/>
                <w:sz w:val="17"/>
                <w:szCs w:val="17"/>
                <w:color w:val="auto"/>
              </w:rPr>
              <w:t>Additional paid-in capital</w:t>
            </w:r>
          </w:p>
        </w:tc>
        <w:tc>
          <w:tcPr>
            <w:tcW w:w="680" w:type="dxa"/>
            <w:vAlign w:val="bottom"/>
          </w:tcPr>
          <w:p>
            <w:pPr>
              <w:spacing w:after="0"/>
              <w:rPr>
                <w:sz w:val="12"/>
                <w:szCs w:val="12"/>
                <w:color w:val="auto"/>
              </w:rPr>
            </w:pPr>
          </w:p>
        </w:tc>
        <w:tc>
          <w:tcPr>
            <w:tcW w:w="3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jc w:val="right"/>
              <w:ind w:right="105"/>
              <w:spacing w:after="0" w:line="149" w:lineRule="exact"/>
              <w:rPr>
                <w:sz w:val="20"/>
                <w:szCs w:val="20"/>
                <w:color w:val="auto"/>
              </w:rPr>
            </w:pPr>
            <w:r>
              <w:rPr>
                <w:rFonts w:ascii="Times New Roman" w:cs="Times New Roman" w:eastAsia="Times New Roman" w:hAnsi="Times New Roman"/>
                <w:sz w:val="17"/>
                <w:szCs w:val="17"/>
                <w:color w:val="auto"/>
              </w:rPr>
              <w:t>28,241 ​​ ​ ​ ​</w:t>
            </w: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460" w:type="dxa"/>
            <w:vAlign w:val="bottom"/>
            <w:gridSpan w:val="2"/>
          </w:tcPr>
          <w:p>
            <w:pPr>
              <w:jc w:val="right"/>
              <w:ind w:right="65"/>
              <w:spacing w:after="0" w:line="149" w:lineRule="exact"/>
              <w:rPr>
                <w:sz w:val="20"/>
                <w:szCs w:val="20"/>
                <w:color w:val="auto"/>
              </w:rPr>
            </w:pPr>
            <w:r>
              <w:rPr>
                <w:rFonts w:ascii="Times New Roman" w:cs="Times New Roman" w:eastAsia="Times New Roman" w:hAnsi="Times New Roman"/>
                <w:sz w:val="17"/>
                <w:szCs w:val="17"/>
                <w:color w:val="auto"/>
              </w:rPr>
              <w:t>​ ​</w:t>
            </w:r>
          </w:p>
        </w:tc>
        <w:tc>
          <w:tcPr>
            <w:tcW w:w="5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76"/>
        </w:trPr>
        <w:tc>
          <w:tcPr>
            <w:tcW w:w="1260" w:type="dxa"/>
            <w:vAlign w:val="bottom"/>
          </w:tcPr>
          <w:p>
            <w:pPr>
              <w:spacing w:after="0"/>
              <w:rPr>
                <w:sz w:val="15"/>
                <w:szCs w:val="15"/>
                <w:color w:val="auto"/>
              </w:rPr>
            </w:pPr>
          </w:p>
        </w:tc>
        <w:tc>
          <w:tcPr>
            <w:tcW w:w="4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6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jc w:val="right"/>
              <w:ind w:right="105"/>
              <w:spacing w:after="0" w:line="176" w:lineRule="exact"/>
              <w:rPr>
                <w:sz w:val="20"/>
                <w:szCs w:val="20"/>
                <w:color w:val="auto"/>
              </w:rPr>
            </w:pPr>
            <w:r>
              <w:rPr>
                <w:rFonts w:ascii="Times New Roman" w:cs="Times New Roman" w:eastAsia="Times New Roman" w:hAnsi="Times New Roman"/>
                <w:sz w:val="18"/>
                <w:szCs w:val="18"/>
                <w:color w:val="auto"/>
              </w:rPr>
              <w:t>(1)​​ ​ ​ ​</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65"/>
              <w:spacing w:after="0" w:line="176"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43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Accumulated deficit</w:t>
            </w:r>
          </w:p>
        </w:tc>
        <w:tc>
          <w:tcPr>
            <w:tcW w:w="680" w:type="dxa"/>
            <w:vAlign w:val="bottom"/>
          </w:tcPr>
          <w:p>
            <w:pPr>
              <w:spacing w:after="0"/>
              <w:rPr>
                <w:sz w:val="16"/>
                <w:szCs w:val="16"/>
                <w:color w:val="auto"/>
              </w:rPr>
            </w:pPr>
          </w:p>
        </w:tc>
        <w:tc>
          <w:tcPr>
            <w:tcW w:w="1500" w:type="dxa"/>
            <w:vAlign w:val="bottom"/>
            <w:gridSpan w:val="5"/>
          </w:tcPr>
          <w:p>
            <w:pPr>
              <w:ind w:left="40"/>
              <w:spacing w:after="0" w:line="189" w:lineRule="exact"/>
              <w:rPr>
                <w:sz w:val="20"/>
                <w:szCs w:val="20"/>
                <w:color w:val="auto"/>
              </w:rPr>
            </w:pPr>
            <w:r>
              <w:rPr>
                <w:rFonts w:ascii="Times New Roman" w:cs="Times New Roman" w:eastAsia="Times New Roman" w:hAnsi="Times New Roman"/>
                <w:sz w:val="18"/>
                <w:szCs w:val="18"/>
                <w:color w:val="auto"/>
              </w:rPr>
              <w:t>​​​ ​(414,167)​​ ​ ​ ​</w:t>
            </w:r>
          </w:p>
        </w:tc>
        <w:tc>
          <w:tcPr>
            <w:tcW w:w="36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65"/>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6"/>
                <w:szCs w:val="16"/>
                <w:color w:val="auto"/>
              </w:rPr>
            </w:pPr>
          </w:p>
        </w:tc>
        <w:tc>
          <w:tcPr>
            <w:tcW w:w="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equity (deficit)</w:t>
            </w: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right w:val="single" w:sz="8" w:color="CCEEFF"/>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 ​(385,926</w:t>
            </w:r>
          </w:p>
        </w:tc>
        <w:tc>
          <w:tcPr>
            <w:tcW w:w="2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auto"/>
              <w:bottom w:val="single" w:sz="8" w:color="auto"/>
            </w:tcBorders>
            <w:shd w:val="clear" w:color="auto" w:fill="CCEEFF"/>
          </w:tcPr>
          <w:p>
            <w:pPr>
              <w:jc w:val="right"/>
              <w:ind w:right="105"/>
              <w:spacing w:after="0" w:line="182" w:lineRule="exact"/>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65"/>
              <w:spacing w:after="0" w:line="18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Total capitalization</w:t>
            </w:r>
          </w:p>
        </w:tc>
        <w:tc>
          <w:tcPr>
            <w:tcW w:w="680" w:type="dxa"/>
            <w:vAlign w:val="bottom"/>
          </w:tcPr>
          <w:p>
            <w:pPr>
              <w:spacing w:after="0"/>
              <w:rPr>
                <w:sz w:val="15"/>
                <w:szCs w:val="15"/>
                <w:color w:val="auto"/>
              </w:rPr>
            </w:pPr>
          </w:p>
        </w:tc>
        <w:tc>
          <w:tcPr>
            <w:tcW w:w="16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2"/>
                <w:szCs w:val="12"/>
                <w:color w:val="auto"/>
              </w:rPr>
              <w:t>$ 109,649</w:t>
            </w:r>
          </w:p>
        </w:tc>
        <w:tc>
          <w:tcPr>
            <w:tcW w:w="2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vertAlign w:val="superscript"/>
              </w:rPr>
              <w:t>$</w:t>
            </w:r>
          </w:p>
        </w:tc>
        <w:tc>
          <w:tcPr>
            <w:tcW w:w="360" w:type="dxa"/>
            <w:vAlign w:val="bottom"/>
            <w:tcBorders>
              <w:bottom w:val="single" w:sz="8" w:color="auto"/>
            </w:tcBorders>
          </w:tcPr>
          <w:p>
            <w:pPr>
              <w:spacing w:after="0"/>
              <w:rPr>
                <w:sz w:val="15"/>
                <w:szCs w:val="15"/>
                <w:color w:val="auto"/>
              </w:rPr>
            </w:pPr>
          </w:p>
        </w:tc>
        <w:tc>
          <w:tcPr>
            <w:tcW w:w="2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25"/>
              <w:spacing w:after="0" w:line="169" w:lineRule="exact"/>
              <w:rPr>
                <w:sz w:val="20"/>
                <w:szCs w:val="20"/>
                <w:color w:val="auto"/>
              </w:rPr>
            </w:pPr>
            <w:r>
              <w:rPr>
                <w:rFonts w:ascii="Times New Roman" w:cs="Times New Roman" w:eastAsia="Times New Roman" w:hAnsi="Times New Roman"/>
                <w:sz w:val="12"/>
                <w:szCs w:val="12"/>
                <w:color w:val="auto"/>
                <w:w w:val="93"/>
              </w:rPr>
              <w:t>​</w:t>
            </w:r>
            <w:r>
              <w:rPr>
                <w:rFonts w:ascii="Times New Roman" w:cs="Times New Roman" w:eastAsia="Times New Roman" w:hAnsi="Times New Roman"/>
                <w:sz w:val="19"/>
                <w:szCs w:val="19"/>
                <w:color w:val="auto"/>
                <w:w w:val="93"/>
                <w:vertAlign w:val="superscript"/>
              </w:rPr>
              <w:t>$</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80" w:type="dxa"/>
            <w:vAlign w:val="bottom"/>
            <w:vMerge w:val="restart"/>
          </w:tcPr>
          <w:p>
            <w:pPr>
              <w:ind w:left="3980"/>
              <w:spacing w:after="0"/>
              <w:rPr>
                <w:sz w:val="20"/>
                <w:szCs w:val="20"/>
                <w:color w:val="auto"/>
              </w:rPr>
            </w:pPr>
            <w:r>
              <w:rPr>
                <w:rFonts w:ascii="Times New Roman" w:cs="Times New Roman" w:eastAsia="Times New Roman" w:hAnsi="Times New Roman"/>
                <w:sz w:val="18"/>
                <w:szCs w:val="18"/>
                <w:color w:val="auto"/>
              </w:rPr>
              <w:t>79</w:t>
            </w: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12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-967740</wp:posOffset>
            </wp:positionV>
            <wp:extent cx="1289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-967740</wp:posOffset>
            </wp:positionV>
            <wp:extent cx="46805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80585" cy="889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-4173855</wp:posOffset>
            </wp:positionV>
            <wp:extent cx="1289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-4173855</wp:posOffset>
            </wp:positionV>
            <wp:extent cx="46805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68058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-4868545</wp:posOffset>
            </wp:positionV>
            <wp:extent cx="1289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-4868545</wp:posOffset>
            </wp:positionV>
            <wp:extent cx="46805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680585" cy="825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-5202555</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-5202555</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5486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1620" w:right="419" w:hanging="360"/>
        <w:spacing w:after="0" w:line="247" w:lineRule="auto"/>
        <w:tabs>
          <w:tab w:leader="none" w:pos="1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$1.00 increase (decrease) in the assumed initial public offering price of  $            per share would increase (decrease) each of our pro forma as adjusted cash and cash equivalents, additional paid-in capital, total stockholders’ equity (deficit) and total capitalization by approximately $            million, assuming that the number of shares offered, as set forth on the cover of this prospectus, remains the same and after deducting underwriting discounts and commissions and estimated offering expenses payable by us. Each increase (decrease) of 1,000,000 shares in the number of shares offered by us would increase (decrease) each of our pro forma as adjusted cash and cash equivalents, additional paid-in capital, total stockholders’ equity (deficit) and total capitalization by approximately $            million, assuming the assumed initial public offering price per share remains the same and after deducting underwriting discounts and commissions and estimated offering expenses payable by us.</w:t>
      </w:r>
    </w:p>
    <w:p>
      <w:pPr>
        <w:spacing w:after="0" w:line="38" w:lineRule="exact"/>
        <w:rPr>
          <w:rFonts w:ascii="Times New Roman" w:cs="Times New Roman" w:eastAsia="Times New Roman" w:hAnsi="Times New Roman"/>
          <w:sz w:val="14"/>
          <w:szCs w:val="14"/>
          <w:color w:val="auto"/>
        </w:rPr>
      </w:pPr>
    </w:p>
    <w:p>
      <w:pPr>
        <w:ind w:left="1620" w:right="419" w:hanging="360"/>
        <w:spacing w:after="0" w:line="282" w:lineRule="auto"/>
        <w:tabs>
          <w:tab w:leader="none" w:pos="1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 forma as adjusted information is illustrative only and will depend on the actual initial public offering price and other terms of this offering determined at pricing.</w:t>
      </w:r>
    </w:p>
    <w:p>
      <w:pPr>
        <w:spacing w:after="0" w:line="9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number of shares of our common stock and non-voting common stock to be outstanding immediately after this offering, pro forma and pro forma as adjusted in the table above, is based on an aggregate of 181,015,104 shares of common stock and nonvoting common stock (which include 1,287,023 shares of unvested restricted stock awards subject to repurchase as of such date) outstanding as of March 31, 2024 after giving effect to (i) the issuance of 41,264,892 shares of Series C redeemable convertible preferred stock in May 2024, and (ii) the Preferred Stock Conversion and the Common Stock Reclassification, as if each had occurred as of March 31, 2024, and excludes:</w:t>
      </w:r>
    </w:p>
    <w:p>
      <w:pPr>
        <w:spacing w:after="0" w:line="81" w:lineRule="exact"/>
        <w:rPr>
          <w:sz w:val="20"/>
          <w:szCs w:val="20"/>
          <w:color w:val="auto"/>
        </w:rPr>
      </w:pPr>
    </w:p>
    <w:p>
      <w:pPr>
        <w:ind w:left="1800" w:right="4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26,019,851 shares of our common stock issuable upon the exercise of outstanding stock options as of March 31, 2024, with a weighted-average exercise price of $1.80 per share;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14,761,040 shares of our common stock issuable upon the exercise of outstanding stock options granted subsequent to March 31, 2024, with a weighted-average exercise price of $2.44 per share;</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our common stock reserved for future issuance under our 2024 Plan, which will become effective once the registration statement of which this prospectus forms a part is declared effective, including             new shares plus the number of shares (not to exceed             shares) that</w:t>
      </w:r>
    </w:p>
    <w:p>
      <w:pPr>
        <w:spacing w:after="0" w:line="1" w:lineRule="exact"/>
        <w:rPr>
          <w:rFonts w:ascii="Times New Roman" w:cs="Times New Roman" w:eastAsia="Times New Roman" w:hAnsi="Times New Roman"/>
          <w:sz w:val="18"/>
          <w:szCs w:val="18"/>
          <w:color w:val="auto"/>
        </w:rPr>
      </w:pPr>
    </w:p>
    <w:p>
      <w:pPr>
        <w:jc w:val="both"/>
        <w:ind w:left="1800" w:right="4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remain available for grant of future awards under the 2021 Plan and will cease to be available for issuance under the 2021 Plan at the time our 2024 Plan becomes effective in connection with this offering, and (ii) are underlying outstanding stock awards granted under our 2021 Plan, that expire or are repurchased, forfeited, cancelled or withheld, as well as any future automatic annual increases in the number of shares of common stock reserved for issuance under our 2024 Plan and, as more fully described in the section titled “Executive Compensation—Equity Benefit Plans;” and</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our common stock reserved for issuance under our ESPP, which will become effective once the registration statement of which this prospectus forms a part is declared effective, as well as any future automatic annual increases in the number of shares of common stock reserved for future issuance under our ESPP, as more fully described in the section titled “Executive Compensation—Equity​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If you invest in our common stock in this offering, your interest will be diluted immediately to the extent of the difference between the initial public offering price per share of common stock and the pro forma as adjusted net tangible book value per share of our common stock and non-voting common stock immediately after this offering.</w:t>
      </w:r>
    </w:p>
    <w:p>
      <w:pPr>
        <w:spacing w:after="0" w:line="11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As of March 31, 2024, our historical net tangible book value (deficit) was $(386.2) million, or $(30.83) per share based on 12,525,233 shares of our common stock (including 1,287,023 shares subject to repurchase as of such date) outstanding as of such date. Our historical net tangible book value (deficit) per share represents the amount of our total tangible assets less our total liabilities and our redeemable convertible preferred stock, divided by the total number of shares of Class A and Class B common stock outstanding as of March 31, 2024 (including 1,287,023 shares subject to repurchase as of such date).</w:t>
      </w:r>
    </w:p>
    <w:p>
      <w:pPr>
        <w:spacing w:after="0" w:line="11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pro forma net tangible book value as of March 31, 2024 was $250.7 million, or $1.39 per share of common stock and non-voting common stock. Pro forma net tangible book value per share represents the amount of our total tangible assets less our total liabilities after giving effect to (i) the issuance of 41,264,892 shares of Series C redeemable convertible preferred stock in May 2024 for approximately $129.3 million in aggregate net proceeds therefrom, (ii) the elimination of the derivative liability related to the tranche closing of Series C redeemable convertible preferred stock in May 2024, (iii) the Preferred Stock Conversion and the Common Stock Reclassification of 168,489,871 shares of redeemable convertible preferred stock, (as if each had occurred as of March 31, 2024) and (iv) the filing and effectiveness of our amended and restated certificate of incorporation, each of which will occur immediately prior to the closing of the offering. Pro forma net tangible book value per share represents pro forma net tangible book value divided by the total number of shares of our common stock and nonvoting common stock outstanding as of March 31, 2024 (including 1,287,023 shares of common stock subject to repurchase as of such date), after giving effect to the pro forma adjustments described above.</w:t>
      </w:r>
    </w:p>
    <w:p>
      <w:pPr>
        <w:spacing w:after="0" w:line="317"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After giving further effect to our issuance and sale of             shares of common stock in this offering at the assumed initial public offering price of $            per share, and after deducting underwriting discounts and commissions and estimated offering expenses payable by us, our pro forma as adjusted net tangible book value as of March 31, 2024 would have been $            million, or $            per share. This amount represents an immediate increase in pro forma as adjusted net tangible book value of $            per share to our existing stockholders and an immediate dilution in pro forma as adjusted net tangible book value of $            per share to new investors purchasing common stock in this offering. We determine dilution by subtracting the pro forma as adjusted net tangible book value per share after this offering from the initial public offering price per share paid by new investors. The following table illustrates this dilution on a per share basis:</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9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Historical net tangible book value (deficit) per share as of March 31, 2024</w:t>
            </w:r>
          </w:p>
        </w:tc>
        <w:tc>
          <w:tcPr>
            <w:tcW w:w="760" w:type="dxa"/>
            <w:vAlign w:val="bottom"/>
            <w:gridSpan w:val="5"/>
          </w:tcPr>
          <w:p>
            <w:pPr>
              <w:ind w:left="80"/>
              <w:spacing w:after="0" w:line="202" w:lineRule="exact"/>
              <w:rPr>
                <w:sz w:val="20"/>
                <w:szCs w:val="20"/>
                <w:color w:val="auto"/>
              </w:rPr>
            </w:pPr>
            <w:r>
              <w:rPr>
                <w:rFonts w:ascii="Times New Roman" w:cs="Times New Roman" w:eastAsia="Times New Roman" w:hAnsi="Times New Roman"/>
                <w:sz w:val="18"/>
                <w:szCs w:val="18"/>
                <w:color w:val="auto"/>
              </w:rPr>
              <w:t>$(30.83)</w:t>
            </w:r>
          </w:p>
        </w:tc>
        <w:tc>
          <w:tcPr>
            <w:tcW w:w="40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0" w:type="dxa"/>
            <w:vAlign w:val="bottom"/>
            <w:vMerge w:val="continue"/>
          </w:tcPr>
          <w:p>
            <w:pPr>
              <w:spacing w:after="0"/>
              <w:rPr>
                <w:sz w:val="4"/>
                <w:szCs w:val="4"/>
                <w:color w:val="auto"/>
              </w:rPr>
            </w:pPr>
          </w:p>
        </w:tc>
        <w:tc>
          <w:tcPr>
            <w:tcW w:w="6920" w:type="dxa"/>
            <w:vAlign w:val="bottom"/>
          </w:tcPr>
          <w:p>
            <w:pPr>
              <w:spacing w:after="0"/>
              <w:rPr>
                <w:sz w:val="4"/>
                <w:szCs w:val="4"/>
                <w:color w:val="auto"/>
              </w:rPr>
            </w:pPr>
          </w:p>
        </w:tc>
        <w:tc>
          <w:tcPr>
            <w:tcW w:w="16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gridSpan w:val="2"/>
          </w:tcPr>
          <w:p>
            <w:pPr>
              <w:jc w:val="right"/>
              <w:ind w:right="230"/>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1160" w:type="dxa"/>
            <w:vAlign w:val="bottom"/>
            <w:gridSpan w:val="6"/>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​32.22</w:t>
            </w:r>
            <w:r>
              <w:rPr>
                <w:rFonts w:ascii="Times New Roman" w:cs="Times New Roman" w:eastAsia="Times New Roman" w:hAnsi="Times New Roman"/>
                <w:sz w:val="17"/>
                <w:szCs w:val="17"/>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6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Borders>
              <w:lef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2024</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1.39​​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20" w:type="dxa"/>
            <w:vAlign w:val="bottom"/>
            <w:shd w:val="clear" w:color="auto" w:fill="CCEEFF"/>
          </w:tcPr>
          <w:p>
            <w:pPr>
              <w:spacing w:after="0"/>
              <w:rPr>
                <w:sz w:val="19"/>
                <w:szCs w:val="19"/>
                <w:color w:val="auto"/>
              </w:rPr>
            </w:pPr>
          </w:p>
        </w:tc>
        <w:tc>
          <w:tcPr>
            <w:tcW w:w="6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 new</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investors purchasing shares of common stock in this offering</w:t>
            </w: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22"/>
                <w:szCs w:val="22"/>
                <w:color w:val="auto"/>
              </w:rPr>
            </w:pPr>
          </w:p>
        </w:tc>
        <w:tc>
          <w:tcPr>
            <w:tcW w:w="520" w:type="dxa"/>
            <w:vAlign w:val="bottom"/>
            <w:tcBorders>
              <w:lef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4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Pro forma as adjusted net tangible book value per share immediately after this offering</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692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in this offering</w:t>
            </w:r>
          </w:p>
        </w:tc>
        <w:tc>
          <w:tcPr>
            <w:tcW w:w="16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left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6920" w:type="dxa"/>
            <w:vAlign w:val="bottom"/>
            <w:shd w:val="clear" w:color="auto" w:fill="CCEEFF"/>
          </w:tcPr>
          <w:p>
            <w:pPr>
              <w:spacing w:after="0"/>
              <w:rPr>
                <w:sz w:val="6"/>
                <w:szCs w:val="6"/>
                <w:color w:val="auto"/>
              </w:rPr>
            </w:pPr>
          </w:p>
        </w:tc>
        <w:tc>
          <w:tcPr>
            <w:tcW w:w="160" w:type="dxa"/>
            <w:vAlign w:val="bottom"/>
            <w:gridSpan w:val="2"/>
            <w:vMerge w:val="continue"/>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3"/>
                <w:szCs w:val="3"/>
                <w:color w:val="auto"/>
              </w:rPr>
              <w:t>​​</w:t>
            </w:r>
          </w:p>
        </w:tc>
        <w:tc>
          <w:tcPr>
            <w:tcW w:w="400" w:type="dxa"/>
            <w:vAlign w:val="bottom"/>
            <w:shd w:val="clear" w:color="auto" w:fill="CCEEFF"/>
          </w:tcPr>
          <w:p>
            <w:pPr>
              <w:spacing w:after="0"/>
              <w:rPr>
                <w:sz w:val="6"/>
                <w:szCs w:val="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911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191"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 offering. Each $1.00 increase or decrease in the assumed initial public offering price of $            per share, would increase or decrease, as applicable, our pro forma as adjusted net tangible book value per share after this offering by $            per share and increase or decrease, as applicable, the dilution to new investors purchasing shares of common stock in this offering by $            per share, in each case assuming the number of shares of common stock offered by us, as set forth on the cover page of this prospectus, remains the same, and after deducting underwriting discounts and commissions and estimated offering expenses payable by us. Similarly, each increase or decrease of 1.0 million shares in the number of shares of common stock offered by us would increase or decrease our pro forma as adjusted net tangible book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value by approximately $            per share and decrease or increase, as applicable, the dilution to investors purchasing shares in this offering by approximately $            per share, in each case assuming the assumed initial public offering price of $            per share remains the same, and after deducting underwriting discounts and commissions and estimated offering expenses payable by us.</w:t>
      </w:r>
    </w:p>
    <w:p>
      <w:pPr>
        <w:spacing w:after="0" w:line="11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the underwriters exercise their over-allotment option in full, the pro forma net tangible book value per share, as adjusted to give effect to this offering, would be $            per share, and the dilution in pro forma net tangible book value per share to new investors in this offering would be $            per share.</w:t>
      </w:r>
    </w:p>
    <w:p>
      <w:pPr>
        <w:spacing w:after="0" w:line="10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following table summarizes, as of March 31, 2024, on the pro forma as adjusted basis as described above, the total number of shares of common stock and non-voting common stock purchased from us on an as converted to common stock and nonvoting common stock basis, the total consideration paid or to be paid and the weighted-average price per share paid or to be paid by existing stockholders and by new investors in this offering at an assumed initial public offering price of $            per share, before deducting underwriting discounts and commissions and estimated offering expenses payable by us. As the table shows, new investors purchasing common stock in this offering will pay an average price per share substantially higher than our existing stockholders paid.</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6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5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 </w:t>
            </w:r>
            <w:r>
              <w:rPr>
                <w:rFonts w:ascii="Times New Roman" w:cs="Times New Roman" w:eastAsia="Times New Roman" w:hAnsi="Times New Roman"/>
                <w:sz w:val="26"/>
                <w:szCs w:val="26"/>
                <w:b w:val="1"/>
                <w:bCs w:val="1"/>
                <w:color w:val="auto"/>
                <w:vertAlign w:val="subscript"/>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 </w:t>
            </w:r>
            <w:r>
              <w:rPr>
                <w:rFonts w:ascii="Times New Roman" w:cs="Times New Roman" w:eastAsia="Times New Roman" w:hAnsi="Times New Roman"/>
                <w:sz w:val="26"/>
                <w:szCs w:val="26"/>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5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Existing stockholders</w:t>
            </w:r>
          </w:p>
        </w:tc>
        <w:tc>
          <w:tcPr>
            <w:tcW w:w="100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w w:val="95"/>
              </w:rPr>
              <w:t>181,015,104</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w w:val="98"/>
              </w:rPr>
              <w:t>$631,809,096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ind w:left="148"/>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22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54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22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78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540" w:type="dxa"/>
            <w:vAlign w:val="bottom"/>
            <w:tcBorders>
              <w:right w:val="single" w:sz="8" w:color="CCEEFF"/>
            </w:tcBorders>
            <w:gridSpan w:val="2"/>
            <w:vMerge w:val="continue"/>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82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540" w:type="dxa"/>
            <w:vAlign w:val="bottom"/>
            <w:tcBorders>
              <w:right w:val="single" w:sz="8" w:color="CCEEFF"/>
            </w:tcBorders>
            <w:gridSpan w:val="2"/>
            <w:vMerge w:val="continue"/>
            <w:shd w:val="clear" w:color="auto" w:fill="CCEEFF"/>
          </w:tcPr>
          <w:p>
            <w:pPr>
              <w:spacing w:after="0"/>
              <w:rPr>
                <w:sz w:val="4"/>
                <w:szCs w:val="4"/>
                <w:color w:val="auto"/>
              </w:rPr>
            </w:pPr>
          </w:p>
        </w:tc>
        <w:tc>
          <w:tcPr>
            <w:tcW w:w="160" w:type="dxa"/>
            <w:vAlign w:val="bottom"/>
            <w:shd w:val="clear" w:color="auto" w:fill="CCEEFF"/>
          </w:tcPr>
          <w:p>
            <w:pPr>
              <w:jc w:val="right"/>
              <w:ind w:right="2"/>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shd w:val="clear" w:color="auto" w:fill="CCEEFF"/>
          </w:tcPr>
          <w:p>
            <w:pPr>
              <w:spacing w:after="0"/>
              <w:rPr>
                <w:sz w:val="4"/>
                <w:szCs w:val="4"/>
                <w:color w:val="auto"/>
              </w:rPr>
            </w:pPr>
          </w:p>
        </w:tc>
        <w:tc>
          <w:tcPr>
            <w:tcW w:w="640" w:type="dxa"/>
            <w:vAlign w:val="bottom"/>
            <w:shd w:val="clear" w:color="auto" w:fill="CCEEFF"/>
          </w:tcPr>
          <w:p>
            <w:pPr>
              <w:ind w:left="220"/>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0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2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8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ind w:right="2"/>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220" w:type="dxa"/>
            <w:vAlign w:val="bottom"/>
          </w:tcPr>
          <w:p>
            <w:pPr>
              <w:spacing w:after="0"/>
              <w:rPr>
                <w:sz w:val="23"/>
                <w:szCs w:val="23"/>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5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00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25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w:t>
            </w: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5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3"/>
                <w:szCs w:val="3"/>
                <w:color w:val="auto"/>
              </w:rPr>
              <w:t>​​</w:t>
            </w:r>
          </w:p>
        </w:tc>
        <w:tc>
          <w:tcPr>
            <w:tcW w:w="8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220" w:type="dxa"/>
            <w:vAlign w:val="bottom"/>
            <w:tcBorders>
              <w:right w:val="single" w:sz="8" w:color="CCEEFF"/>
            </w:tcBorders>
            <w:vMerge w:val="continue"/>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4897755</wp:posOffset>
            </wp:positionH>
            <wp:positionV relativeFrom="paragraph">
              <wp:posOffset>-213995</wp:posOffset>
            </wp:positionV>
            <wp:extent cx="11144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-213995</wp:posOffset>
            </wp:positionV>
            <wp:extent cx="1625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0429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-556895</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-556895</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30257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25775" cy="825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-556895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table above assumes no exercise of the underwriters’ over-allotment option in this offering. If the underwriters’ over-allotment option is exercised in full, the number of shares of our common stock held by existing stockholders would be reduced to        % of the total number of shares of our common stock and non-voting common stock outstanding after this offering, and the number of shares of common stock held by new investors purchasing common stock in this offering would be increased to        % of the total number of shares of our common stock and non-voting common stock outstanding after this offering.</w:t>
      </w:r>
    </w:p>
    <w:p>
      <w:pPr>
        <w:spacing w:after="0" w:line="11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foregoing discussion and tables above (other than the historical net tangible book value (deficit) calculation) are based on an aggregate of number of shares of our common stock and non-voting common stock to be outstanding immediately after this offering is based on an aggregate of 181,015,104 shares of common stock and non-voting common stock (which include 1,287,023 shares of unvested restricted stock awards subject to a repurchase option by us) outstanding as of March 31, 2024, after giving effect to (i) the issuance of 41,264,892 shares of Series C redeemable convertible preferred stock in May 2024, and (ii) the Preferred Stock Conversion and the Common Stock Reclassification, as if each had occurred as of March 31, 2024, and excludes:</w:t>
      </w:r>
    </w:p>
    <w:p>
      <w:pPr>
        <w:spacing w:after="0" w:line="288" w:lineRule="exact"/>
        <w:rPr>
          <w:sz w:val="20"/>
          <w:szCs w:val="20"/>
          <w:color w:val="auto"/>
        </w:rPr>
      </w:pPr>
    </w:p>
    <w:p>
      <w:pPr>
        <w:ind w:left="1800" w:right="41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26,019,851 shares of our common stock issuable upon the exercise of outstanding stock options as of March 31, 2024, with a weighted-average exercise price of $1.80 per share;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14,761,040 shares of our common stock issuable upon the exercise of outstanding stock options granted subsequent to March 31, 2024, with a weighted-average exercise price of $2.44 per share;</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our common stock reserved for future issuance under our 2024 Plan, which will become effective once the registration statement of which this prospectus forms a part is declared effective, including             new shares plus the number of shares (not to exceed                 shares) that (i) remain available for grant of future awards under the 2021 Plan and will cease to be available for issuance under the 2021 Plan at the time our 2024 Plan becomes effective in connection with this offering, and (ii) are underlying outstanding stock awards granted under our 2021 Plan, that expire or are repurchased, forfeited, cancelled or withheld, as well as any future automatic annual increases in the number of shares of common stock reserved for issuance under our 2024 Plan and, as more fully described in the section titled “Executive Compensation—Equity Benefit Plans;” and</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our common stock reserved for issuance under our ESPP, which will become effective once the registration statement of which this prospectus forms a part is declared effective, as well as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379"/>
        <w:spacing w:after="0" w:line="266" w:lineRule="auto"/>
        <w:rPr>
          <w:sz w:val="20"/>
          <w:szCs w:val="20"/>
          <w:color w:val="auto"/>
        </w:rPr>
      </w:pPr>
      <w:r>
        <w:rPr>
          <w:rFonts w:ascii="Times New Roman" w:cs="Times New Roman" w:eastAsia="Times New Roman" w:hAnsi="Times New Roman"/>
          <w:sz w:val="18"/>
          <w:szCs w:val="18"/>
          <w:color w:val="auto"/>
        </w:rPr>
        <w:t>future automatic annual increases in the number of shares of common stock reserved for future issuance under our ESPP, as more fully described in the section titled “Executive Compensation—​ Equity Benefit Plans.”</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To the extent that any outstanding options are exercised or new options are issued under our stock-based compensation plans, or we issue additional shares of common stock in the future, there will be further dilution to new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our unaudited interim condensed consolidated financial statements and the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prospectus.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mission is to significantly improve the lives of patients by replacing broad immunosuppression with targeted therapies. Our name, Alumis, captures our mission to enlighten immunology, and is inspired by the words “allumer”—French for illuminate—and “immunis”—Latin for the immune system.</w:t>
      </w:r>
    </w:p>
    <w:p>
      <w:pPr>
        <w:spacing w:after="0" w:line="10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We are a clinical stage biopharmaceutical company with an initial focus on developing our two Tyrosine Kinase 2 (TYK2) inhibitors: ESK-001, a second-generation inhibitor that we are developing to maximize target inhibition and optimize tolerability, and A- 005, a central nervous system (CNS) penetrant molecule. ESK-001 has demonstrated significant therapeutic effect in our Phase 2 program in patients with PsO, which we define as moderate-to-severe plaque psoriasis (PsO), and is currently being evaluated in an additional Phase 2 clinical trial in patients with systemic lupus erythematosus (SLE), for which we expect to report results in 2026. With the favorable results in our Phase 2 clinical trial in PsO, we intend to initiate multiple Phase 3 clinical trials of ESK-001 in the second half of 2024 in this indication. TYK2 genetic mutations are associated with a strong protective effect in multiple sclerosis, motivating us to develop our second product candidate, A-005, as a CNS-penetrant, allosteric TYK2 inhibitor for neuroinflammatory and neurodegenerative diseases. In April 2024, we initiated our Phase 1 program of A-005 in healthy volunteers and expect to report initial results by the end of 2024.</w:t>
      </w:r>
    </w:p>
    <w:p>
      <w:pPr>
        <w:spacing w:after="0" w:line="333"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Alumis was incubated by Foresite Labs and incorporated on January 29, 2021 as a Delaware corporation under the name FL2021-001, Inc. FL2021-001, Inc.’s name was changed to Esker Therapeutics, Inc. in March 2021 and to Alumis Inc. in January 2022.</w:t>
      </w:r>
    </w:p>
    <w:p>
      <w:pPr>
        <w:spacing w:after="0" w:line="10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efforts to organizing our company, hiring personnel, business planning, acquiring and developing our product candidates, performing research and development, conducting preclinical studies and clinical trials, establishing and protecting our intellectual property portfolio, raising capital and providing general and administrative support for these activities. We do not have any products approved for sale and have not generated any revenue from product sales. We expect to continue to incur significant and increasing expenses and increasing substantial losses for the foreseeable future as we continue our development of and seek regulatory approvals for our product candidates and commercialize any approved products, seek to expand our product pipeline and invest in our organization. Our ability to achieve and sustain profitability will depend on our ability to successfully develop, obtain regulatory approval for and commercialize our product candidates. There can be no assurance that we will ever earn revenue or achieve profitability, or if achieved, that the revenue or profitability will be sustained on a continuing basis.</w:t>
      </w:r>
    </w:p>
    <w:p>
      <w:pPr>
        <w:spacing w:after="0" w:line="34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To date, we have primarily funded our operations with proceeds from sales of shares of our redeemable convertible preferred stock and the issuance of convertible promissory notes in private placements. As of March 31, 2024, we had $133.7 million in cash, cash equivalents and marketable securities.</w:t>
      </w:r>
    </w:p>
    <w:p>
      <w:pPr>
        <w:spacing w:after="0" w:line="95"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our inception. Our net loss for the years ended December 31, 2022 and 2023 was $111.9 million and $155.0 million, respectively. Our net loss for the three months ended March 31, 2023 and 2024 was $36.0 million and $49.8 million, respectively. As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March 31, 2024, we had an accumulated deficit of $414.2 million. Substantially all of our net losses have resulted from costs incurred in connection with our research and development efforts, including acquisitions of in-process research and development assets, and, to a lesser extent, from general and administrative costs associated with our operations. Our net losses and operating losses may fluctuate from quarter to quarter and year to year depending primarily on the timing of acquisition of any new product candidates, the timing of our preclinical studies and clinical trials, our other research and development expenses, and the timing and amount of any milestone or royalty payments due under our existing or future license agreements. In addition, following the closing of this offering, we expect to incur additional costs associated with operating as a public company, including significant legal, audit, accounting, regulatory and tax-related services associated with maintaining compliance with exchange listing and SEC requirements, director and officer liability insurance costs, investor and public relations costs, and other expenses that we did not incur as a private company.</w:t>
      </w:r>
    </w:p>
    <w:p>
      <w:pPr>
        <w:spacing w:after="0" w:line="32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anticipate that our expense will increase significantly in connection with our ongoing activities, particularly if and as we:</w:t>
      </w:r>
    </w:p>
    <w:p>
      <w:pPr>
        <w:spacing w:after="0" w:line="54" w:lineRule="exact"/>
        <w:rPr>
          <w:sz w:val="20"/>
          <w:szCs w:val="20"/>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the development of our product candidates in multiple clinical trials in parallel;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additional indications for our existing product candidates;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and scientific personnel;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rights;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our existing acquisition agreements and any future license or collaboration agreements;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or in-license new technologies or product candidates;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any of our product candidates that successfully complete clinical trials, if any;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manufacturing and supply chain capacity for our product candidates, including commercial manufacturing readiness and scale-up;</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challenges or other issues associated with the clinical development and regulatory approvals of our product candidates;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legal, financial and management information systems and personnel to support our product development, clinical execution and planned future commercialization efforts, as well as to support our transition to a public company;</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obtain marketing approval;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15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We do not have any products approved for sale and have not generated any revenue from product sales since our inception. We do not expect to generate revenue from any product candidates that we develop until we obtain regulatory approval for one or more of such product candidates and commercialize our products or enter into collaboration agreements with third parties. Because of the numerous risks and uncertainties associated with biopharmaceutical product development, we may never achieve or sustain profitability and, unless and until we are able to develop and commercialize our product candidates, we will need to continue to raise additional capital. 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have to relinquish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16"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facility. We rely on contract manufacturing organizations (CMOs) to produce our product candidates in accordance with the FDA’s current cGMP regulations for use in our clinical studies. We have entered into development and manufacturing agreements with various CMOs relating to process development, manufacturing of drug substance and drug product, and quality testing of our product candidates. We expect to rely on our CMOs in the future for the manufacturing of our product candidates in order to expedite readiness for future clinical trials. Most of these CMOs have demonstrated capability in preparation of materials for commercialization. Additionally, we may decide to build our own manufacturing facility in the future to provide us greater flexibility and control over our clinical or commercial manufacturing needs.</w:t>
      </w:r>
    </w:p>
    <w:p>
      <w:pPr>
        <w:spacing w:after="0" w:line="121"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Given our stage of development, we do not yet have a marketing or sales organization or commercial infrastructure; however, we intend to build the necessary sales, marketing and commercialization capabilities and infrastructure over time as our product candidates advance through clinical development. We expect to spend a significant amount in commercial development and marketing costs prior to obtaining regulatory and marketing approval of one or more of our product candidates.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Macroeconomic Trends</w:t>
      </w:r>
    </w:p>
    <w:p>
      <w:pPr>
        <w:spacing w:after="0" w:line="14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Unfavorable conditions in the economy in the United States and abroad may negatively affect the growth of our business and our results of operations. For example, macroeconomic events, including, rising inflation, tensions in U.S.-China relations, the U.S. Federal Reserve raising interest rates, recent and potential future disruptions in access to bank deposits and lending commitments due to bank failures and the effects of the ongoing geopolitical conflicts in Ukraine and Israel and the surrounding areas, have led to economic uncertainty and volatility globally. The effect of macroeconomic conditions may not be fully reflected in our results of operations until future periods. Moreover, negative macroeconomic conditions could adversely impact our ability to obtain financing in the future on terms acceptable to us, or at all. In addition, the geopolitical instability and related sanctions could continue to have significant ramifications on global financial markets, including volatility in the U.S. and global financial markets. To date, the macroeconomic trends discussed above have not had a material adverse impact on our business, financial condition or results of operations. If, however, economic uncertainty increases or the global economy worsens, our business, financial condition and results of operations may be harmed.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external and internal costs primarily related to acquiring and developing our research pipeline and technologies and clinical development of our product candidates.</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External costs include:</w:t>
      </w:r>
    </w:p>
    <w:p>
      <w:pPr>
        <w:spacing w:after="0" w:line="131" w:lineRule="exact"/>
        <w:rPr>
          <w:sz w:val="20"/>
          <w:szCs w:val="20"/>
          <w:color w:val="auto"/>
        </w:rPr>
      </w:pPr>
    </w:p>
    <w:p>
      <w:pPr>
        <w:jc w:val="both"/>
        <w:ind w:left="1800" w:right="419" w:hanging="180"/>
        <w:spacing w:after="0" w:line="275"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acquiring technology and intellectual property licenses that have no alternative future uses and costs incurred under in-license or assignment agreements, including milestone payments;</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discovery and preclinical development of our pipeline programs;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3"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the clinical development of our product candidates, including under agreements with clinical research organizations (CROs), CMOs and other third parties that conduct clinical trials and manufacture clinical supplies, product candidates and components on our behalf; and</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third-party professional research and development consulting services.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Internal costs include:</w:t>
      </w:r>
    </w:p>
    <w:p>
      <w:pPr>
        <w:spacing w:after="0" w:line="117" w:lineRule="exact"/>
        <w:rPr>
          <w:sz w:val="20"/>
          <w:szCs w:val="20"/>
          <w:color w:val="auto"/>
        </w:rPr>
      </w:pPr>
    </w:p>
    <w:p>
      <w:pPr>
        <w:ind w:left="1800" w:right="4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personnel-related costs, including salaries, annual bonuses, benefits, travel and meals expenses and stock-based compensation expense;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other overhead costs, including software licenses, computer supplies and accessories and other miscellaneous expenses.</w:t>
      </w:r>
    </w:p>
    <w:p>
      <w:pPr>
        <w:spacing w:after="0" w:line="81"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have acquired and may continue to acquire the rights to develop and commercialize new product candidates. Upfront and milestone payments are accrued for and expensed as in process research and development (IPRD) assets expense when the achievement of the milestone is probable up to the point of regulatory approval and, absent obtaining such approval, have no alternative future use. Milestone payments made after a product’s regulatory approval will be capitalized and amortized over the remaining useful life of the related product.</w:t>
      </w:r>
    </w:p>
    <w:p>
      <w:pPr>
        <w:spacing w:after="0" w:line="325"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research and development prepaid expenses on our consolidated balance sheets. The capitalized amounts are recognized as expense as the goods are delivered or services are performed. Since our inception and through March 31, 2024, our external research and development expenses were primarily related to the discovery and advancement of programs under our TYK2 platform, including our two most advanced product candidates, ESK-001 and A-005. We use internal resources primarily for managing our research, process development, manufacturing and clinical development activities. In particular, with respect to internal costs, we deploy our personnel across all of our research and development activities as our employees work across multiple programs, and therefore the costs cannot be allocated to a particular product candidate or research program. In 2023, we began tracking external costs by program.</w:t>
      </w:r>
    </w:p>
    <w:p>
      <w:pPr>
        <w:spacing w:after="0" w:line="125"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advance our product candidates into and through clinical trials, pursue regulatory approval of our product candidates, build our operational and commercial capabilities for marketing our products, if approved, and expand our pipeline of product candidates. The process of conducting the necessary clinical research to obtain regulatory approval is time -consuming, expensive and uncertain. The actual probability of success for our product candidates may be affected by a variety of factors, including the safety and efficacy of our product candidates, clinical data, investment in our clinical programs, competition, manufacturability and commercial viability. It is possible that we may never receive regulatory approval for any of our product candidates. As a result of the uncertainties discussed above, we are unable to determine the duration and completion of costs of our research and development projects or if, when and to what extent we will generate revenue from the commercialization and sale of our product candidates, if approved by the FDA and other comparable foreign regulatory authorities.</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future research and development costs may vary significantly based on factors such as:</w:t>
      </w:r>
    </w:p>
    <w:p>
      <w:pPr>
        <w:spacing w:after="0" w:line="117"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preclinical and clinical development activities;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of our product candidates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milestone payment due under our existing asset acquisition agreements and any future license or collaboration agreements;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our clinical trials, and per participant clinical trial costs;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duration of clinical trials required for approval of our product candidates;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our clinical trials, and the locations of those sites;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adding trial sites and enrolling participants;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drop-out or discontinuation rates;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safety monitoring if requested by regulatory authorities;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including the FDA and comparable foreign regulatory authorities;</w:t>
      </w:r>
    </w:p>
    <w:p>
      <w:pPr>
        <w:spacing w:after="0" w:line="8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 if any, of our product candidates;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outlook;</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strategic collaborations or other arrangements; and</w:t>
      </w:r>
    </w:p>
    <w:p>
      <w:pPr>
        <w:spacing w:after="0" w:line="14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81"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personnel-related costs, legal and consulting services, including those relating to intellectual property and corporate matters, marketing expenses and allocated facilities and other overhead costs, including software licenses, computer supplies, insurance and other miscellaneous expenses. Personnel-related costs include salaries, annual bonuses, benefits, travel and meal expenses and stock-based compensation expense for our general and administrative personnel.</w:t>
      </w:r>
    </w:p>
    <w:p>
      <w:pPr>
        <w:spacing w:after="0" w:line="12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in the future as a result of expanding our operations, including hiring personnel, preparing for potential commercialization of our product candidates and facility occupancy costs, as well as various incremental costs associated with operating as a public company. We expect that our costs will increase related to legal, audit, accounting fees, consulting fees, regulatory and tax-related services associated with maintaining compliance with exchange listing and SEC requirements, director and officer insurance costs, investor and public relations costs and other expenses that we did not incur as a private company. We also expect to increase the size of our administrative function to support the growth of our business.</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including amortization of premiums and accretion of discounts on marketable securities and change in fair value of derivative liability.</w:t>
      </w:r>
    </w:p>
    <w:p>
      <w:pPr>
        <w:spacing w:after="0" w:line="81"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In May 2023 and in March 2024, in connection with our redeemable convertible preferred stock financings, we issued options to purchase additional shares of redeemable convertible preferred stock at a specified price, which were accounted for as derivative liabilities. Changes in fair value of these derivative liabilities are included in the other income (loss) in the interim condensed consolidated statement of operations and comprehensive loss for each reporting period until the derivative is exercised or expires.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Comparison of the Periods for the Years Ended December 31, 2022 and 2023</w:t>
      </w:r>
    </w:p>
    <w:p>
      <w:pPr>
        <w:spacing w:after="0" w:line="162" w:lineRule="exact"/>
        <w:rPr>
          <w:sz w:val="20"/>
          <w:szCs w:val="20"/>
          <w:color w:val="auto"/>
        </w:rPr>
      </w:pPr>
    </w:p>
    <w:p>
      <w:pPr>
        <w:ind w:left="1260" w:right="419"/>
        <w:spacing w:after="0" w:line="297"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2023 (dollars in thousands):</w:t>
      </w:r>
    </w:p>
    <w:p>
      <w:pPr>
        <w:sectPr>
          <w:pgSz w:w="11900" w:h="16838" w:orient="portrait"/>
          <w:cols w:equalWidth="0" w:num="1">
            <w:col w:w="9879"/>
          </w:cols>
          <w:pgMar w:left="580" w:top="97" w:right="1440" w:bottom="1440" w:gutter="0" w:footer="0" w:header="0"/>
        </w:sectPr>
      </w:pP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6" w:lineRule="exact"/>
        <w:rPr>
          <w:sz w:val="20"/>
          <w:szCs w:val="20"/>
          <w:color w:val="auto"/>
        </w:rPr>
      </w:pPr>
    </w:p>
    <w:p>
      <w:pPr>
        <w:ind w:left="1440" w:hanging="17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including related party expenses of $1,570 and $1,519 for the years ended December 31, 2022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50" w:lineRule="exact"/>
        <w:rPr>
          <w:sz w:val="20"/>
          <w:szCs w:val="20"/>
          <w:color w:val="auto"/>
        </w:rPr>
      </w:pPr>
    </w:p>
    <w:p>
      <w:pPr>
        <w:ind w:left="1440" w:right="1200"/>
        <w:spacing w:after="0" w:line="313" w:lineRule="auto"/>
        <w:rPr>
          <w:sz w:val="20"/>
          <w:szCs w:val="20"/>
          <w:color w:val="auto"/>
        </w:rPr>
      </w:pPr>
      <w:r>
        <w:rPr>
          <w:rFonts w:ascii="Times New Roman" w:cs="Times New Roman" w:eastAsia="Times New Roman" w:hAnsi="Times New Roman"/>
          <w:sz w:val="18"/>
          <w:szCs w:val="18"/>
          <w:color w:val="auto"/>
        </w:rPr>
        <w:t>Change in fair value of derivative liability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-193675</wp:posOffset>
            </wp:positionV>
            <wp:extent cx="521208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5486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ind w:right="72"/>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36"/>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5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380" w:type="dxa"/>
            <w:vAlign w:val="bottom"/>
            <w:gridSpan w:val="3"/>
          </w:tcPr>
          <w:p>
            <w:pPr>
              <w:jc w:val="right"/>
              <w:ind w:right="72"/>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62"/>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​​$ 101,304​​</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​​$ 137,676​​</w:t>
            </w:r>
          </w:p>
        </w:tc>
        <w:tc>
          <w:tcPr>
            <w:tcW w:w="9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​​$ 36,372​​</w:t>
            </w:r>
          </w:p>
        </w:tc>
        <w:tc>
          <w:tcPr>
            <w:tcW w:w="5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36​%</w:t>
            </w:r>
          </w:p>
        </w:tc>
        <w:tc>
          <w:tcPr>
            <w:tcW w:w="0" w:type="dxa"/>
            <w:vAlign w:val="bottom"/>
          </w:tcPr>
          <w:p>
            <w:pPr>
              <w:spacing w:after="0"/>
              <w:rPr>
                <w:sz w:val="1"/>
                <w:szCs w:val="1"/>
                <w:color w:val="auto"/>
              </w:rPr>
            </w:pPr>
          </w:p>
        </w:tc>
      </w:tr>
      <w:tr>
        <w:trPr>
          <w:trHeight w:val="270"/>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0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12,546</w:t>
            </w:r>
            <w:r>
              <w:rPr>
                <w:rFonts w:ascii="Times New Roman" w:cs="Times New Roman" w:eastAsia="Times New Roman" w:hAnsi="Times New Roman"/>
                <w:sz w:val="31"/>
                <w:szCs w:val="31"/>
                <w:color w:val="auto"/>
                <w:vertAlign w:val="subscript"/>
              </w:rPr>
              <w:t>​​</w:t>
            </w:r>
          </w:p>
        </w:tc>
        <w:tc>
          <w:tcPr>
            <w:tcW w:w="2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20,498</w:t>
            </w:r>
            <w:r>
              <w:rPr>
                <w:rFonts w:ascii="Times New Roman" w:cs="Times New Roman" w:eastAsia="Times New Roman" w:hAnsi="Times New Roman"/>
                <w:sz w:val="31"/>
                <w:szCs w:val="31"/>
                <w:color w:val="auto"/>
                <w:vertAlign w:val="subscript"/>
              </w:rPr>
              <w:t>​​</w:t>
            </w:r>
          </w:p>
        </w:tc>
        <w:tc>
          <w:tcPr>
            <w:tcW w:w="30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7,952</w:t>
            </w:r>
            <w:r>
              <w:rPr>
                <w:rFonts w:ascii="Times New Roman" w:cs="Times New Roman" w:eastAsia="Times New Roman" w:hAnsi="Times New Roman"/>
                <w:sz w:val="31"/>
                <w:szCs w:val="31"/>
                <w:color w:val="auto"/>
                <w:vertAlign w:val="subscript"/>
              </w:rPr>
              <w:t>​​</w:t>
            </w:r>
          </w:p>
        </w:tc>
        <w:tc>
          <w:tcPr>
            <w:tcW w:w="500" w:type="dxa"/>
            <w:vAlign w:val="bottom"/>
            <w:gridSpan w:val="5"/>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63</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113,850</w:t>
            </w:r>
            <w:r>
              <w:rPr>
                <w:rFonts w:ascii="Times New Roman" w:cs="Times New Roman" w:eastAsia="Times New Roman" w:hAnsi="Times New Roman"/>
                <w:sz w:val="30"/>
                <w:szCs w:val="30"/>
                <w:color w:val="auto"/>
                <w:vertAlign w:val="subscript"/>
              </w:rPr>
              <w:t>​​</w:t>
            </w:r>
          </w:p>
        </w:tc>
        <w:tc>
          <w:tcPr>
            <w:tcW w:w="960" w:type="dxa"/>
            <w:vAlign w:val="bottom"/>
            <w:gridSpan w:val="4"/>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​158,174</w:t>
            </w:r>
            <w:r>
              <w:rPr>
                <w:rFonts w:ascii="Times New Roman" w:cs="Times New Roman" w:eastAsia="Times New Roman" w:hAnsi="Times New Roman"/>
                <w:sz w:val="30"/>
                <w:szCs w:val="30"/>
                <w:color w:val="auto"/>
                <w:vertAlign w:val="subscript"/>
              </w:rPr>
              <w:t>​​</w:t>
            </w:r>
          </w:p>
        </w:tc>
        <w:tc>
          <w:tcPr>
            <w:tcW w:w="920" w:type="dxa"/>
            <w:vAlign w:val="bottom"/>
            <w:gridSpan w:val="7"/>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44,324</w:t>
            </w:r>
            <w:r>
              <w:rPr>
                <w:rFonts w:ascii="Times New Roman" w:cs="Times New Roman" w:eastAsia="Times New Roman" w:hAnsi="Times New Roman"/>
                <w:sz w:val="30"/>
                <w:szCs w:val="30"/>
                <w:color w:val="auto"/>
                <w:vertAlign w:val="subscript"/>
              </w:rPr>
              <w:t>​​</w:t>
            </w:r>
          </w:p>
        </w:tc>
        <w:tc>
          <w:tcPr>
            <w:tcW w:w="500" w:type="dxa"/>
            <w:vAlign w:val="bottom"/>
            <w:gridSpan w:val="5"/>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39</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rPr>
              <w:t>​(113,850)</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​(158,174)</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​(44,324)</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03"/>
        </w:trPr>
        <w:tc>
          <w:tcPr>
            <w:tcW w:w="12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jc w:val="right"/>
              <w:ind w:right="52"/>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9"/>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5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69​%</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
              <w:spacing w:after="0" w:line="181" w:lineRule="exact"/>
              <w:rPr>
                <w:sz w:val="20"/>
                <w:szCs w:val="20"/>
                <w:color w:val="auto"/>
              </w:rPr>
            </w:pPr>
            <w:r>
              <w:rPr>
                <w:rFonts w:ascii="Times New Roman" w:cs="Times New Roman" w:eastAsia="Times New Roman" w:hAnsi="Times New Roman"/>
                <w:sz w:val="18"/>
                <w:szCs w:val="18"/>
                <w:color w:val="auto"/>
              </w:rPr>
              <w:t>(119)</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ind w:right="34"/>
              <w:spacing w:after="0" w:line="181" w:lineRule="exact"/>
              <w:rPr>
                <w:sz w:val="20"/>
                <w:szCs w:val="20"/>
                <w:color w:val="auto"/>
              </w:rPr>
            </w:pPr>
            <w:r>
              <w:rPr>
                <w:rFonts w:ascii="Times New Roman" w:cs="Times New Roman" w:eastAsia="Times New Roman" w:hAnsi="Times New Roman"/>
                <w:sz w:val="18"/>
                <w:szCs w:val="18"/>
                <w:color w:val="auto"/>
              </w:rPr>
              <w:t>(119)</w:t>
            </w:r>
          </w:p>
        </w:tc>
        <w:tc>
          <w:tcPr>
            <w:tcW w:w="50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gridSpan w:val="2"/>
          </w:tcPr>
          <w:p>
            <w:pPr>
              <w:ind w:left="20"/>
              <w:spacing w:after="0" w:line="76"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jc w:val="right"/>
              <w:ind w:right="52"/>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5"/>
              <w:spacing w:after="0" w:line="181" w:lineRule="exact"/>
              <w:rPr>
                <w:sz w:val="20"/>
                <w:szCs w:val="20"/>
                <w:color w:val="auto"/>
              </w:rPr>
            </w:pPr>
            <w:r>
              <w:rPr>
                <w:rFonts w:ascii="Times New Roman" w:cs="Times New Roman" w:eastAsia="Times New Roman" w:hAnsi="Times New Roman"/>
                <w:sz w:val="18"/>
                <w:szCs w:val="18"/>
                <w:color w:val="auto"/>
              </w:rPr>
              <w:t>(72)</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
              <w:spacing w:after="0" w:line="181" w:lineRule="exact"/>
              <w:rPr>
                <w:sz w:val="20"/>
                <w:szCs w:val="20"/>
                <w:color w:val="auto"/>
              </w:rPr>
            </w:pPr>
            <w:r>
              <w:rPr>
                <w:rFonts w:ascii="Times New Roman" w:cs="Times New Roman" w:eastAsia="Times New Roman" w:hAnsi="Times New Roman"/>
                <w:sz w:val="18"/>
                <w:szCs w:val="18"/>
                <w:color w:val="auto"/>
              </w:rPr>
              <w:t>(68)</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2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12"/>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jc w:val="right"/>
              <w:ind w:right="52"/>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70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1,920</w:t>
            </w:r>
            <w:r>
              <w:rPr>
                <w:rFonts w:ascii="Times New Roman" w:cs="Times New Roman" w:eastAsia="Times New Roman" w:hAnsi="Times New Roman"/>
                <w:sz w:val="30"/>
                <w:szCs w:val="30"/>
                <w:color w:val="auto"/>
                <w:vertAlign w:val="subscript"/>
              </w:rPr>
              <w:t>​​</w:t>
            </w:r>
          </w:p>
        </w:tc>
        <w:tc>
          <w:tcPr>
            <w:tcW w:w="280" w:type="dxa"/>
            <w:vAlign w:val="bottom"/>
            <w:gridSpan w:val="2"/>
          </w:tcPr>
          <w:p>
            <w:pPr>
              <w:ind w:left="2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68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3,181</w:t>
            </w:r>
            <w:r>
              <w:rPr>
                <w:rFonts w:ascii="Times New Roman" w:cs="Times New Roman" w:eastAsia="Times New Roman" w:hAnsi="Times New Roman"/>
                <w:sz w:val="30"/>
                <w:szCs w:val="30"/>
                <w:color w:val="auto"/>
                <w:vertAlign w:val="subscript"/>
              </w:rPr>
              <w:t>​​</w:t>
            </w:r>
          </w:p>
        </w:tc>
        <w:tc>
          <w:tcPr>
            <w:tcW w:w="30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62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1,261</w:t>
            </w:r>
            <w:r>
              <w:rPr>
                <w:rFonts w:ascii="Times New Roman" w:cs="Times New Roman" w:eastAsia="Times New Roman" w:hAnsi="Times New Roman"/>
                <w:sz w:val="30"/>
                <w:szCs w:val="30"/>
                <w:color w:val="auto"/>
                <w:vertAlign w:val="subscript"/>
              </w:rPr>
              <w:t>​​</w:t>
            </w:r>
          </w:p>
        </w:tc>
        <w:tc>
          <w:tcPr>
            <w:tcW w:w="120" w:type="dxa"/>
            <w:vAlign w:val="bottom"/>
            <w:gridSpan w:val="2"/>
          </w:tcPr>
          <w:p>
            <w:pPr>
              <w:ind w:left="2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380" w:type="dxa"/>
            <w:vAlign w:val="bottom"/>
            <w:gridSpan w:val="3"/>
          </w:tcPr>
          <w:p>
            <w:pPr>
              <w:jc w:val="right"/>
              <w:ind w:right="52"/>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20" w:type="dxa"/>
            <w:vAlign w:val="bottom"/>
            <w:gridSpan w:val="4"/>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w w:val="90"/>
              </w:rPr>
              <w:t>$(111,930)</w:t>
            </w:r>
          </w:p>
        </w:tc>
        <w:tc>
          <w:tcPr>
            <w:tcW w:w="960" w:type="dxa"/>
            <w:vAlign w:val="bottom"/>
            <w:gridSpan w:val="4"/>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$(154,993)</w:t>
            </w:r>
          </w:p>
        </w:tc>
        <w:tc>
          <w:tcPr>
            <w:tcW w:w="920" w:type="dxa"/>
            <w:vAlign w:val="bottom"/>
            <w:gridSpan w:val="7"/>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$(43,063)</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jc w:val="right"/>
              <w:ind w:right="5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20" w:space="320"/>
            <w:col w:w="3739"/>
          </w:cols>
          <w:pgMar w:left="580" w:top="97" w:right="1440" w:bottom="1440" w:gutter="0" w:footer="0" w:header="0"/>
          <w:type w:val="continuous"/>
        </w:sectPr>
      </w:pPr>
    </w:p>
    <w:p>
      <w:pPr>
        <w:spacing w:after="0" w:line="61" w:lineRule="exact"/>
        <w:rPr>
          <w:sz w:val="20"/>
          <w:szCs w:val="20"/>
          <w:color w:val="auto"/>
        </w:rPr>
      </w:pPr>
    </w:p>
    <w:p>
      <w:pPr>
        <w:ind w:left="1620" w:hanging="360"/>
        <w:spacing w:after="0"/>
        <w:tabs>
          <w:tab w:leader="none" w:pos="16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external and internal research and development expenses for the years ended December 31, 2022 and 2023 (dollars in thousands):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80" w:type="dxa"/>
            <w:vAlign w:val="bottom"/>
          </w:tcPr>
          <w:p>
            <w:pPr>
              <w:spacing w:after="0"/>
              <w:rPr>
                <w:sz w:val="16"/>
                <w:szCs w:val="16"/>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60" w:type="dxa"/>
            <w:vAlign w:val="bottom"/>
          </w:tcPr>
          <w:p>
            <w:pPr>
              <w:spacing w:after="0"/>
              <w:rPr>
                <w:sz w:val="16"/>
                <w:szCs w:val="16"/>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1"/>
        </w:trPr>
        <w:tc>
          <w:tcPr>
            <w:tcW w:w="45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60" w:type="dxa"/>
            <w:vAlign w:val="bottom"/>
            <w:gridSpan w:val="3"/>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7"/>
                <w:szCs w:val="7"/>
                <w:color w:val="auto"/>
              </w:rPr>
            </w:pPr>
          </w:p>
        </w:tc>
        <w:tc>
          <w:tcPr>
            <w:tcW w:w="980" w:type="dxa"/>
            <w:vAlign w:val="bottom"/>
            <w:gridSpan w:val="5"/>
            <w:vMerge w:val="restart"/>
          </w:tcPr>
          <w:p>
            <w:pPr>
              <w:jc w:val="center"/>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4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480" w:type="dxa"/>
            <w:vAlign w:val="bottom"/>
            <w:gridSpan w:val="2"/>
          </w:tcPr>
          <w:p>
            <w:pPr>
              <w:jc w:val="right"/>
              <w:ind w:right="100"/>
              <w:spacing w:after="0" w:line="227" w:lineRule="exact"/>
              <w:rPr>
                <w:sz w:val="20"/>
                <w:szCs w:val="20"/>
                <w:color w:val="auto"/>
              </w:rPr>
            </w:pP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costs:</w:t>
            </w:r>
          </w:p>
        </w:tc>
        <w:tc>
          <w:tcPr>
            <w:tcW w:w="30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1"/>
                <w:szCs w:val="21"/>
                <w:color w:val="auto"/>
              </w:rPr>
            </w:pPr>
          </w:p>
        </w:tc>
        <w:tc>
          <w:tcPr>
            <w:tcW w:w="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 ​</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5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Milestones related to previously acquired IPR&amp;D assets</w:t>
            </w: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5"/>
              <w:spacing w:after="0" w:line="202" w:lineRule="exact"/>
              <w:rPr>
                <w:sz w:val="20"/>
                <w:szCs w:val="20"/>
                <w:color w:val="auto"/>
              </w:rPr>
            </w:pPr>
            <w:r>
              <w:rPr>
                <w:rFonts w:ascii="Times New Roman" w:cs="Times New Roman" w:eastAsia="Times New Roman" w:hAnsi="Times New Roman"/>
                <w:sz w:val="18"/>
                <w:szCs w:val="18"/>
                <w:color w:val="auto"/>
              </w:rPr>
              <w:t>37,000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8"/>
          </w:tcPr>
          <w:p>
            <w:pPr>
              <w:jc w:val="right"/>
              <w:spacing w:after="0" w:line="202" w:lineRule="exact"/>
              <w:rPr>
                <w:sz w:val="20"/>
                <w:szCs w:val="20"/>
                <w:color w:val="auto"/>
              </w:rPr>
            </w:pPr>
            <w:r>
              <w:rPr>
                <w:rFonts w:ascii="Times New Roman" w:cs="Times New Roman" w:eastAsia="Times New Roman" w:hAnsi="Times New Roman"/>
                <w:sz w:val="18"/>
                <w:szCs w:val="18"/>
                <w:color w:val="auto"/>
              </w:rPr>
              <w:t>$(37,000)  (100)%</w:t>
            </w:r>
          </w:p>
        </w:tc>
        <w:tc>
          <w:tcPr>
            <w:tcW w:w="0" w:type="dxa"/>
            <w:vAlign w:val="bottom"/>
          </w:tcPr>
          <w:p>
            <w:pPr>
              <w:spacing w:after="0"/>
              <w:rPr>
                <w:sz w:val="1"/>
                <w:szCs w:val="1"/>
                <w:color w:val="auto"/>
              </w:rPr>
            </w:pPr>
          </w:p>
        </w:tc>
      </w:tr>
      <w:tr>
        <w:trPr>
          <w:trHeight w:val="54"/>
        </w:trPr>
        <w:tc>
          <w:tcPr>
            <w:tcW w:w="4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240" w:type="dxa"/>
            <w:vAlign w:val="bottom"/>
            <w:gridSpan w:val="2"/>
          </w:tcPr>
          <w:p>
            <w:pPr>
              <w:ind w:left="80"/>
              <w:spacing w:after="0" w:line="54" w:lineRule="exact"/>
              <w:rPr>
                <w:sz w:val="20"/>
                <w:szCs w:val="20"/>
                <w:color w:val="auto"/>
              </w:rPr>
            </w:pPr>
            <w:r>
              <w:rPr>
                <w:rFonts w:ascii="Times New Roman" w:cs="Times New Roman" w:eastAsia="Times New Roman" w:hAnsi="Times New Roman"/>
                <w:sz w:val="6"/>
                <w:szCs w:val="6"/>
                <w:color w:val="auto"/>
              </w:rPr>
              <w:t>​</w:t>
            </w:r>
          </w:p>
        </w:tc>
        <w:tc>
          <w:tcPr>
            <w:tcW w:w="6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60" w:type="dxa"/>
            <w:vAlign w:val="bottom"/>
            <w:gridSpan w:val="2"/>
          </w:tcPr>
          <w:p>
            <w:pPr>
              <w:ind w:left="8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480" w:type="dxa"/>
            <w:vAlign w:val="bottom"/>
            <w:gridSpan w:val="4"/>
          </w:tcPr>
          <w:p>
            <w:pPr>
              <w:jc w:val="right"/>
              <w:ind w:right="120"/>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6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 CMO and clinical trials</w:t>
            </w:r>
          </w:p>
        </w:tc>
        <w:tc>
          <w:tcPr>
            <w:tcW w:w="13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 ​ ​ 28,570 ​​ ​</w:t>
            </w:r>
          </w:p>
        </w:tc>
        <w:tc>
          <w:tcPr>
            <w:tcW w:w="7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68,967</w:t>
            </w:r>
          </w:p>
        </w:tc>
        <w:tc>
          <w:tcPr>
            <w:tcW w:w="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40,397​​ ​​ 141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consulting services</w:t>
            </w:r>
          </w:p>
        </w:tc>
        <w:tc>
          <w:tcPr>
            <w:tcW w:w="11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 ​ ​ 10,208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 13,155</w:t>
            </w: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2,947​​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11,463</w:t>
            </w:r>
          </w:p>
        </w:tc>
        <w:tc>
          <w:tcPr>
            <w:tcW w:w="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 ​​ 187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2"/>
                <w:szCs w:val="22"/>
                <w:color w:val="auto"/>
              </w:rPr>
            </w:pP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 ​​ ​</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Personnel-related costs</w:t>
            </w:r>
          </w:p>
        </w:tc>
        <w:tc>
          <w:tcPr>
            <w:tcW w:w="116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 ​ ​ 17,985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32,068</w:t>
            </w:r>
          </w:p>
        </w:tc>
        <w:tc>
          <w:tcPr>
            <w:tcW w:w="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14,083​​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Facilities and overhead costs</w:t>
            </w:r>
          </w:p>
        </w:tc>
        <w:tc>
          <w:tcPr>
            <w:tcW w:w="540" w:type="dxa"/>
            <w:vAlign w:val="bottom"/>
            <w:gridSpan w:val="3"/>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12,023</w:t>
            </w:r>
          </w:p>
        </w:tc>
        <w:tc>
          <w:tcPr>
            <w:tcW w:w="480" w:type="dxa"/>
            <w:vAlign w:val="bottom"/>
            <w:gridSpan w:val="4"/>
          </w:tcPr>
          <w:p>
            <w:pPr>
              <w:jc w:val="right"/>
              <w:ind w:righ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280" w:type="dxa"/>
            <w:vAlign w:val="bottom"/>
            <w:gridSpan w:val="6"/>
          </w:tcPr>
          <w:p>
            <w:pPr>
              <w:jc w:val="right"/>
              <w:spacing w:after="0" w:line="269" w:lineRule="exact"/>
              <w:rPr>
                <w:sz w:val="20"/>
                <w:szCs w:val="20"/>
                <w:color w:val="auto"/>
              </w:rPr>
            </w:pPr>
            <w:r>
              <w:rPr>
                <w:rFonts w:ascii="Times New Roman" w:cs="Times New Roman" w:eastAsia="Times New Roman" w:hAnsi="Times New Roman"/>
                <w:sz w:val="17"/>
                <w:szCs w:val="17"/>
                <w:color w:val="auto"/>
              </w:rPr>
              <w:t>8,481</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​239</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160" w:type="dxa"/>
            <w:vAlign w:val="bottom"/>
            <w:tcBorders>
              <w:right w:val="single" w:sz="8" w:color="CCEEFF"/>
            </w:tcBorders>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101,304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137,676</w:t>
            </w:r>
          </w:p>
        </w:tc>
        <w:tc>
          <w:tcPr>
            <w:tcW w:w="1280" w:type="dxa"/>
            <w:vAlign w:val="bottom"/>
            <w:gridSpan w:val="8"/>
            <w:shd w:val="clear" w:color="auto" w:fill="CCEEFF"/>
          </w:tcPr>
          <w:p>
            <w:pPr>
              <w:jc w:val="right"/>
              <w:ind w:right="2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$ 36,372</w:t>
            </w:r>
            <w:r>
              <w:rPr>
                <w:rFonts w:ascii="Times New Roman" w:cs="Times New Roman" w:eastAsia="Times New Roman" w:hAnsi="Times New Roman"/>
                <w:sz w:val="15"/>
                <w:szCs w:val="15"/>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5652135</wp:posOffset>
            </wp:positionH>
            <wp:positionV relativeFrom="paragraph">
              <wp:posOffset>-213995</wp:posOffset>
            </wp:positionV>
            <wp:extent cx="3600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4316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431665" cy="88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-1533525</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-1533525</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-1533525</wp:posOffset>
            </wp:positionV>
            <wp:extent cx="37458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05"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$36.4 million, from $101.3 million for the year ended December 31, 2022 to $137.7 million for the year ended December 31, 2023.</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milestones related to previously acquired IPR&amp;D assets included a $37.0 million clinical milestone payment in connection with a March 2021 asset acquisition. No clinical milestones were achieved or probable during the year ended December 31, 2023. CRO, CMO and clinical trials expenses increased by $40.4 million for the year ended December 31, 2023 compared to the year ended December 31, 2022, primarily due to increased CRO and CMO activities related to ESK-001 development. Professional research and development consulting service expense increased by $2.9 million and other research</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and development costs increased by $7.5 million to support clinical trials for ESK-001, preclinical advancement of A-005 and other research programs.</w:t>
      </w:r>
    </w:p>
    <w:p>
      <w:pPr>
        <w:spacing w:after="0" w:line="94"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Personnel-related costs increased by $14.1 million, from $18.0 million for the year ended December 31, 2022 to $32.1 million for the year ended December 31, 2023, as a result of increased research and development headcount from 63 to 90 employees as of December 31, 2022 and 2023, respectively. The increase in personnel-related costs includes an increase in stock-based compensation expense of $1.6 million as a result of additional options granted and an increase in the fair value of our common stock. Facilities and allocated overhead costs increased by $8.5 million primarily as a result of facilities and IT related expenses.</w:t>
      </w:r>
    </w:p>
    <w:p>
      <w:pPr>
        <w:spacing w:after="0" w:line="33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our external research and development expenses were primarily related to the clinical development of our ESK-001 program and, to a lesser extent, advancing our A-005 product candidate and research pipeline. The following table summarizes our external costs by program for the year ended December 31, 2023 (dollars in thousands):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60" w:type="dxa"/>
            <w:vAlign w:val="bottom"/>
          </w:tcPr>
          <w:p>
            <w:pPr>
              <w:spacing w:after="0"/>
              <w:rPr>
                <w:sz w:val="14"/>
                <w:szCs w:val="14"/>
                <w:color w:val="auto"/>
              </w:rPr>
            </w:pPr>
          </w:p>
        </w:tc>
      </w:tr>
      <w:tr>
        <w:trPr>
          <w:trHeight w:val="162"/>
        </w:trPr>
        <w:tc>
          <w:tcPr>
            <w:tcW w:w="7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r>
      <w:tr>
        <w:trPr>
          <w:trHeight w:val="214"/>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bottom w:val="single" w:sz="8" w:color="auto"/>
            </w:tcBorders>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ESK-001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​$70,414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A-005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 ​ 7,161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programs and research and development activities</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​16,010</w:t>
            </w:r>
          </w:p>
        </w:tc>
        <w:tc>
          <w:tcPr>
            <w:tcW w:w="120" w:type="dxa"/>
            <w:vAlign w:val="bottom"/>
            <w:tcBorders>
              <w:bottom w:val="single" w:sz="8" w:color="CCEEFF"/>
              <w:right w:val="single" w:sz="8" w:color="CCEEFF"/>
            </w:tcBorders>
            <w:gridSpan w:val="2"/>
            <w:shd w:val="clear" w:color="auto" w:fill="CCEEFF"/>
          </w:tcPr>
          <w:p>
            <w:pPr>
              <w:spacing w:after="0"/>
              <w:rPr>
                <w:sz w:val="23"/>
                <w:szCs w:val="23"/>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research and development expenses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720" w:type="dxa"/>
            <w:vAlign w:val="bottom"/>
            <w:gridSpan w:val="3"/>
          </w:tcPr>
          <w:p>
            <w:pPr>
              <w:jc w:val="center"/>
              <w:ind w:right="12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93,585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-711200</wp:posOffset>
            </wp:positionV>
            <wp:extent cx="46716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2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46"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$8.0 million, from $12.5 million for the year ended December 31, 2022 to $20.5 million for the year ended December 31, 2023. Personnel-related expenses increased by $3.6 million from $7.4 million for the year ended December 31, 2022 to $11.0 million for the year ended December 31, 2023 as a result of increase in headcount from 16 to 20 employees as of December 31, 2022 and 2023, respectively. The increase in personnel-related costs includes an increase in stock-based compensation expense of $1.0 million as a result of additional options granted and an increase in the fair value of our common stock. Expenses related to professional consulting services increased by $4.0 million, from $3.9 million for the year ended December 31, 2022 to $7.9 million for the year ended December 31, 2023 primarily due to an increase in consulting, legal and accounting services to support our growth and business development.</w:t>
      </w: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16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Total other income (expense), net increased by $1.3 million, from other income of $1.9 million for the year ended December 31, 2022 to other income of $3.2 million for the year ended December 31, 2023.</w:t>
      </w:r>
    </w:p>
    <w:p>
      <w:pPr>
        <w:spacing w:after="0" w:line="94"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Interest income increased by $1.4 million from $2.0 million for the year ended December 31, 2022 to $3.4 million for the year ended December 31, 2023 as a result of higher interest rates and higher investments balances during the year ended December 31, 2023 compared to the year ended December 31, 2022.</w:t>
      </w:r>
    </w:p>
    <w:p>
      <w:pPr>
        <w:spacing w:after="0" w:line="31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recognized a loss of $0.1 million for the year ended December 31, 2023 related to the change in fair value of a derivative liability. We did not have a derivative liability for the year ended December 31, 2022 and therefore no such loss was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Comparison of the Periods for the Three Months Ended March 31, 2023 and 2024</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2023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2024 (dollars in thousands):</w:t>
      </w:r>
    </w:p>
    <w:p>
      <w:pPr>
        <w:spacing w:after="0" w:line="2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6"/>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5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7"/>
                <w:szCs w:val="27"/>
                <w:b w:val="1"/>
                <w:bCs w:val="1"/>
                <w:color w:val="auto"/>
                <w:vertAlign w:val="subscript"/>
              </w:rPr>
              <w:t>​</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0"/>
                <w:szCs w:val="20"/>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50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gridSpan w:val="2"/>
            <w:vMerge w:val="continue"/>
            <w:shd w:val="clear" w:color="auto" w:fill="CCEEFF"/>
          </w:tcPr>
          <w:p>
            <w:pPr>
              <w:spacing w:after="0"/>
              <w:rPr>
                <w:sz w:val="20"/>
                <w:szCs w:val="20"/>
                <w:color w:val="auto"/>
              </w:rPr>
            </w:pP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shd w:val="clear" w:color="auto" w:fill="CCEEFF"/>
          </w:tcPr>
          <w:p>
            <w:pPr>
              <w:spacing w:after="0"/>
              <w:rPr>
                <w:sz w:val="20"/>
                <w:szCs w:val="20"/>
                <w:color w:val="auto"/>
              </w:rPr>
            </w:pPr>
          </w:p>
        </w:tc>
        <w:tc>
          <w:tcPr>
            <w:tcW w:w="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 including related party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 of $325 and $421 for the three months ended March</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31, 2023 and 2024, respectively</w:t>
            </w:r>
          </w:p>
        </w:tc>
        <w:tc>
          <w:tcPr>
            <w:tcW w:w="210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 ​​$ 32,435​​ ​​$ 41,961​​ ​​$</w:t>
            </w:r>
          </w:p>
        </w:tc>
        <w:tc>
          <w:tcPr>
            <w:tcW w:w="100" w:type="dxa"/>
            <w:vAlign w:val="bottom"/>
          </w:tcPr>
          <w:p>
            <w:pPr>
              <w:spacing w:after="0"/>
              <w:rPr>
                <w:sz w:val="21"/>
                <w:szCs w:val="21"/>
                <w:color w:val="auto"/>
              </w:rPr>
            </w:pPr>
          </w:p>
        </w:tc>
        <w:tc>
          <w:tcPr>
            <w:tcW w:w="11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9,526​​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29​%</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gridSpan w:val="3"/>
            <w:shd w:val="clear" w:color="auto" w:fill="CCEEFF"/>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94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4,225</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900" w:type="dxa"/>
            <w:vAlign w:val="bottom"/>
            <w:gridSpan w:val="5"/>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5,632</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960" w:type="dxa"/>
            <w:vAlign w:val="bottom"/>
            <w:gridSpan w:val="7"/>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1,407</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33</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w w:val="81"/>
              </w:rPr>
              <w:t>​</w:t>
            </w:r>
            <w:r>
              <w:rPr>
                <w:rFonts w:ascii="Times New Roman" w:cs="Times New Roman" w:eastAsia="Times New Roman" w:hAnsi="Times New Roman"/>
                <w:sz w:val="31"/>
                <w:szCs w:val="31"/>
                <w:color w:val="auto"/>
                <w:w w:val="81"/>
                <w:vertAlign w:val="superscript"/>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320" w:type="dxa"/>
            <w:vAlign w:val="bottom"/>
            <w:gridSpan w:val="20"/>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 36,660</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 47,593</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 10,933</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30</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shd w:val="clear" w:color="auto" w:fill="CCEEFF"/>
          </w:tcPr>
          <w:p>
            <w:pPr>
              <w:jc w:val="right"/>
              <w:ind w:right="2"/>
              <w:spacing w:after="0" w:line="196" w:lineRule="exact"/>
              <w:rPr>
                <w:sz w:val="20"/>
                <w:szCs w:val="20"/>
                <w:color w:val="auto"/>
              </w:rPr>
            </w:pPr>
            <w:r>
              <w:rPr>
                <w:rFonts w:ascii="Times New Roman" w:cs="Times New Roman" w:eastAsia="Times New Roman" w:hAnsi="Times New Roman"/>
                <w:sz w:val="18"/>
                <w:szCs w:val="18"/>
                <w:color w:val="auto"/>
              </w:rPr>
              <w:t>​(36,660)</w:t>
            </w: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​(47,593)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w w:val="97"/>
              </w:rPr>
              <w:t>​(10,933)</w:t>
            </w:r>
          </w:p>
        </w:tc>
        <w:tc>
          <w:tcPr>
            <w:tcW w:w="1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54"/>
        </w:trPr>
        <w:tc>
          <w:tcPr>
            <w:tcW w:w="860" w:type="dxa"/>
            <w:vAlign w:val="bottom"/>
            <w:shd w:val="clear" w:color="auto" w:fill="CCEEFF"/>
          </w:tcPr>
          <w:p>
            <w:pPr>
              <w:spacing w:after="0"/>
              <w:rPr>
                <w:sz w:val="4"/>
                <w:szCs w:val="4"/>
                <w:color w:val="auto"/>
              </w:rPr>
            </w:pPr>
          </w:p>
        </w:tc>
        <w:tc>
          <w:tcPr>
            <w:tcW w:w="418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30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32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60" w:type="dxa"/>
            <w:vAlign w:val="bottom"/>
            <w:shd w:val="clear" w:color="auto" w:fill="CCEEFF"/>
          </w:tcPr>
          <w:p>
            <w:pPr>
              <w:jc w:val="right"/>
              <w:ind w:right="11"/>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gridSpan w:val="3"/>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 ​</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 ​​ ​</w:t>
            </w:r>
          </w:p>
        </w:tc>
        <w:tc>
          <w:tcPr>
            <w:tcW w:w="180" w:type="dxa"/>
            <w:vAlign w:val="bottom"/>
            <w:shd w:val="clear" w:color="auto" w:fill="CCEEFF"/>
          </w:tcPr>
          <w:p>
            <w:pPr>
              <w:spacing w:after="0"/>
              <w:rPr>
                <w:sz w:val="22"/>
                <w:szCs w:val="22"/>
                <w:color w:val="auto"/>
              </w:rPr>
            </w:pP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 32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3"/>
        </w:trPr>
        <w:tc>
          <w:tcPr>
            <w:tcW w:w="504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 (3,095)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 (3,095)</w:t>
            </w:r>
          </w:p>
        </w:tc>
        <w:tc>
          <w:tcPr>
            <w:tcW w:w="50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54"/>
        </w:trPr>
        <w:tc>
          <w:tcPr>
            <w:tcW w:w="860" w:type="dxa"/>
            <w:vAlign w:val="bottom"/>
          </w:tcPr>
          <w:p>
            <w:pPr>
              <w:spacing w:after="0"/>
              <w:rPr>
                <w:sz w:val="4"/>
                <w:szCs w:val="4"/>
                <w:color w:val="auto"/>
              </w:rPr>
            </w:pPr>
          </w:p>
        </w:tc>
        <w:tc>
          <w:tcPr>
            <w:tcW w:w="41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gridSpan w:val="3"/>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jc w:val="right"/>
              <w:ind w:right="11"/>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tcPr>
          <w:p>
            <w:pPr>
              <w:spacing w:after="0"/>
              <w:rPr>
                <w:sz w:val="4"/>
                <w:szCs w:val="4"/>
                <w:color w:val="auto"/>
              </w:rPr>
            </w:pPr>
          </w:p>
        </w:tc>
        <w:tc>
          <w:tcPr>
            <w:tcW w:w="1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60" w:type="dxa"/>
            <w:vAlign w:val="bottom"/>
            <w:shd w:val="clear" w:color="auto" w:fill="CCEEFF"/>
          </w:tcPr>
          <w:p>
            <w:pPr>
              <w:spacing w:after="0"/>
              <w:rPr>
                <w:sz w:val="5"/>
                <w:szCs w:val="5"/>
                <w:color w:val="auto"/>
              </w:rPr>
            </w:pPr>
          </w:p>
        </w:tc>
        <w:tc>
          <w:tcPr>
            <w:tcW w:w="4180" w:type="dxa"/>
            <w:vAlign w:val="bottom"/>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300" w:type="dxa"/>
            <w:vAlign w:val="bottom"/>
            <w:tcBorders>
              <w:right w:val="single" w:sz="8" w:color="CCEEFF"/>
            </w:tcBorders>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320" w:type="dxa"/>
            <w:vAlign w:val="bottom"/>
            <w:gridSpan w:val="3"/>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shd w:val="clear" w:color="auto" w:fill="CCEEFF"/>
          </w:tcPr>
          <w:p>
            <w:pPr>
              <w:jc w:val="right"/>
              <w:ind w:right="11"/>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5"/>
                <w:szCs w:val="5"/>
                <w:color w:val="auto"/>
              </w:rPr>
            </w:pPr>
          </w:p>
        </w:tc>
        <w:tc>
          <w:tcPr>
            <w:tcW w:w="1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633</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(2,256)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 (2,889)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418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gridSpan w:val="3"/>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jc w:val="right"/>
              <w:ind w:right="11"/>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5"/>
                <w:szCs w:val="5"/>
                <w:color w:val="auto"/>
              </w:rPr>
            </w:pPr>
          </w:p>
        </w:tc>
        <w:tc>
          <w:tcPr>
            <w:tcW w:w="1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780" w:type="dxa"/>
            <w:vAlign w:val="bottom"/>
            <w:gridSpan w:val="4"/>
          </w:tcPr>
          <w:p>
            <w:pPr>
              <w:jc w:val="right"/>
              <w:ind w:right="2"/>
              <w:spacing w:after="0"/>
              <w:rPr>
                <w:sz w:val="20"/>
                <w:szCs w:val="20"/>
                <w:color w:val="auto"/>
              </w:rPr>
            </w:pPr>
            <w:r>
              <w:rPr>
                <w:rFonts w:ascii="Times New Roman" w:cs="Times New Roman" w:eastAsia="Times New Roman" w:hAnsi="Times New Roman"/>
                <w:sz w:val="18"/>
                <w:szCs w:val="18"/>
                <w:color w:val="auto"/>
                <w:w w:val="99"/>
              </w:rPr>
              <w:t>$(36,027)</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$(49,849)</w:t>
            </w:r>
          </w:p>
        </w:tc>
        <w:tc>
          <w:tcPr>
            <w:tcW w:w="940" w:type="dxa"/>
            <w:vAlign w:val="bottom"/>
            <w:gridSpan w:val="6"/>
          </w:tcPr>
          <w:p>
            <w:pPr>
              <w:jc w:val="right"/>
              <w:ind w:right="51"/>
              <w:spacing w:after="0"/>
              <w:rPr>
                <w:sz w:val="20"/>
                <w:szCs w:val="20"/>
                <w:color w:val="auto"/>
              </w:rPr>
            </w:pPr>
            <w:r>
              <w:rPr>
                <w:rFonts w:ascii="Times New Roman" w:cs="Times New Roman" w:eastAsia="Times New Roman" w:hAnsi="Times New Roman"/>
                <w:sz w:val="18"/>
                <w:szCs w:val="18"/>
                <w:color w:val="auto"/>
              </w:rPr>
              <w:t>$(13,822)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38%</w:t>
            </w:r>
          </w:p>
        </w:tc>
        <w:tc>
          <w:tcPr>
            <w:tcW w:w="0" w:type="dxa"/>
            <w:vAlign w:val="bottom"/>
          </w:tcPr>
          <w:p>
            <w:pPr>
              <w:spacing w:after="0"/>
              <w:rPr>
                <w:sz w:val="1"/>
                <w:szCs w:val="1"/>
                <w:color w:val="auto"/>
              </w:rPr>
            </w:pPr>
          </w:p>
        </w:tc>
      </w:tr>
      <w:tr>
        <w:trPr>
          <w:trHeight w:val="54"/>
        </w:trPr>
        <w:tc>
          <w:tcPr>
            <w:tcW w:w="860" w:type="dxa"/>
            <w:vAlign w:val="bottom"/>
          </w:tcPr>
          <w:p>
            <w:pPr>
              <w:spacing w:after="0"/>
              <w:rPr>
                <w:sz w:val="4"/>
                <w:szCs w:val="4"/>
                <w:color w:val="auto"/>
              </w:rPr>
            </w:pPr>
          </w:p>
        </w:tc>
        <w:tc>
          <w:tcPr>
            <w:tcW w:w="4180" w:type="dxa"/>
            <w:vAlign w:val="bottom"/>
          </w:tcPr>
          <w:p>
            <w:pPr>
              <w:spacing w:after="0"/>
              <w:rPr>
                <w:sz w:val="4"/>
                <w:szCs w:val="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 ​​</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3"/>
                <w:szCs w:val="3"/>
                <w:color w:val="auto"/>
              </w:rPr>
              <w:t>​​ ​​</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tcPr>
          <w:p>
            <w:pPr>
              <w:spacing w:after="0"/>
              <w:rPr>
                <w:sz w:val="4"/>
                <w:szCs w:val="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-299720</wp:posOffset>
            </wp:positionV>
            <wp:extent cx="5212080" cy="1974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-1310640</wp:posOffset>
            </wp:positionV>
            <wp:extent cx="3168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-1310640</wp:posOffset>
            </wp:positionV>
            <wp:extent cx="44748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-2262505</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-2262505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-2262505</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-2262505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1620" w:hanging="360"/>
        <w:spacing w:after="0"/>
        <w:tabs>
          <w:tab w:leader="none" w:pos="16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ind w:left="1260" w:right="419"/>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external and internal research and development expenses for the three months ended March 31, 2023 and 2024 (dollars in thousands):</w:t>
      </w:r>
    </w:p>
    <w:tbl>
      <w:tblPr>
        <w:tblLayout w:type="fixed"/>
        <w:tblInd w:w="1260" w:type="dxa"/>
        <w:tblCellMar>
          <w:top w:w="0" w:type="dxa"/>
          <w:left w:w="0" w:type="dxa"/>
          <w:bottom w:w="0" w:type="dxa"/>
          <w:right w:w="0" w:type="dxa"/>
        </w:tblCellMar>
      </w:tblPr>
      <w:tr>
        <w:trPr>
          <w:trHeight w:val="187"/>
        </w:trPr>
        <w:tc>
          <w:tcPr>
            <w:tcW w:w="2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1"/>
        </w:trPr>
        <w:tc>
          <w:tcPr>
            <w:tcW w:w="2360" w:type="dxa"/>
            <w:vAlign w:val="bottom"/>
          </w:tcPr>
          <w:p>
            <w:pPr>
              <w:spacing w:after="0"/>
              <w:rPr>
                <w:sz w:val="7"/>
                <w:szCs w:val="7"/>
                <w:color w:val="auto"/>
              </w:rPr>
            </w:pPr>
          </w:p>
        </w:tc>
        <w:tc>
          <w:tcPr>
            <w:tcW w:w="2480" w:type="dxa"/>
            <w:vAlign w:val="bottom"/>
            <w:vMerge w:val="restart"/>
          </w:tcPr>
          <w:p>
            <w:pPr>
              <w:spacing w:after="0"/>
              <w:rPr>
                <w:sz w:val="7"/>
                <w:szCs w:val="7"/>
                <w:color w:val="auto"/>
              </w:rPr>
            </w:pPr>
          </w:p>
        </w:tc>
        <w:tc>
          <w:tcPr>
            <w:tcW w:w="9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vMerge w:val="restart"/>
          </w:tcPr>
          <w:p>
            <w:pPr>
              <w:spacing w:after="0"/>
              <w:rPr>
                <w:sz w:val="7"/>
                <w:szCs w:val="7"/>
                <w:color w:val="auto"/>
              </w:rPr>
            </w:pPr>
          </w:p>
        </w:tc>
        <w:tc>
          <w:tcPr>
            <w:tcW w:w="9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360" w:type="dxa"/>
            <w:vAlign w:val="bottom"/>
          </w:tcPr>
          <w:p>
            <w:pPr>
              <w:spacing w:after="0"/>
              <w:rPr>
                <w:sz w:val="3"/>
                <w:szCs w:val="3"/>
                <w:color w:val="auto"/>
              </w:rPr>
            </w:pPr>
          </w:p>
        </w:tc>
        <w:tc>
          <w:tcPr>
            <w:tcW w:w="24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60" w:type="dxa"/>
            <w:vAlign w:val="bottom"/>
            <w:gridSpan w:val="2"/>
          </w:tcPr>
          <w:p>
            <w:pPr>
              <w:ind w:left="23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March 31, 2023</w:t>
            </w:r>
          </w:p>
        </w:tc>
        <w:tc>
          <w:tcPr>
            <w:tcW w:w="118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March 31, 2024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External costs: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CRO, CMO and clinical trials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Professional consulting services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research and development costs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Internal costs: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Personnel-related costs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Facilities and overhead costs</w:t>
      </w:r>
    </w:p>
    <w:p>
      <w:pPr>
        <w:spacing w:after="0" w:line="90"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8"/>
          <w:szCs w:val="18"/>
          <w:color w:val="auto"/>
        </w:rPr>
        <w:t>Total research and development expense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spacing w:after="0"/>
              <w:rPr>
                <w:sz w:val="19"/>
                <w:szCs w:val="19"/>
                <w:color w:val="auto"/>
              </w:rPr>
            </w:pPr>
          </w:p>
        </w:tc>
        <w:tc>
          <w:tcPr>
            <w:tcW w:w="460" w:type="dxa"/>
            <w:vAlign w:val="bottom"/>
          </w:tcPr>
          <w:p>
            <w:pPr>
              <w:jc w:val="center"/>
              <w:ind w:right="101"/>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5"/>
              </w:rPr>
              <w:t>​$17,755</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​$24,264</w:t>
            </w:r>
          </w:p>
        </w:tc>
        <w:tc>
          <w:tcPr>
            <w:tcW w:w="16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 ​​$6,509​​ ​​37​%</w:t>
            </w:r>
          </w:p>
        </w:tc>
        <w:tc>
          <w:tcPr>
            <w:tcW w:w="0" w:type="dxa"/>
            <w:vAlign w:val="bottom"/>
          </w:tcPr>
          <w:p>
            <w:pPr>
              <w:spacing w:after="0"/>
              <w:rPr>
                <w:sz w:val="1"/>
                <w:szCs w:val="1"/>
                <w:color w:val="auto"/>
              </w:rPr>
            </w:pPr>
          </w:p>
        </w:tc>
      </w:tr>
      <w:tr>
        <w:trPr>
          <w:trHeight w:val="25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 3,124</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 3,525</w:t>
            </w:r>
          </w:p>
        </w:tc>
        <w:tc>
          <w:tcPr>
            <w:tcW w:w="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401​​ ​​13​%</w:t>
            </w:r>
          </w:p>
        </w:tc>
        <w:tc>
          <w:tcPr>
            <w:tcW w:w="0" w:type="dxa"/>
            <w:vAlign w:val="bottom"/>
          </w:tcPr>
          <w:p>
            <w:pPr>
              <w:spacing w:after="0"/>
              <w:rPr>
                <w:sz w:val="1"/>
                <w:szCs w:val="1"/>
                <w:color w:val="auto"/>
              </w:rPr>
            </w:pPr>
          </w:p>
        </w:tc>
      </w:tr>
      <w:tr>
        <w:trPr>
          <w:trHeight w:val="180"/>
        </w:trPr>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 2,378</w:t>
            </w:r>
          </w:p>
        </w:tc>
        <w:tc>
          <w:tcPr>
            <w:tcW w:w="5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1,997</w:t>
            </w:r>
          </w:p>
        </w:tc>
        <w:tc>
          <w:tcPr>
            <w:tcW w:w="4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18"/>
                <w:szCs w:val="18"/>
                <w:color w:val="auto"/>
              </w:rPr>
              <w:t>​ (381)  (16)%</w:t>
            </w:r>
          </w:p>
        </w:tc>
        <w:tc>
          <w:tcPr>
            <w:tcW w:w="0" w:type="dxa"/>
            <w:vAlign w:val="bottom"/>
          </w:tcPr>
          <w:p>
            <w:pPr>
              <w:spacing w:after="0"/>
              <w:rPr>
                <w:sz w:val="1"/>
                <w:szCs w:val="1"/>
                <w:color w:val="auto"/>
              </w:rPr>
            </w:pPr>
          </w:p>
        </w:tc>
      </w:tr>
      <w:tr>
        <w:trPr>
          <w:trHeight w:val="103"/>
        </w:trPr>
        <w:tc>
          <w:tcPr>
            <w:tcW w:w="30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jc w:val="center"/>
              <w:ind w:right="101"/>
              <w:spacing w:after="0" w:line="103" w:lineRule="exact"/>
              <w:rPr>
                <w:sz w:val="20"/>
                <w:szCs w:val="20"/>
                <w:color w:val="auto"/>
              </w:rPr>
            </w:pPr>
            <w:r>
              <w:rPr>
                <w:rFonts w:ascii="Times New Roman" w:cs="Times New Roman" w:eastAsia="Times New Roman" w:hAnsi="Times New Roman"/>
                <w:sz w:val="11"/>
                <w:szCs w:val="11"/>
                <w:color w:val="auto"/>
              </w:rPr>
              <w:t>​​ ​​</w:t>
            </w:r>
          </w:p>
        </w:tc>
        <w:tc>
          <w:tcPr>
            <w:tcW w:w="22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spacing w:after="0"/>
              <w:rPr>
                <w:sz w:val="19"/>
                <w:szCs w:val="19"/>
                <w:color w:val="auto"/>
              </w:rPr>
            </w:pPr>
          </w:p>
        </w:tc>
        <w:tc>
          <w:tcPr>
            <w:tcW w:w="460" w:type="dxa"/>
            <w:vAlign w:val="bottom"/>
          </w:tcPr>
          <w:p>
            <w:pPr>
              <w:jc w:val="center"/>
              <w:ind w:right="101"/>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 7,087</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 9,096</w:t>
            </w:r>
          </w:p>
        </w:tc>
        <w:tc>
          <w:tcPr>
            <w:tcW w:w="16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 ​​ ​2,009​​ ​​28​%</w:t>
            </w:r>
          </w:p>
        </w:tc>
        <w:tc>
          <w:tcPr>
            <w:tcW w:w="0" w:type="dxa"/>
            <w:vAlign w:val="bottom"/>
          </w:tcPr>
          <w:p>
            <w:pPr>
              <w:spacing w:after="0"/>
              <w:rPr>
                <w:sz w:val="1"/>
                <w:szCs w:val="1"/>
                <w:color w:val="auto"/>
              </w:rPr>
            </w:pP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ind w:left="1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2,091</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ind w:left="1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3,079</w:t>
            </w:r>
          </w:p>
        </w:tc>
        <w:tc>
          <w:tcPr>
            <w:tcW w:w="600" w:type="dxa"/>
            <w:vAlign w:val="bottom"/>
            <w:gridSpan w:val="4"/>
          </w:tcPr>
          <w:p>
            <w:pPr>
              <w:ind w:left="18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100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988</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​47</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32,435</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41,961</w:t>
            </w:r>
          </w:p>
        </w:tc>
        <w:tc>
          <w:tcPr>
            <w:tcW w:w="1600" w:type="dxa"/>
            <w:vAlign w:val="bottom"/>
            <w:gridSpan w:val="7"/>
          </w:tcPr>
          <w:p>
            <w:pPr>
              <w:ind w:left="18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9,526</w:t>
            </w:r>
            <w:r>
              <w:rPr>
                <w:rFonts w:ascii="Times New Roman" w:cs="Times New Roman" w:eastAsia="Times New Roman" w:hAnsi="Times New Roman"/>
                <w:sz w:val="15"/>
                <w:szCs w:val="15"/>
                <w:color w:val="auto"/>
              </w:rPr>
              <w:t>​​ ​​29​%</w:t>
            </w: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-1036320</wp:posOffset>
            </wp:positionV>
            <wp:extent cx="521208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-710565</wp:posOffset>
            </wp:positionV>
            <wp:extent cx="5212080" cy="162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-385445</wp:posOffset>
            </wp:positionV>
            <wp:extent cx="521208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3979"/>
          </w:cols>
          <w:pgMar w:left="580" w:top="97" w:right="1440" w:bottom="1440" w:gutter="0" w:footer="0" w:header="0"/>
          <w:type w:val="continuous"/>
        </w:sectPr>
      </w:pPr>
    </w:p>
    <w:p>
      <w:pPr>
        <w:spacing w:after="0" w:line="25"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$9.5 million, from $32.4 million for the three months ended March 31, 2023 to $42.0 million for the three months ended March 31, 2024.</w:t>
      </w:r>
    </w:p>
    <w:p>
      <w:pPr>
        <w:spacing w:after="0" w:line="81"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CRO, CMO and clinical trials expenses increased by $6.5 million for the three months ended March 31, 2024 compared to the three months ended March 31, 2023, primarily due to a $7.7 million increase in CMC expenses associated with manufacturing of clinical supplies to support our trials, which was partially offset by a $1.2 million decrease in CRO and clinical trial expenses due to the timing and progression of our clinical trials for ESK-001.</w:t>
      </w:r>
    </w:p>
    <w:p>
      <w:pPr>
        <w:spacing w:after="0" w:line="116"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Personnel-related costs increased by $2.0 million for the three months ended March 31, 2024 compared to the three months ended March 31, 2023, as a result of increased research and development headcount from 68 to 89 employees as of March 31, 2023 and 2024, respectively. The increase in personnel- related costs includes an increase in stock-based compensation expense of $0.4 million as we granted more options. Facilities and</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allocated overhead costs increased by $1.0 million primarily as a result of increase in depreciation and facilities expenses allocated to the research and development activities.</w:t>
      </w:r>
    </w:p>
    <w:p>
      <w:pPr>
        <w:spacing w:after="0" w:line="8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following table summarizes our external costs by program for the three months ended March 31, 2023 and 2024 (dollars in thousands):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4"/>
                <w:szCs w:val="14"/>
                <w:color w:val="auto"/>
              </w:rPr>
            </w:pPr>
          </w:p>
        </w:tc>
        <w:tc>
          <w:tcPr>
            <w:tcW w:w="9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6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4"/>
                <w:szCs w:val="14"/>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March 31, 2023</w:t>
            </w:r>
          </w:p>
        </w:tc>
        <w:tc>
          <w:tcPr>
            <w:tcW w:w="1240" w:type="dxa"/>
            <w:vAlign w:val="bottom"/>
            <w:gridSpan w:val="6"/>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March 31, 2024 </w:t>
            </w:r>
            <w:r>
              <w:rPr>
                <w:rFonts w:ascii="Times New Roman" w:cs="Times New Roman" w:eastAsia="Times New Roman" w:hAnsi="Times New Roman"/>
                <w:sz w:val="24"/>
                <w:szCs w:val="24"/>
                <w:b w:val="1"/>
                <w:bCs w:val="1"/>
                <w:color w:val="auto"/>
                <w:vertAlign w:val="subscript"/>
              </w:rPr>
              <w:t>​</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ESK-001</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​$18,747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​$24,671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A-005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281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2"/>
                <w:szCs w:val="22"/>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 ​ 3,028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programs and research and development activities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CCEEFF"/>
            </w:tcBorders>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4,229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3"/>
                <w:szCs w:val="23"/>
                <w:color w:val="auto"/>
              </w:rPr>
            </w:pPr>
          </w:p>
        </w:tc>
        <w:tc>
          <w:tcPr>
            <w:tcW w:w="780" w:type="dxa"/>
            <w:vAlign w:val="bottom"/>
            <w:tcBorders>
              <w:right w:val="single" w:sz="8" w:color="CCEEFF"/>
            </w:tcBorders>
            <w:gridSpan w:val="3"/>
            <w:shd w:val="clear" w:color="auto" w:fill="CCEEFF"/>
          </w:tcPr>
          <w:p>
            <w:pPr>
              <w:jc w:val="center"/>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2,087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external research and development expense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23,257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2"/>
                <w:szCs w:val="22"/>
                <w:color w:val="auto"/>
              </w:rPr>
            </w:pPr>
          </w:p>
        </w:tc>
        <w:tc>
          <w:tcPr>
            <w:tcW w:w="780" w:type="dxa"/>
            <w:vAlign w:val="bottom"/>
            <w:gridSpan w:val="3"/>
          </w:tcPr>
          <w:p>
            <w:pPr>
              <w:jc w:val="center"/>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29,786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-719455</wp:posOffset>
            </wp:positionV>
            <wp:extent cx="4594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2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General and administrative expenses increased by $1.4 million, from $4.2 million for the three months ended March 31, 2023 to $5.6 million for the three months ended March 31, 2024. Personnel-related expenses increased by $1.0 million from $ 2.5 million for the three months ended March 31, 2023 to $ 3.5 million for the three months ended March 31, 2024 as a result of an increase in headcount from 17 to 20 employees as of March 31, 2024. The increase in personnel-related costs includes an increase in stock-based compensation expense of $0.4 million as a result of additional options granted. Expenses related to professional consulting services increased by $0.6 million, from $1.4 million for the three months ended March 31, 2023 to $2.0 million for the three months ended March 31, 2024 primarily due to an increase in consulting, legal and accounting services to support our growth and business development.</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1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Total other income (expense), net decreased by $2.9 million, from other income of $0.6 million for the three months ended March 31, 2023 to other expense of $2.3 million for the three months ended March 31, 2024.</w:t>
      </w:r>
    </w:p>
    <w:p>
      <w:pPr>
        <w:spacing w:after="0" w:line="95"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Interest income increased by $0.2 million from $ 0.6 million for the three months ended March 31, 2023 to $0.8 million for the three months ended March 31, 2024 as a result of higher interest rates and higher investments balances during the three months ended March 31, 2024 compared to the three months ended March 31, 2023.</w:t>
      </w:r>
    </w:p>
    <w:p>
      <w:pPr>
        <w:spacing w:after="0" w:line="323"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recognized a change in fair value of a derivative liability loss of $3.1 million for the three months ended March 31, 2024. The derivative liability is our obligation to issue additional Series C or Series C-1 shares of redeemable convertible preferred shares in connection with the Series C redeemable convertible preferred stock financing, and is re-measured at fair value at each reporting period with changes recorded in other income (expense), net. Our fair value estimates were contemporaneously determined using the Black-Scholes model as described in Note 3 to our unaudited interim condensed consolidated financial statements included elsewhere in this prospectus. We did not have a derivative liability for the three months ended March 31, 2023.</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Capital Resources and Capital Requirements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4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To date, we have primarily funded our operations with proceeds from sales of shares of our redeemable convertible preferred stock and the issuance of convertible promissory notes in private placements. From inception through March 31, 2024, we received aggregate gross proceeds of $459.1 million from sales of shares of our redeemable convertible preferred stock and $37.5 million from the issuance of convertible promissory notes to related parties. As of March 31, 2024, we had $133.7 million in cash, cash equivalents and marketable securities.</w:t>
      </w:r>
    </w:p>
    <w:p>
      <w:pPr>
        <w:spacing w:after="0" w:line="114"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In connection with the Series C redeemable convertible preferred stock financing in March 2024, anytime prior to the earliest of (i) December 31, 2024, (ii) the execution of a letter of intent for the sale of our company, or (iii) the closing date of our initial public offering and at the discretion of our board of directors, we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obligated to sell, and each Series C purchaser is obligated to purchase additional shares of our Series C redeemable convertible preferred stock, with the amount equal to the purchaser’s aggregate purchase price in the First Tranche Series C Closing less any previous payments by the purchaser as part of a purchase right exercisable no later than December 31, 2024. In May 2024, we closed the second tranche Series C financing and issued an additional 41,264,892 shares of our Series C redeemable convertible preferred stock for net cash proceeds of approximately $129.3 million. See Note 8 to our unaudited interim condensed consolidated financial statements included elsewhere in this prospectus for more information.</w:t>
      </w:r>
    </w:p>
    <w:p>
      <w:pPr>
        <w:spacing w:after="0" w:line="11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expect to incur additional losses and negative cash flows from operations for the next 12 months. Given our recurring losses from operations and negative cash flows, and based on our current operating plan, there is substantial doubt about our ability to continue as a going concern.</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expect that the funds raised in connection with this offering and our cash, cash equivalents and marketable securities on hand will be sufficient to fund our operating expenses and capital expenditure requirements for at least the next 12 months. We have based this estimate on our current assumptions, which may prove to be wrong, and we may exhaust our available capital resources sooner than we expect.</w:t>
      </w:r>
    </w:p>
    <w:p>
      <w:pPr>
        <w:spacing w:after="0" w:line="11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Under our stock purchase agreement to acquire FronThera U.S. Holdings, Inc. and its wholly owned subsidiary, FronThera U.S. Pharmaceuticals LLC, we are obligated to pay contingent consideration of up to an aggregate of $120.0 million based on the achievement of specified clinical and approval milestones, for up to an aggregate of $70.0 million payable for clinical milestones, and for up to an aggregate of $ 50.0 million payable for approval milestones, all related to technology acquired under the agreement. We incurred and made a $37.0 million milestone payment in 2022 for the first administration of ESK-001 to a patient enrolled in a Phase 2 clinical trial of ESK-001, which was recorded as research and development expenses in the consolidated statement of operations and comprehensive loss for the year ended December 31, 2022. We will be obligated to make a $23.0 million milestone payment in connection with the first administration of ESK-001 to a patient enrolled in a Phase 3 clinical trial of ESK -001, which we anticipate will occur in the second half of 2024. No remaining milestones were achieved or probable as of March 31, 2024.</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48"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Our primary uses of cash are to fund our operations, which consist primarily of research and development expenditures related to our programs and, to a lesser extent, general and administrative expenditures. 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and incur costs associated with potential commercialization.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1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do not have any products approved for sale and have not generated any revenue from product sales since our inception. We do not expect to generate revenue from any product candidates that we develop until we obtain regulatory approval for one or more of such product candidates and commercialize our products or enter into collaboration agreements with third parties. Because of the numerous risks and uncertainties associated with biopharmaceutical product development, we may never achieve or sustain profitability and, unless and until we are able to develop and commercialize our product candidates, we will need to continue to raise additional capital. 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have to relinquish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1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products, we are unable to estimate the exact amount of our operating capital requirements. Our future funding requirements will depend on many factors, including the following:</w:t>
      </w:r>
    </w:p>
    <w:p>
      <w:pPr>
        <w:spacing w:after="0" w:line="69" w:lineRule="exact"/>
        <w:rPr>
          <w:sz w:val="20"/>
          <w:szCs w:val="20"/>
          <w:color w:val="auto"/>
        </w:rPr>
      </w:pPr>
    </w:p>
    <w:p>
      <w:pPr>
        <w:ind w:left="1800" w:right="4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progress and results of our preclinical studies and clinical trials for our current and future product candidates;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duration of clinical trials required for regulatory approval of our current and future product candidates;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for our product candidates;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as well as scale up of our current and future product candidates;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number of our employees and expansion of our physical facilities to support growth initiatives;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strategic collaborations, licensing or other arrangements;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our patent applications, and maintaining and enforcing our patents and other intellectual property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our product candidates;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pay our operating expenses;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informational systems and efforts to enhance operational systems;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economic uncertainty and geopolitical tensions, which may exacerbate the magnitude of the factors discussed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 (in thousands):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5"/>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66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p>
        </w:tc>
        <w:tc>
          <w:tcPr>
            <w:tcW w:w="5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​​$(107,722​​)</w:t>
            </w:r>
          </w:p>
        </w:tc>
        <w:tc>
          <w:tcPr>
            <w:tcW w:w="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​​$(129,975​​)</w:t>
            </w:r>
          </w:p>
        </w:tc>
        <w:tc>
          <w:tcPr>
            <w:tcW w:w="9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​​$(34,668​​)</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 (44,262​)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(68,751​​)</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60,472​​</w:t>
            </w:r>
          </w:p>
        </w:tc>
        <w:tc>
          <w:tcPr>
            <w:tcW w:w="9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31,065​​</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​(18,810​)</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​101,627</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89,682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7"/>
              <w:spacing w:after="0" w:line="202" w:lineRule="exact"/>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95"/>
              </w:rPr>
              <w:t>​129,147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46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-479425</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-479425</wp:posOffset>
            </wp:positionV>
            <wp:extent cx="137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-479425</wp:posOffset>
            </wp:positionV>
            <wp:extent cx="35833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3429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2080" cy="342900"/>
                    </a:xfrm>
                    <a:prstGeom prst="rect">
                      <a:avLst/>
                    </a:prstGeom>
                    <a:noFill/>
                  </pic:spPr>
                </pic:pic>
              </a:graphicData>
            </a:graphic>
          </wp:anchor>
        </w:drawing>
      </w:r>
    </w:p>
    <w:p>
      <w:pPr>
        <w:spacing w:after="0" w:line="55"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p>
      <w:pPr>
        <w:spacing w:after="0" w:line="34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gridSpan w:val="2"/>
          </w:tcPr>
          <w:p>
            <w:pPr>
              <w:spacing w:after="0"/>
              <w:rPr>
                <w:sz w:val="18"/>
                <w:szCs w:val="18"/>
                <w:color w:val="auto"/>
              </w:rPr>
            </w:pPr>
          </w:p>
        </w:tc>
        <w:tc>
          <w:tcPr>
            <w:tcW w:w="1440" w:type="dxa"/>
            <w:vAlign w:val="bottom"/>
            <w:tcBorders>
              <w:bottom w:val="single" w:sz="8" w:color="auto"/>
            </w:tcBorders>
            <w:gridSpan w:val="5"/>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6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(74,846)</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$ 20,179</w:t>
            </w:r>
          </w:p>
        </w:tc>
        <w:tc>
          <w:tcPr>
            <w:tcW w:w="12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8"/>
                <w:szCs w:val="18"/>
                <w:color w:val="auto"/>
              </w:rPr>
              <w:t>​ (3,654)</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2"/>
              </w:rPr>
              <w:t>66,075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6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ind w:left="40"/>
              <w:spacing w:after="0" w:line="95"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continue"/>
          </w:tcPr>
          <w:p>
            <w:pPr>
              <w:spacing w:after="0"/>
              <w:rPr>
                <w:sz w:val="8"/>
                <w:szCs w:val="8"/>
                <w:color w:val="auto"/>
              </w:rPr>
            </w:pPr>
          </w:p>
        </w:tc>
        <w:tc>
          <w:tcPr>
            <w:tcW w:w="22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line="95"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0" w:lineRule="exact"/>
        <w:rPr>
          <w:sz w:val="20"/>
          <w:szCs w:val="20"/>
          <w:color w:val="auto"/>
        </w:rPr>
      </w:pPr>
    </w:p>
    <w:p>
      <w:pPr>
        <w:sectPr>
          <w:pgSz w:w="11900" w:h="16838" w:orient="portrait"/>
          <w:cols w:equalWidth="0" w:num="2">
            <w:col w:w="5260" w:space="600"/>
            <w:col w:w="4019"/>
          </w:cols>
          <w:pgMar w:left="580" w:top="97" w:right="1440" w:bottom="1440" w:gutter="0" w:footer="0" w:header="0"/>
          <w:type w:val="continuous"/>
        </w:sect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$107.7 million and $130.0 million for the years ended December 31, 2022 and 2023, respectively.</w:t>
      </w:r>
    </w:p>
    <w:p>
      <w:pPr>
        <w:spacing w:after="0" w:line="9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primarily due to our net loss for the period of $111.9 million and changes in operating assets and liabilities of $1.9 million. The cash used in operating activities was partially offset by non-cash items of $6.1 million, of which $6.0 million is related to stock-based compensation expense. The changes in operating assets and liabilities primarily include an increase of $7.3 million in research and development prepaid expenses and an increase of $1.0 million in other prepaid expense and current assets, partially offset by an increase of $3.6 million in other accrued expenses and current liabilities, an increase of $2.4 million in research and development accrued expenses and an increase of $1.3 million in accounts payable. The increase in research and development prepaid expenses was primarily due to advance payments to CROs related to the ongoing clinical trials. The increase in other accrued expenses and current liabilities was primarily due to an increase in accrued bonuses expense, driven by an increase in headcount.</w:t>
      </w:r>
    </w:p>
    <w:p>
      <w:pPr>
        <w:spacing w:after="0" w:line="12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due to our net loss for the period of $155.0 million, offset by non-cash items of $13.0 million and changes in operating assets and liabilities of $12.0 million. Non-cash items primarily include $8.6 million of stock-based compensation expense, $2.0 million of non-cash lease expense and $1.3 million of depreciation and amortization. The changes in operating assets and liabilities primarily include a decrease of $5.5 million in research and development prepaid expenses, an increase of $5.2 million in research and development accrued expenses and an increase $2.5 million in other accrued expenses and current liabilities.</w:t>
      </w:r>
    </w:p>
    <w:p>
      <w:pPr>
        <w:spacing w:after="0" w:line="10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$34.7 million and $44.3 million for the three months ended March 31, 2023 and 2024, respectively.</w:t>
      </w:r>
    </w:p>
    <w:p>
      <w:pPr>
        <w:spacing w:after="0" w:line="9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2023 was primarily due to our net loss for the period of $36.0 million and changes in operating assets and liabilities of $1.1 million. The cash used in operating activities was partially offset by non-cash items of $2.4 million, of which $1.8 million is related to stock-based compensation expense and $0.8 million is related to non-cash lease expense. The changes in operating assets and liabilities primarily include a decrease of $1.8 million in other accrued expenses and current liabilities, primarily related to bonuses payout, and an increase of $0.8 million in research and development prepaid expenses, partially offset by an increase of $1.3 million in research and development accrued expenses, as our clinical trials activities progress.</w:t>
      </w:r>
    </w:p>
    <w:p>
      <w:pPr>
        <w:spacing w:after="0" w:line="12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due to our net loss for the period of $49.8 million, and changes in operating assets and liabilities of $0.9 million. The cash used in operating activities was partially offset by non-cash items of $6.5 million, of which $3.1 million is related to the change in fair value of the derivative liability and $2.7 million is related to stock-based compensation expense. The changes in operating assets and liabilities primarily include a decrease of $3.2 million in other accrued expenses and current liabilities, primarily related to bonuses payout, and an increase of $2.9 million in research and development prepaid expenses, partially offset by an increase of $5.7 million in accounts payable, primarily due to timing of payments to our CROs and CMOs related to our ongoing clinical trials.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of $68.8 million was related to purchases of marketable securities of $209.1 million and purchases of property and equipment of $2.4 million, partially offset by proceeds from maturities of marketable securities of $142.7 million.</w:t>
      </w:r>
    </w:p>
    <w:p>
      <w:pPr>
        <w:sectPr>
          <w:pgSz w:w="11900" w:h="16838" w:orient="portrait"/>
          <w:cols w:equalWidth="0" w:num="1">
            <w:col w:w="9879"/>
          </w:cols>
          <w:pgMar w:left="580" w:top="97" w:right="1440" w:bottom="1440" w:gutter="0" w:footer="0" w:header="0"/>
          <w:type w:val="continuous"/>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2023 of $60.5 million was related to proceeds from maturities of marketable securities of $76.3 million, partially offset by purchases of marketable securities of $11.3 million and purchases of property and equipment of $4.5 million.</w:t>
      </w:r>
    </w:p>
    <w:p>
      <w:pPr>
        <w:spacing w:after="0" w:line="10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2023 of $31.1 million was related to proceeds from maturities of marketable securities of $36.3 million, partially offset by purchases of marketable securities of $4.9 million.</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of $18.8 million was related to purchases of marketable securities of $19.7 million, partially offset by proceeds from maturities of marketable securities of $1.0 million.</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2022 of $101.6 million was related to net proceeds from the issuance of our Series B redeemable convertible preferred stock financing of $99.9 million and proceeds of $1.7 million from issuance of common stock upon exercise of stock options.</w:t>
      </w:r>
    </w:p>
    <w:p>
      <w:pPr>
        <w:spacing w:after="0" w:line="323"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of $89.7 million was primarily related to net proceeds from the issuance of our Series B-2 and Series B-2A redeemable convertible preferred stock financing.</w:t>
      </w:r>
    </w:p>
    <w:p>
      <w:pPr>
        <w:spacing w:after="0" w:line="10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2023 of $0.1 million was related to repurchase of common stock shares issued upon early exercised stock options.</w:t>
      </w:r>
    </w:p>
    <w:p>
      <w:pPr>
        <w:spacing w:after="0" w:line="9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of $129.1 million was primarily related to net proceeds from the issuance of our Series C redeemable convertible preferred stock financing.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suppliers, CROs, CMOs and clinical trial sites. These agreements provide for termination at the request of either party generally with less than one-year notice and are therefore cancellable contracts. We do not currently expect any of these agreements to be terminated and did not have any non-cancelable obligations under these agreements as of December 31, 2023 and March 31, 2024.</w:t>
      </w:r>
    </w:p>
    <w:p>
      <w:pPr>
        <w:spacing w:after="0" w:line="11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On March 5, 2021, we entered into a stock purchase agreement to acquire FronThera U.S. Holdings, Inc. and its wholly owned subsidiary, FronThera U.S. Pharmaceuticals LLC. The transaction was accounted for as an asset acquisition. Under the agreement, we are obligated to pay contingent consideration of up to an aggregate of $120.0 million based on the achievement of specified clinical and approval milestones, for up to an aggregate of $70.0 million payable for clinical milestones, and for up to an aggregate of $50.0 million payable for approval milestones, all related to technology acquired under the agreement. We incurred and paid a milestone of $37.0 million during the year ended December 31, 2022, and will be obligated to make a $23.0 million milestone payment in connection with the first administration of ESK-001 to a patient enrolled in a Phase 3 clinical trial of ESK-001, which we anticipate will occur in the second half of 2024. No remaining milestones were reached or probable for the year ended December 31, 2023 and three months ended March 31, 2024.</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have operating lease arrangements for office and laboratory space in South San Francisco, California. As of March 31, 2024, we had total lease payment obligations under non-cancelable leases of $52.3 million, including $3.9 million payable through December 31, 2024. See Note 7 to our unaudited interim condensed consolidated financial statements included elsewhere in this prospectus.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audited consolidated financial</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statements and Note 2 to our unaudited interim condensed consolidated financial statements included elsewhere in this prospectus.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the disclosure of contingent assets and liabilities at the date of the financial statements, and the reported expenses during the reporting period.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p>
    <w:p>
      <w:pPr>
        <w:spacing w:after="0" w:line="12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Although our significant accounting policies are described in more detail in Note 2 to our audited consolidated financial statements and Note 2 to our unaudited interim condensed consolidated financial statements included in this prospectus, we believe that the following accounting policies are those most critical to the judgments and estimates used in the preparation of our financial statements.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 Accrued Expenses</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Research and development costs are expensed as incurred. As part of the process of preparing our financial statements, we are required to estimate our research and development accrued expenses, including those related to clinical trials and manufacturing clinical and preclinical materials. This process involves reviewing open contracts and purchase orders and communicating with our applicable personnel to identify services that have been performed on our behalf and estimating the level of service performed and the associated cost incurred for the services when we have not yet been invoiced or otherwise notified of actual costs. Our service providers invoice us in arrears, as well as on a pre-determined schedule or when contractual milestones are met. We make estimates of our research and development accrued expenses as of each balance sheet date in the consolidated financial statements based on facts and circumstances known to us at that time. We periodically confirm the accuracy of the estimates with the service providers and make adjustments if necessary. Examples of estimated research and development accrued expenses include fees paid to:</w:t>
      </w:r>
    </w:p>
    <w:p>
      <w:pPr>
        <w:spacing w:after="0" w:line="306" w:lineRule="exact"/>
        <w:rPr>
          <w:sz w:val="20"/>
          <w:szCs w:val="20"/>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and clinical development activities;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clinical trials; and</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the process development and scale-up activities and the production of preclinical and clinical trial materials.</w:t>
      </w:r>
    </w:p>
    <w:p>
      <w:pPr>
        <w:spacing w:after="0" w:line="9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Costs for clinical trials and manufacturing activities are recognized based on an evaluation of our vendors’ progress towards completion of specific tasks, using data such as participant enrollment, clinical site activations or information provided to us by our vendors regarding their actual costs incurred. Payments for these activities are based on the terms of individual contracts and payment timing may differ significantly from the period in which the services were performed. We determine accrual estimates through reports from and discussions with applicable personnel and outside service providers as to the progress or state of completion of studies, or the services completed. Our estimates of research and development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32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research and development accrued expenses. However, due to the nature of estimates, we cannot assure that we will not make changes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estimates in the future as we become aware of additional information about the status or conduct of our clinical trials and other research activities.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 Acquisitions and Acquired In-Process Research and Development Expenses</w:t>
      </w:r>
    </w:p>
    <w:p>
      <w:pPr>
        <w:spacing w:after="0" w:line="14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We measure and recognize asset acquisitions that are not deemed to be business combinations based on the cost to acquire the asset or group of assets, which includes transaction costs. We determine if the acquisition should be accounted for as an asset acquisition after considering whether substantially all of the fair value of the gross assets acquired was concentrated in a single asset or group of assets and whether we acquired a substantive process capable of significantly contributing to our ability to create outputs. Goodwill is not recognized in asset acquisitions. If acquired in-process technology assets, including licenses, know-how and patents are determined to not have an alternative future use, the cost is charged to research and development expenses at the acquisition date.</w:t>
      </w:r>
    </w:p>
    <w:p>
      <w:pPr>
        <w:spacing w:after="0" w:line="11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probable and reasonably estimable.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Derivative Liability</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We determined that the obligation to issue additional shares of redeemable convertible preferred stock upon the occurrence of certain events, including our board of directors’ consent, represents a freestanding financial instrument. The instrument is classified as a liability on the consolidated balance sheets and is subject to re-measurement at each balance sheet date and at the settlement date. Any change in fair value is recognized in the statements of operations and comprehensive loss.</w:t>
      </w:r>
    </w:p>
    <w:p>
      <w:pPr>
        <w:spacing w:after="0" w:line="11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We utilize the Black-Scholes option-pricing model, which incorporates assumptions and estimates, to value the derivative liability. On a quarterly basis, we assess these assumptions and estimates as additional information impacting the assumptions is obtained. Significant estimates and assumptions impacting fair value include the estimated time and probability of closing of the second tranche financing, preferred stock fair value and estimated stock volatility.</w:t>
      </w:r>
    </w:p>
    <w:p>
      <w:pPr>
        <w:spacing w:after="0" w:line="11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determine the fair value per share of the underlying redeemable convertible preferred stock by taking into consideration our most recent sales of our preferred stock as well as additional factors that we deem relevant. We are a private company and lack company-specific historical and implied volatility information of our stock. Therefore, we determine expected stock volatility based on the historical volatility of the prices of shares of common stock of publicly traded peer companies. We estimate the risk-free interest rate by reference to the U.S. Treasury yield curve for time periods approximately equal to the remaining contractual term of the outstanding tranche liability. We have assumed a 0% dividend considering that our board of directors has no history of declaring dividends and does not intend to declare any.</w:t>
      </w:r>
    </w:p>
    <w:p>
      <w:pPr>
        <w:spacing w:after="0" w:line="11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May 2023, we estimated the fair value of the derivative liability of $2.1 million at the issuance date. We recognized changes in fair value of $0.1 million as other expense in the consolidated statement of operations and comprehensive loss during the year ended December 31, 2023. The derivative liability was settled in October 2023, when investors purchased shares of Series B-2 and Series B-2A redeemable convertible preferred stock in a second tranche closing.</w:t>
      </w:r>
    </w:p>
    <w:p>
      <w:pPr>
        <w:spacing w:after="0" w:line="11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connection with the Series C redeemable convertible preferred stock financing in March 2024, we issued to investors two freestanding financial instruments and estimated their fair value of $8.9 million at the issuance date. We recognized changes in fair value of $3.1 million as other expense in the interim condensed consolidated statement of operations and comprehensive loss during the three months ended March 31, 2024. As of March 31, 2024, the fair value of the derivative liability was $12.0 million in our unaudited interim condensed consolidated balance sheet. The derivative liability was settled in May 2024, when investors purchased shares of Series C redeemable convertible preferred stock in the second tranche Series C closing.</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the stock-based awards granted to employees, consultants and directors is measured at the grant date based on the fair value of the award. Compensation expense for those</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awards is recognized over the requisite service period, which is generally the vesting period. We use the straight-line method to record the expense of awards with service-based vesting conditions. We account for forfeitures of stock-based awards as they occur rather than applying an estimated forfeiture rate to stock-based compensation expense.</w:t>
      </w:r>
    </w:p>
    <w:p>
      <w:pPr>
        <w:spacing w:after="0" w:line="11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estimate the fair value of each award on the date of grant using the Black-Scholes option -pricing model. This model requires the use of highly subject assumptions to determine the fair value of each stock-based award, including:</w:t>
      </w:r>
    </w:p>
    <w:p>
      <w:pPr>
        <w:spacing w:after="0" w:line="66" w:lineRule="exact"/>
        <w:rPr>
          <w:sz w:val="20"/>
          <w:szCs w:val="20"/>
          <w:color w:val="auto"/>
        </w:rPr>
      </w:pPr>
    </w:p>
    <w:p>
      <w:pPr>
        <w:ind w:left="1800" w:right="419" w:hanging="180"/>
        <w:spacing w:after="0" w:line="284"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See the subsection titled “—Determination of Fair Value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below.</w:t>
      </w:r>
    </w:p>
    <w:p>
      <w:pPr>
        <w:spacing w:after="0" w:line="6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weighted-average period the stock options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remain outstanding and is based on the options’ vesting terms and contractual terms, as we did not have sufficient historical information to develop reasonable expectations about future exercise patterns and post-vesting employment termination behavior.</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Since we are not yet a public company and do not have any trading history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the expected volatility was estimated based on the average historical volatilities of common stock of comparable publicly traded entities over a period equal to the expected term of the stock option grants. The comparable industry peers were chosen based on their size, stage of their life cycle or area of specialty. We will continue to apply this process until enough historical information regarding the volatility of our stock price becomes available.</w:t>
      </w:r>
    </w:p>
    <w:p>
      <w:pPr>
        <w:spacing w:after="0" w:line="87" w:lineRule="exact"/>
        <w:rPr>
          <w:rFonts w:ascii="Times New Roman" w:cs="Times New Roman" w:eastAsia="Times New Roman" w:hAnsi="Times New Roman"/>
          <w:sz w:val="18"/>
          <w:szCs w:val="18"/>
          <w:color w:val="auto"/>
        </w:rPr>
      </w:pPr>
    </w:p>
    <w:p>
      <w:pPr>
        <w:jc w:val="both"/>
        <w:ind w:left="1800" w:right="419" w:hanging="180"/>
        <w:spacing w:after="0" w:line="267"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in effect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 for zero-coupon U.S. Treasury notes with maturities approximately equal to the expected term of the awards.</w:t>
      </w:r>
    </w:p>
    <w:p>
      <w:pPr>
        <w:spacing w:after="0" w:line="65" w:lineRule="exact"/>
        <w:rPr>
          <w:rFonts w:ascii="Times New Roman" w:cs="Times New Roman" w:eastAsia="Times New Roman" w:hAnsi="Times New Roman"/>
          <w:sz w:val="18"/>
          <w:szCs w:val="18"/>
          <w:color w:val="auto"/>
        </w:rPr>
      </w:pPr>
    </w:p>
    <w:p>
      <w:pPr>
        <w:ind w:left="1800" w:right="419" w:hanging="180"/>
        <w:spacing w:after="0" w:line="284"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We have never paid dividends on our common stock and have no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dividends on our common stock. Therefore, we used an expected dividend yield of zero.</w:t>
      </w:r>
    </w:p>
    <w:p>
      <w:pPr>
        <w:spacing w:after="0" w:line="7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See Note 11 to our audited consolidated financial statements and Note 10 to our unaudited interim condensed consolidated financial statements included elsewhere in this prospectus for information concerning certain of the specific assumptions we used in applying the Black-Scholes option pricing model to determine the estimated fair value of our stock options granted in the periods presented.</w:t>
      </w:r>
    </w:p>
    <w:p>
      <w:pPr>
        <w:spacing w:after="0" w:line="11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As of March 31, 2024, there was $31.6 million of total unrecognized stock-based compensation expense related to our granted options, which we expect to recognize over a remaining weighted-average period of 3.1 years. We expect to continue to grant equity-based awards in the future, and to the extent that we do, our stock-based compensations expense recognized in future periods will likely increase.</w:t>
      </w:r>
    </w:p>
    <w:p>
      <w:pPr>
        <w:spacing w:after="0" w:line="112"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The intrinsic value of all outstanding stock options as of March 31, 2024 was approximately $            million, based on the assumed initial public offering price of $            per share, which is the midpoint of the estimated offering price range set forth on the cover page of this prospectus, of which approximately $            million related to vested stock options and approximately $            million related to unvested stock options.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Fair Value of Common Stock</w:t>
      </w:r>
    </w:p>
    <w:p>
      <w:pPr>
        <w:spacing w:after="0" w:line="14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 xml:space="preserve">As there has been no public market for our common stock to date, the estimated fair value of our common stock underlying our share-based awards was estimated on each grant date by our management and approved by our board of directors. Our board of directors exercised reasonable judgment and considered a number of objective and subjective factor, as well as valuations prepared by independent third-party valuation firms. The methodologies used to estimate the enterprise value are performed using methodologies, approaches and assumptions consistent with the American Institute of Certified Public Accountants Accounting and Valuation Guide, Valuation of Privately-Held-Company Equity Securities Issued as Compensation </w:t>
      </w:r>
      <w:r>
        <w:rPr>
          <w:rFonts w:ascii="Times New Roman" w:cs="Times New Roman" w:eastAsia="Times New Roman" w:hAnsi="Times New Roman"/>
          <w:sz w:val="18"/>
          <w:szCs w:val="18"/>
          <w:i w:val="1"/>
          <w:iCs w:val="1"/>
          <w:color w:val="auto"/>
        </w:rPr>
        <w:t>(the Practice Aid)</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In addition to considering the results of independent third-party valuations, we considered various objective and subjective factors to determine the fair value of common stock as of each grant date, including:</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our preferred stock and the superior rights, preferences and privileges of our preferred stock relative to those of our common stock at the time of each grant;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programs, including the status of preclinical studies and clinical trials for our product candidates;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our business strategy, and material risks related to our business;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biotechnology industry and trends within the biotechnology industry;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landscape for our product candidates;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stock and our preferred stock;</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IPO or a sale of our company, given prevailing market conditions;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 in general.</w:t>
      </w:r>
    </w:p>
    <w:p>
      <w:pPr>
        <w:spacing w:after="0" w:line="15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Prior to May 2023, we utilized an Option Pricing Method (OPM) based analysis, primarily the OPM backsolve methodology, to determine the estimated fair value of our common stock and redeemable convertible preferred stock. Within the OPM framework, we determined the backsolve method was the most appropriate method for determining the fair value of our common stock. The backsolve method is used for inferring the total equity value implied by a recent financing transaction, or by an estimated equity value of our pipeline product candidates, involves the construction of an allocation model that takes into account our capital structure and the rights, preferences and privileges of each class of stock, then assumes reasonable inputs for the other OPM variables (expected time to liquidity, volatility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 choices and options available), and the enterprise’s value depends on how well it follows an uncharted path through the various possible opportunities and challenges. The resulting equity value was then assigned to each class of equity securities using the OPM, which treats ordinary shares and preferred shares as call options on the equity value, with exercise prices based on the liquidation preference of our preferred stock. The shares of common stock are modeled as a call option with a claim on the equity value at an exercise price equal to the remaining value immediately after our preferred stock is liquidated. After the equity value is determined and allocated to the various classes of equity securities, we applied discounts to reflect the lack of marketability of our common stock based on the weighted-average expected time to liquidity. The estimated fair value of the common stock at each grant date reflected a non-marketability discount partially based on the anticipated likelihood and timing of a future liquidity event.</w:t>
      </w:r>
    </w:p>
    <w:p>
      <w:pPr>
        <w:spacing w:after="0" w:line="324"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For our valuations performed on and after May 2023, we utilized a hybrid method that combines the Probability-Weighted Expected Return Method (PWERM), an accepted valuation method described in the Practice Aid, and the OPM. We determined this was the most appropriate method for determining the fair value of our common stock based on our stage of development and other relevant factors. The PWERM is a scenario-based analysis that estimates the value per share of common stock based on the probability-weighted present value of expected future equity values for the common stock, under various possible future liquidity event scenarios, considering the rights and preferences of each class of shares, discounted for a lack of marketability. Under the hybrid method, an OPM was utilized to determine the fair value of our common stock and our redeemable convertible preferred stock in certain of the PWERM scenarios (capturing situations where our development path and future liquidity events were difficult to forecast), potential exit events were explicitly modeled in the other PWERM scenarios. A discount for lack of marketability was applied to the value derived under each scenario to account for a lack of access to an active public market to estimate our common stock fair value. The assumptions underlying these valuations represented our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spacing w:after="0" w:line="11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based on the quoted market price of our common stock.</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in the rules and regulations of the SEC.</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ensure liquidity and to preserve capital. We are exposed to market risks related to changes in interest rates of our cash equivalents and marketable securities. However, due to the nature of these cash equivalents and marketable securities, we do not believe that a hypothetical 10% increase or decrease in interest rates during any of the periods presented would have had a material effect on our consolidated financial statements included elsewhere in this prospectus.</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All of our employees and our operations are currently located in the United States, and our expenses are generally denominated in U.S. dollars. However, we do utilize certain CRO and CMO vendors outside of the United States for our clinical trials and product development and manufacturing. As such, our expenses are denominated in both U.S. dollars and foreign currencies. Therefore, our operations are and will continue to be subject to fluctuations in foreign currency exchange rates. To date, foreign currency transaction gains and losses have not been material to our consolidated financial statements, and we have not had a formal hedging program with respect to foreign currency. We do not believe that a hypothetical 10% increase or decrease in exchange rates during any of the periods presented would have had a material effect on our consolidated financial statements included elsewhere in this prospectus.</w:t>
      </w:r>
    </w:p>
    <w:p>
      <w:pPr>
        <w:spacing w:after="0" w:line="1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and development costs. We do not believe that inflation had a material effect on our business, results of operations, or financial condition, or on our consolidated financial statements included elsewhere in this prospectus.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JOBS Act Transition Period and Smaller Reporting Company Status</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an emerging growth company can take advantage of the extended transition period for complying with new or revised accounting standards and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1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exemptions to the requirements for</w:t>
      </w:r>
    </w:p>
    <w:p>
      <w:pPr>
        <w:spacing w:after="0" w:line="2" w:lineRule="exact"/>
        <w:rPr>
          <w:sz w:val="20"/>
          <w:szCs w:val="20"/>
          <w:color w:val="auto"/>
        </w:rPr>
      </w:pPr>
    </w:p>
    <w:p>
      <w:pPr>
        <w:jc w:val="both"/>
        <w:ind w:left="1260" w:right="419"/>
        <w:spacing w:after="0" w:line="249" w:lineRule="auto"/>
        <w:tabs>
          <w:tab w:leader="none" w:pos="15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 auditor’s attestation report on our system of internal controls over financial reporting pursuant to Section 404(b) of the Sarbanes-Oxley Act and (ii) complying with any requirement that may be adopted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to occur of (a) the last day of the fiscal year (A) following the fifth anniversary of the completion of this offering, (B) in which we have total annual gross revenues of at least $1.235 billion or (C) in which we are deemed to be a “large accelerated filer” under the rules of the SEC, which means the market value of our common stock and non- voting common stock that is held by non-affiliates exceeds $700.0 million as of the prior June 30th, or (b) the date on which we have issued more than $1.0 billion in non-convertible debt during the prior three-year period.</w:t>
      </w:r>
    </w:p>
    <w:p>
      <w:pPr>
        <w:spacing w:after="0" w:line="34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common stock and non-voting common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common stock and non-voting common stock held by non-affiliates is less than $250.0 million or (ii) our annual revenue is less than $100.0 million during the most recently completed fiscal year and the market value of our common stock and non-voting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mission is to significantly improve the lives of patients by replacing broad immunosuppression with targeted therapies. Our name, Alumis, captures our mission to enlighten immunology, and is inspired by the words “allumer”—French for illuminate—and “immunis”—Latin for the immune system.</w:t>
      </w:r>
    </w:p>
    <w:p>
      <w:pPr>
        <w:spacing w:after="0" w:line="10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We are a clinical stage biopharmaceutical company with an initial focus on developing our two Tyrosine Kinase 2 (TYK2) inhibitors: ESK-001, a second-generation inhibitor that we are developing to maximize target inhibition and optimize tolerability, and A-005, a central nervous system (CNS) penetrant molecule. ESK-001 has demonstrated significant therapeutic effect in our Phase 2 program in patients with PsO, which we define as moderate-to-severe plaque psoriasis (PsO), and is currently being evaluated in an additional Phase 2 clinical trial in patients with systemic lupus erythematosus (SLE), for which we expect to report results in 2026. With the favorable results in our Phase 2 clinical trial in PsO, we intend to initiate multiple Phase 3 clinical trials of ESK-001 in the second half of 2024 in this indication. TYK2 genetic mutations are associated with a strong protective effect in multiple sclerosis, motivating us to develop our second product candidate, A-005, as a CNS-penetrant, allosteric TYK2 inhibitor for neuroinflammatory and neurodegenerative diseases. In April 2024, we initiated our Phase 1 program of A-005 in healthy volunteers and expect to report initial results by the end of 2024.</w:t>
      </w:r>
    </w:p>
    <w:p>
      <w:pPr>
        <w:spacing w:after="0" w:line="333"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utilize our proprietary precision data analytics platform, biological insights and team of experienced research and development experts to deepen our understanding of disease pathologies, accelerate research and development and increase the probability of clinical success. Our collective insights informed our selection of TYK2 as the target for our two lead programs. Beyond TYK2, our proprietary precision data analytics platform and drug discovery expertise have led to the identification of additional preclinical programs that exemplify our precision approach.</w:t>
      </w:r>
    </w:p>
    <w:p>
      <w:pPr>
        <w:spacing w:after="0" w:line="11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recognize that patients living with immune-mediated diseases need alternatives to currently available therapies. Despite recent advances and innovations in the treatment of immune-mediated diseases, many patients continue to suffer, cycling through currently approved therapies while looking for a solution that alleviates the debilitating impact of their disease without life-limiting side effects.</w:t>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Addressing the needs of these patients is why we exist. We are pioneering a precision approach that leverages insights derived from powerful data analytics to select the right target, right molecule, right indication, right patient, right endpoint and right combination to dramatically improve patient outcomes. We believe that combining our insights with an integrated approach to drug development will produce the next generation of treatments to address immune dysfunction.</w:t>
      </w:r>
    </w:p>
    <w:p>
      <w:pPr>
        <w:spacing w:after="0" w:line="114"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Our most advanced product candidate, ESK-001, is an oral, highly selective, small molecule, allosteric inhibitor of TYK2. At the 2024 American Academy of Dermatology (AAD) Annual Meeting in March 2024, we announced positive data from our Phase 2 clinical program of ESK-001 in patients with PsO, which included the results of our Phase 2 STRIDE trial and interim results of our open label extension (OLE) as of a December 8, 2023 data cut. An additional OLE data cut was performed when all patients reached 28 weeks of treatment based on data through March 1, 2024. Our data demonstrated that ESK-001’s ability to maximally inhibit TYK2 translates to the achievement of high rates of response, as measured by the Psoriasis Area and Severity Index (PASI), in patients, with response rates in the range observed with existing biologic therapies. Our Phase 2 STRIDE trial, in which 228 patients with PsO were randomized to one of five ESK-001 dose cohorts or placebo, met its primary endpoint, the proportion of patients achieving a 75% improvement in the PASI Score (PASI 75) at week 12 compared to placebo, and key secondary efficacy endpoints at all clinically relevant doses tested. Clear dose-dependent responses were observed, with the highest response rates and maximal TYK2 inhibition achieved at the highest dose of 40 mg twice daily (BID). At the 40 mg BID dose and at the 40 mg once daily (QD) dose, 64% and 56% of evaluable patients, respectively, achieved PASI 75 at week 12 compared to 0% for placebo.</w:t>
      </w:r>
    </w:p>
    <w:p>
      <w:pPr>
        <w:spacing w:after="0" w:line="128"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Patients who completed the randomized placebo-controlled Phase 2 STRIDE trial were eligible to participate in the open label extension (OLE). In the OLE, 165 eligible patients were randomized; of these, 164 patients were assigned to receive either 40 mg BID or 40 mg QD (one patient was not dosed and was not included in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population analysis). As shown in the figure below, as of the March 1, 2024 data cut, interim OLE data following 28 weeks of treatment in the extension period showed sustained increases in PASI response rates over time, with the majority of patients (93% of evaluable patients, 83% using a conservative modified non-responder imputation (mNRI)) achieving PASI 75 at the 40 mg BID dose, as well as a continued favorable tolerability profile. Maximal target inhibition at the 40 mg BID dose, confirmed by blood and skin biopsy biomarkers, translated into the highest response rates, as compared with substantially lower response rates at the 40 mg QD dose. Given the tolerability profile we observed at the highest dose in our Phase 2 program, we intend to advance that dose into Phase 3 pivotal clinical trials. We are also developing a once-a-day modified release formulation that we plan to have available at the time of market launch, if approved,</w:t>
      </w:r>
    </w:p>
    <w:p>
      <w:pPr>
        <w:spacing w:after="0" w:line="5"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or within the first year post approval. Data in the table below are presented both “as observed” (AO)​ and applying mNRI where patients who dropped out of the trial due to adverse event or inadequate response were assumed to be non-responders for all time points after study discontinuation, and for patients who dropped out of the trial for all other reasons the last observation was carried forward.</w:t>
      </w:r>
    </w:p>
    <w:p>
      <w:pPr>
        <w:spacing w:after="0" w:line="11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i w:val="1"/>
          <w:iCs w:val="1"/>
          <w:color w:val="auto"/>
        </w:rPr>
        <w:t>OLE ESK-001 40 mg BID Cohort</w:t>
      </w:r>
    </w:p>
    <w:p>
      <w:pPr>
        <w:spacing w:after="0" w:line="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As Observed (AO) and modified Non-Responder Imputation (mNRI) Analyses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108585</wp:posOffset>
            </wp:positionV>
            <wp:extent cx="5083175" cy="26231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8317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 The shaded column in the figure above represents a four-week period during which no treatment was administered (the washout</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period). mNRI: modified Non-Responder Imputation</w:t>
      </w:r>
    </w:p>
    <w:p>
      <w:pPr>
        <w:spacing w:after="0" w:line="12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These data suggest a differentiated profile of ESK-001 relative to first-generation TYK2 inhibitors. We plan to initiate our Phase 3 pivotal clinical trials in PsO in the second half of 2024. We are also evaluating ESK-001 in LUMUS, a Phase 2b clinical trial of ESK-001 for the treatment of patients with SLE, and we expect to report top-line results for this trial in 2026.</w:t>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Beyond our initial two ongoing clinical indications of ESK-001, we plan to leverage our large clinical and genetic datasets to prioritize future indications, such as psoriatic arthritis and gastrointestinal and other indications where we believe ESK-001 could be differentiated from existing therapies. We believe ESK -001 has the potential to address a broad range of immune-mediated diseases and unmet patient needs that represent substantial commercial opportunities. We identified TYK2 as our first target of interest and acquired ESK-001 via the FronThera Acquisition. See the section titled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Operations—Contractual Obligations and Commitments</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w:t>
      </w:r>
    </w:p>
    <w:p>
      <w:pPr>
        <w:spacing w:after="0" w:line="32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 xml:space="preserve">We have incorporated our learnings from ESK-001 to develop A-005, as a CNS-penetrant, allosteric TYK2 inhibitor with potential application in multiple sclerosis (MS) and other neuroinflammatory and neurodegenerative diseases. Our large proprietary genetic data set as well as scientific literature have shown that the naturally occurring TYK2 loss-of- function genetic variant has a protective effect in MS. In our preclinical studies, A-005 has demonstrated protective effects in prophylactic and therapeutic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EAE</w:t>
      </w:r>
    </w:p>
    <w:p>
      <w:pPr>
        <w:sectPr>
          <w:pgSz w:w="11900" w:h="16838" w:orient="portrait"/>
          <w:cols w:equalWidth="0" w:num="1">
            <w:col w:w="9879"/>
          </w:cols>
          <w:pgMar w:left="580" w:top="97" w:right="1440" w:bottom="1440" w:gutter="0" w:footer="0" w:header="0"/>
        </w:sect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models of neuroinflammation. In April 2024, we initiated the first Phase 1 study of A-005 in healthy volunteers and expect to report initial results by the end of 2024.</w:t>
      </w:r>
    </w:p>
    <w:p>
      <w:pPr>
        <w:spacing w:after="0" w:line="9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apply our precision approach to immunology by focusing on the key drivers of immune dysfunction. We have established and continue to uncover key genetic and translational insights to significantly impact clinical outcomes. Foundational to our approach is our proprietary precision data analytics platform, which combines our proprietary genetic, genomic and proteomic data, data from public third-party sources, and our management’s own genomic insights, supported by the data analytics services we receive from Foresite Labs. Leveraging this platform allows us to potentially increase speed of development, probability of success and precision of therapy. We employ our insights and capabilities through every stage of development, always aiming to improve the likelihood of clinical success while achieving the best outcomes for patients. We believe our precision approach can bring forth advances in each of the following key areas:</w:t>
      </w:r>
    </w:p>
    <w:p>
      <w:pPr>
        <w:spacing w:after="0" w:line="76" w:lineRule="exact"/>
        <w:rPr>
          <w:sz w:val="20"/>
          <w:szCs w:val="20"/>
          <w:color w:val="auto"/>
        </w:rPr>
      </w:pPr>
    </w:p>
    <w:p>
      <w:pPr>
        <w:ind w:left="1800" w:right="419" w:hanging="180"/>
        <w:spacing w:after="0" w:line="28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target: </w:t>
      </w:r>
      <w:r>
        <w:rPr>
          <w:rFonts w:ascii="Times New Roman" w:cs="Times New Roman" w:eastAsia="Times New Roman" w:hAnsi="Times New Roman"/>
          <w:sz w:val="18"/>
          <w:szCs w:val="18"/>
          <w:color w:val="auto"/>
        </w:rPr>
        <w:t>We select drug targets based on our understanding of their role in immune-mediated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diseases in an effort to maximize clinical benefit and probability of success.</w:t>
      </w:r>
    </w:p>
    <w:p>
      <w:pPr>
        <w:spacing w:after="0" w:line="46"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molecule: </w:t>
      </w:r>
      <w:r>
        <w:rPr>
          <w:rFonts w:ascii="Times New Roman" w:cs="Times New Roman" w:eastAsia="Times New Roman" w:hAnsi="Times New Roman"/>
          <w:sz w:val="18"/>
          <w:szCs w:val="18"/>
          <w:color w:val="auto"/>
        </w:rPr>
        <w:t>We seek to design our molecules to achieve maximal target engagement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favorable pharmacological profile, and to optimize tolerability.</w:t>
      </w:r>
    </w:p>
    <w:p>
      <w:pPr>
        <w:spacing w:after="0" w:line="46"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indication: </w:t>
      </w:r>
      <w:r>
        <w:rPr>
          <w:rFonts w:ascii="Times New Roman" w:cs="Times New Roman" w:eastAsia="Times New Roman" w:hAnsi="Times New Roman"/>
          <w:sz w:val="18"/>
          <w:szCs w:val="18"/>
          <w:color w:val="auto"/>
        </w:rPr>
        <w:t>We select indications based on weight of evidence and biological insights from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precision data analytics platform.</w:t>
      </w:r>
    </w:p>
    <w:p>
      <w:pPr>
        <w:spacing w:after="0" w:line="46"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endpoint: </w:t>
      </w:r>
      <w:r>
        <w:rPr>
          <w:rFonts w:ascii="Times New Roman" w:cs="Times New Roman" w:eastAsia="Times New Roman" w:hAnsi="Times New Roman"/>
          <w:sz w:val="18"/>
          <w:szCs w:val="18"/>
          <w:color w:val="auto"/>
        </w:rPr>
        <w:t>We seek to accelerate drug development and improve the clinical probability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 through selection of optimal clinical endpoints for our trials.</w:t>
      </w:r>
    </w:p>
    <w:p>
      <w:pPr>
        <w:spacing w:after="0" w:line="46"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patient: </w:t>
      </w:r>
      <w:r>
        <w:rPr>
          <w:rFonts w:ascii="Times New Roman" w:cs="Times New Roman" w:eastAsia="Times New Roman" w:hAnsi="Times New Roman"/>
          <w:sz w:val="18"/>
          <w:szCs w:val="18"/>
          <w:color w:val="auto"/>
        </w:rPr>
        <w:t>We gain insights from our proprietary clinical samples to identify patients that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are most likely to benefit from our therapies.</w:t>
      </w:r>
    </w:p>
    <w:p>
      <w:pPr>
        <w:spacing w:after="0" w:line="46"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combinations: </w:t>
      </w:r>
      <w:r>
        <w:rPr>
          <w:rFonts w:ascii="Times New Roman" w:cs="Times New Roman" w:eastAsia="Times New Roman" w:hAnsi="Times New Roman"/>
          <w:sz w:val="18"/>
          <w:szCs w:val="18"/>
          <w:color w:val="auto"/>
        </w:rPr>
        <w:t>We identify future combination strategies with the potential to break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efficacy limitations of existing therapies without broadly suppressing the immune system.</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are building a pipeline of molecules with the potential to address a broad range of immune-mediated diseases as monotherapy or combination therapies. Within our TYK2 franchise, we are developing our most advanced product candidate, ESK-001, an allosteric TYK2 inhibitor for the treatment of PsO and SLE. We are developing our second TYK2 product candidate, A-005, as a CNS-penetrant allosteric TYK2 inhibitor, to offer the therapeutic benefit of TYK2 inhibition within the CNS for a broad range of neuroinflammatory and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104775</wp:posOffset>
            </wp:positionV>
            <wp:extent cx="5203190" cy="14147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0319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4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have assembled an executive team of industry veterans experienced in small-molecule compound drug development for immune-mediated diseases. Our senior leaders bring together a wealth of scientific, clinical, business and commercial expertise in the biopharmaceutical industry. Many of our employees and executives previously worked together at Genentech, Roche, Principia and MyoKardia and have united to work together again. Collectively, our executives have contributed to the research, development, approval and commercial launch of multiple drugs across several therapeutic areas, including Adbry, Avastin, Camzyos, Fasenra,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Lucentis, Ocrevus, Rituxan, Saphnelo, Siliq, Tarceva, Tezspire, Uplizna, Xeljanz and Xolair. To date, we have raised more than $600 million and are backed by established blue-chip life science investors.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Our mission is to significantly improve the lives of patients by replacing broad immunosuppression with targeted therapies. As our driving principle, we are using our precision approach focused on the important drivers of immune dysfunction. We use our key insights to pursue our mission of significantly improving outcomes for patients. We select drug targets that have been previously validated by strong human genetic evidence and human clinical data.</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core components of our business strategy include:</w:t>
      </w:r>
    </w:p>
    <w:p>
      <w:pPr>
        <w:spacing w:after="0" w:line="113" w:lineRule="exact"/>
        <w:rPr>
          <w:sz w:val="20"/>
          <w:szCs w:val="20"/>
          <w:color w:val="auto"/>
        </w:rPr>
      </w:pPr>
    </w:p>
    <w:p>
      <w:pPr>
        <w:jc w:val="both"/>
        <w:ind w:left="1800" w:right="419" w:hanging="180"/>
        <w:spacing w:after="0" w:line="254"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 the opportunity presented by ESK-001’s differentiated pharmacological profile and breadth of potential indications. </w:t>
      </w:r>
      <w:r>
        <w:rPr>
          <w:rFonts w:ascii="Times New Roman" w:cs="Times New Roman" w:eastAsia="Times New Roman" w:hAnsi="Times New Roman"/>
          <w:sz w:val="18"/>
          <w:szCs w:val="18"/>
          <w:color w:val="auto"/>
        </w:rPr>
        <w:t>We believe that ESK-001 is a foundational asset that exemplifies our approach.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Phase 2 clinical data in PsO provided strong clinical validation of our approach and set the stage for developing ESK-001 into a leading oral therapy in PsO. Beyond PsO, we continue to expand into additional indications. Genetic and biologic data generated to date highlight the important role of TYK2 inhibition across multiple diseases where we have current clinical programs (PsO and SLE) and future clinical ambitions. We intend to expand clinical development of ESK-001 to additional therapeutic areas and indications where TYK2 inhibition and our differentiated profile have the potential to deliver significant improvements for patients.</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Expand our TYK2 franchise with A-005, our allosteric TYK2 inhibitor selected to penetrate the CNS to treat</w:t>
      </w:r>
    </w:p>
    <w:p>
      <w:pPr>
        <w:spacing w:after="0" w:line="42" w:lineRule="exact"/>
        <w:rPr>
          <w:rFonts w:ascii="Times New Roman" w:cs="Times New Roman" w:eastAsia="Times New Roman" w:hAnsi="Times New Roman"/>
          <w:sz w:val="17"/>
          <w:szCs w:val="17"/>
          <w:color w:val="auto"/>
        </w:rPr>
      </w:pPr>
    </w:p>
    <w:p>
      <w:pPr>
        <w:jc w:val="both"/>
        <w:ind w:left="1800" w:right="41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 xml:space="preserve">neuroinflammation. </w:t>
      </w:r>
      <w:r>
        <w:rPr>
          <w:rFonts w:ascii="Times New Roman" w:cs="Times New Roman" w:eastAsia="Times New Roman" w:hAnsi="Times New Roman"/>
          <w:sz w:val="18"/>
          <w:szCs w:val="18"/>
          <w:color w:val="auto"/>
        </w:rPr>
        <w:t>There is strong biological rationale for the involvement of TYK2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neuroinflammatory and neurodegenerative diseases, as well as compelling genetic evidence for the role of TYK2 in MS. As a result, we believe TYK2 inhibition has potential utility in various neuroinflammatory and neurodegenerative diseases, including MS, Alzheimer’s disease, amyotrophic lateral sclerosis (ALS), optic neuritis, neuromyelitis optica and Parkinson’s disease. Given the results of our preclinical data, which support the protective effect in prophylactic and therapeutic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EAE models of neuroinflammation, we initiated the first-in-human trials of A-005 in April 2024.</w:t>
      </w:r>
    </w:p>
    <w:p>
      <w:pPr>
        <w:spacing w:after="0" w:line="76" w:lineRule="exact"/>
        <w:rPr>
          <w:rFonts w:ascii="Times New Roman" w:cs="Times New Roman" w:eastAsia="Times New Roman" w:hAnsi="Times New Roman"/>
          <w:sz w:val="17"/>
          <w:szCs w:val="17"/>
          <w:color w:val="auto"/>
        </w:rPr>
      </w:pPr>
    </w:p>
    <w:p>
      <w:pPr>
        <w:jc w:val="both"/>
        <w:ind w:left="1800" w:right="419" w:hanging="180"/>
        <w:spacing w:after="0" w:line="25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Discover and advance earlier-stage product candidates into clinical development. </w:t>
      </w:r>
      <w:r>
        <w:rPr>
          <w:rFonts w:ascii="Times New Roman" w:cs="Times New Roman" w:eastAsia="Times New Roman" w:hAnsi="Times New Roman"/>
          <w:sz w:val="18"/>
          <w:szCs w:val="18"/>
          <w:color w:val="auto"/>
        </w:rPr>
        <w:t>We intend to expand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pipeline of clinical-stage product candidates by identifying and developing earlier-stage assets. Utilizing our precision approach to address immune dysfunction, we have selected multiple additional targets to date, including interferon regulatory factor 5 (IRF5), across indications that are in various stages of development, from lead identification to lead optimization. These targets may enable development in a broad range of indications, either as a monotherapy or using a combination therapy approach with our TYK2 franchise.</w:t>
      </w:r>
    </w:p>
    <w:p>
      <w:pPr>
        <w:spacing w:after="0" w:line="74"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precision approach to increase speed of development, probability of success and precision of therapy. </w:t>
      </w:r>
      <w:r>
        <w:rPr>
          <w:rFonts w:ascii="Times New Roman" w:cs="Times New Roman" w:eastAsia="Times New Roman" w:hAnsi="Times New Roman"/>
          <w:sz w:val="18"/>
          <w:szCs w:val="18"/>
          <w:color w:val="auto"/>
        </w:rPr>
        <w:t>We are using our proprietary precision data analytics platform that integrates key genetic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translational insights to optimize clinical outcomes. We leverage and implement these capabilities with the aim to design efficient and effective development paths at every stage of our pipeline. We believe this approach can bring forth transformative medications by following the science to inform the right target, right molecule, right indication, right patient, right endpoint and right combinations.</w:t>
      </w:r>
    </w:p>
    <w:p>
      <w:pPr>
        <w:spacing w:after="0" w:line="74"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Evaluate strategic collaborations to maximize the global impact of our product candidates. </w:t>
      </w:r>
      <w:r>
        <w:rPr>
          <w:rFonts w:ascii="Times New Roman" w:cs="Times New Roman" w:eastAsia="Times New Roman" w:hAnsi="Times New Roman"/>
          <w:sz w:val="18"/>
          <w:szCs w:val="18"/>
          <w:color w:val="auto"/>
        </w:rPr>
        <w:t>We plan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strategically evaluate potential partnerships to maximize the value of our lead programs and broader portfolio. We believe that our product candidates, indications, clinical data and data analytics make our company an attractive partner. Given our scientific expertise and significant therapeutic depth, and the broad addressable populations of our product candidates, the right partner could help us expand the breadth of indications we pursue and increase our commercial reach.</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Precision Approach and Capabilities</w:t>
      </w:r>
    </w:p>
    <w:p>
      <w:pPr>
        <w:spacing w:after="0" w:line="148"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Our driving principle is to deliver the right medicine to achieve the best possible clinical outcome. To realize that goal, we are using our precision approach to immunology focused on the important drivers of immune dysfunction while relying on key genetic and translational insights, all with the aim of optimizing therapeutic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outcomes for patients. We were incubated by Foresite Labs, LLC (Foresite Labs). Since our incubation, we have benefited from the services that Foresite Labs has provided to us using its data platform, which includes large, multi-modal data sets and mature, scalable, and proprietary tools from the world of statistical genetics and causal inference. Supported by Foresite Labs’ data analytics capabilities, we have established our proprietary precision data analytics platform focused on immune-mediated diseases, enhanced with data from our own clinical studies and our own statistical tools, as well as data from public third-party sources. We believe that the application of insights from our internal efforts and public third-party data, combined with the services that we receive from Foresite Labs, may ultimately bring forth the most effective, transformative medications by optimizing the following design elements:</w:t>
      </w:r>
    </w:p>
    <w:p>
      <w:pPr>
        <w:spacing w:after="0" w:line="117"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Target: </w:t>
      </w:r>
      <w:r>
        <w:rPr>
          <w:rFonts w:ascii="Times New Roman" w:cs="Times New Roman" w:eastAsia="Times New Roman" w:hAnsi="Times New Roman"/>
          <w:sz w:val="18"/>
          <w:szCs w:val="18"/>
          <w:i w:val="1"/>
          <w:iCs w:val="1"/>
          <w:color w:val="auto"/>
        </w:rPr>
        <w:t>We select drug targets based on our understanding of their role in immune-mediated diseases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 an effort to maximize clinical benefit and probability of success.</w:t>
      </w:r>
    </w:p>
    <w:p>
      <w:pPr>
        <w:spacing w:after="0" w:line="9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identify and select drug targets with strong human genetic evidence, utilizing our proprietary precision data analytics platform for immune-mediated diseases or with human clinical validation. We believe that drugs with indications supported by human genetics have twice the likelihood of success in Phase 2 and Phase 3 clinical development (as confirmed in King EA, Davis JW, Degner JF, PLoS Genet 15(12) (2019)).</w:t>
      </w:r>
    </w:p>
    <w:p>
      <w:pPr>
        <w:spacing w:after="0" w:line="72" w:lineRule="exact"/>
        <w:rPr>
          <w:sz w:val="20"/>
          <w:szCs w:val="20"/>
          <w:color w:val="auto"/>
        </w:rPr>
      </w:pPr>
    </w:p>
    <w:p>
      <w:pPr>
        <w:jc w:val="both"/>
        <w:ind w:left="1800" w:right="419" w:hanging="180"/>
        <w:spacing w:after="0" w:line="261"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analysis of over 350 immune-relevant genome-wide association study (GWAS) results from both the public domain and the UK Biobank biomedical resource identified TYK2 as the right therapeutic target. These studies include GWAS of susceptibility to immune-mediated diseases and immunologically relevant laboratory values and biomarkers.</w:t>
      </w:r>
    </w:p>
    <w:p>
      <w:pPr>
        <w:spacing w:after="0" w:line="11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For example, the identification of a loss-of-function mutation in the TYK2 gene appears to be protective against an array of immune-mediated disorders. Loss of kinase function, as consistent with the mode of action of ESK-001 and A-005, does not appear to significantly increase susceptibility to serious infections or malignancy. In contrast, mutations that lead to complete loss of TYK2 protein expression have been associated with severe immunodeficiency. Our insights regarding the role of TYK2 in disease, as well as the effectiveness of TYK2 inhibition in preventing inducible disease and ameliorating established disease in various models, led to our selection of TYK2 as the foundational program in our efforts to treat immune-mediated diseases.</w:t>
      </w:r>
    </w:p>
    <w:p>
      <w:pPr>
        <w:spacing w:after="0" w:line="333"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Molecule: </w:t>
      </w:r>
      <w:r>
        <w:rPr>
          <w:rFonts w:ascii="Times New Roman" w:cs="Times New Roman" w:eastAsia="Times New Roman" w:hAnsi="Times New Roman"/>
          <w:sz w:val="18"/>
          <w:szCs w:val="18"/>
          <w:i w:val="1"/>
          <w:iCs w:val="1"/>
          <w:color w:val="auto"/>
        </w:rPr>
        <w:t>We seek to design our molecules to achieve maximal target engagement and a favorable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pharmacological profile, and to optimize tolerability.</w:t>
      </w:r>
    </w:p>
    <w:p>
      <w:pPr>
        <w:spacing w:after="0" w:line="51" w:lineRule="exact"/>
        <w:rPr>
          <w:sz w:val="20"/>
          <w:szCs w:val="20"/>
          <w:color w:val="auto"/>
        </w:rPr>
      </w:pPr>
    </w:p>
    <w:p>
      <w:pPr>
        <w:jc w:val="both"/>
        <w:ind w:left="1800" w:right="419" w:hanging="180"/>
        <w:spacing w:after="0" w:line="263"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lead generation efforts are enabled via a combination of high throughput screening technologies and in-house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screens. We utilize our proprietary precision data analytics platform and modern Artificial Intelligence (AI)- and Machine Learning (ML)-based methods to guide molecular designs.</w:t>
      </w:r>
    </w:p>
    <w:p>
      <w:pPr>
        <w:spacing w:after="0" w:line="31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further refine our molecular designs using a combination of traditional structure-guided approaches from proprietary crystallographic structures and advanced computational methods.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in our development efforts, we apply medicinal chemistry, biochemistry, cellular biology and pharmacology to define the pharmacokinetic (PK) and pharmacodynamic (PD) relationship, to maximize target inhibition, and to reach the relevant compartments of the body.</w:t>
      </w:r>
    </w:p>
    <w:p>
      <w:pPr>
        <w:spacing w:after="0" w:line="10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For example, while we selected ESK-001 as our lead product candidate by acquiring it in the FronThera Acquisition, we designed A-005 utilizing our proprietary precision data analytics platform and AI- and ML-based methods to maximize target coverage within the CNS by crossing the blood brain barrier, and to directly interrupt the neuroinflammatory and neurodegenerative processes where they occur, with the aim of providing maximal benefit to patients.</w:t>
      </w:r>
    </w:p>
    <w:p>
      <w:pPr>
        <w:spacing w:after="0" w:line="9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Indication: </w:t>
      </w:r>
      <w:r>
        <w:rPr>
          <w:rFonts w:ascii="Times New Roman" w:cs="Times New Roman" w:eastAsia="Times New Roman" w:hAnsi="Times New Roman"/>
          <w:sz w:val="18"/>
          <w:szCs w:val="18"/>
          <w:i w:val="1"/>
          <w:iCs w:val="1"/>
          <w:color w:val="auto"/>
        </w:rPr>
        <w:t>We select indications based on weight of evidence and biological insights from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proprietary precision data analytics platform.</w:t>
      </w:r>
    </w:p>
    <w:p>
      <w:pPr>
        <w:spacing w:after="0" w:line="9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utilize our proprietary precision data analytics platform and advanced multi-trait statistical methods to evaluate and establish the strength of genetic associations across identified indications of interest.</w:t>
      </w:r>
    </w:p>
    <w:p>
      <w:pPr>
        <w:spacing w:after="0" w:line="67" w:lineRule="exact"/>
        <w:rPr>
          <w:sz w:val="20"/>
          <w:szCs w:val="20"/>
          <w:color w:val="auto"/>
        </w:rPr>
      </w:pPr>
    </w:p>
    <w:p>
      <w:pPr>
        <w:ind w:left="1800" w:right="41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proprietary statistical methods to establish the causality of genetic variants with complex phenotypes via novel adaptations of the Mendelian Randomization method.</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 advanced multi-trait statistical methods to simultaneously evaluate the strength of genetic associations across multiple indications with a target of interest and to identify therapeutic opportunities based on novel associations.</w:t>
      </w:r>
    </w:p>
    <w:p>
      <w:pPr>
        <w:spacing w:after="0" w:line="10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For example, we are pursuing and may pursue indications for our TYK2 franchise that are underpinned by phenotypic-genotypic links or known clinical proof-of-concept data in adjacent pathways, including PsO, SLE, psoriatic arthritis (PsA), Crohn’s disease (CD), multiple sclerosis (MS) and ulcerative colitis (UC), and the other indications listed in the figure below.</w:t>
      </w:r>
    </w:p>
    <w:p>
      <w:pPr>
        <w:spacing w:after="0" w:line="11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addition to CD, UC, and PsA, our analysis of the protective effect associated with the human loss-of-function variant P1104A has identified additional potential future indications of interest for ESK-001, including primary biliary cholangitis, juvenile idiopathic arthritis, sarcoidosis, Type 1 diabetes, rheumatoid arthritis, and celiac disease.</w:t>
      </w:r>
    </w:p>
    <w:p>
      <w:pPr>
        <w:spacing w:after="0" w:line="2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Association of TYK2 P1104A Loss-of-Function Variant with Immune-Mediated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86995</wp:posOffset>
            </wp:positionV>
            <wp:extent cx="5023485" cy="28632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2348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20" w:hanging="360"/>
        <w:spacing w:after="0"/>
        <w:tabs>
          <w:tab w:leader="none" w:pos="16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indication.</w:t>
      </w:r>
    </w:p>
    <w:p>
      <w:pPr>
        <w:spacing w:after="0" w:line="5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4"/>
          <w:szCs w:val="14"/>
          <w:color w:val="auto"/>
        </w:rPr>
        <w:t>Note: Forest plot of immune-mediated indications associated with TYK2 loss-of-function variant P1104A. Point estimates below 1 suggest protection against disease while point estimates above 1 suggest susceptibility to disease, with points furthest away from “1.0” indicating highest level of association. Given the protective effect associated with the human TYK2 loss of function variant, all of the remaining indications listed above are potential future indications of interest for ESK-001 and A-005.</w:t>
      </w:r>
    </w:p>
    <w:p>
      <w:pPr>
        <w:spacing w:after="0" w:line="4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Endpoint: </w:t>
      </w:r>
      <w:r>
        <w:rPr>
          <w:rFonts w:ascii="Times New Roman" w:cs="Times New Roman" w:eastAsia="Times New Roman" w:hAnsi="Times New Roman"/>
          <w:sz w:val="18"/>
          <w:szCs w:val="18"/>
          <w:i w:val="1"/>
          <w:iCs w:val="1"/>
          <w:color w:val="auto"/>
        </w:rPr>
        <w:t>We seek to accelerate drug development and improve the clinical probability of success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through selection of optimal clinical endpoints for our trials.</w:t>
      </w:r>
    </w:p>
    <w:p>
      <w:pPr>
        <w:spacing w:after="0" w:line="51" w:lineRule="exact"/>
        <w:rPr>
          <w:sz w:val="20"/>
          <w:szCs w:val="20"/>
          <w:color w:val="auto"/>
        </w:rPr>
      </w:pPr>
    </w:p>
    <w:p>
      <w:pPr>
        <w:jc w:val="both"/>
        <w:ind w:left="1800" w:right="419" w:hanging="180"/>
        <w:spacing w:after="0" w:line="261"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survey external data to help us select optimal clinical endpoints for our trials. For example, we carefully analyzed data from recent pivotal trials in SLE to support selection of the primary endpoint for our LUMUS trial and to minimize the variability and high placebo response rates that have been common causes of failure in SLE trials.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 endpoints that are clinically meaningful, that are appropriate to the stage of development and that enable expeditious advancement into the next stage of development.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aim to link genetic and biological markers to clinical outcome measures to help identify those patients most likely to respond to our medicines in subsequent stages of development.</w:t>
      </w:r>
    </w:p>
    <w:p>
      <w:pPr>
        <w:spacing w:after="0" w:line="13"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For example, we selected a 12-week primary endpoint in our Phase 2 STRIDE trial, which enabled us to benchmark against competitors and make a rapid Go-to-Phase 3 decision. We also included an OLE to better define peak efficacy and long-term safety.</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Patient: </w:t>
      </w:r>
      <w:r>
        <w:rPr>
          <w:rFonts w:ascii="Times New Roman" w:cs="Times New Roman" w:eastAsia="Times New Roman" w:hAnsi="Times New Roman"/>
          <w:sz w:val="18"/>
          <w:szCs w:val="18"/>
          <w:i w:val="1"/>
          <w:iCs w:val="1"/>
          <w:color w:val="auto"/>
        </w:rPr>
        <w:t>We gain insights from our proprietary clinical samples to identify patients that we believe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most likely to benefit from our therapies.</w:t>
      </w:r>
    </w:p>
    <w:p>
      <w:pPr>
        <w:spacing w:after="0" w:line="37" w:lineRule="exact"/>
        <w:rPr>
          <w:sz w:val="20"/>
          <w:szCs w:val="20"/>
          <w:color w:val="auto"/>
        </w:rPr>
      </w:pPr>
    </w:p>
    <w:p>
      <w:pPr>
        <w:jc w:val="both"/>
        <w:ind w:left="1800" w:right="419" w:hanging="180"/>
        <w:spacing w:after="0" w:line="261"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interventional studies, we seek to uncover patient selection and stratification criteria by pairing advanced data analytics and ML methods with extensive biomarker profiling across multiple timepoints, including high-dimensional genetics, genomics and proteomics together with functional immune-cell-profiling techniques.</w:t>
      </w:r>
    </w:p>
    <w:p>
      <w:pPr>
        <w:spacing w:after="0" w:line="31"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For example, in our Phase 1 clinical trial of ESK- 001, we identified a novel biomarker of TYK2 activity. Taking this insight into our Phase 2 STRIDE trial, we have demonstrated a clear dose-dependent inhibition of this novel biomarker, achieving maximal inhibition at the higher doses, and a profile closely aligned with our Phase 1 and preclinical datasets. We plan to further test this novel biomarker’s ability to differentiate patient responses in PsO and SLE.</w:t>
      </w:r>
    </w:p>
    <w:p>
      <w:pPr>
        <w:spacing w:after="0" w:line="110"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Combinations: </w:t>
      </w:r>
      <w:r>
        <w:rPr>
          <w:rFonts w:ascii="Times New Roman" w:cs="Times New Roman" w:eastAsia="Times New Roman" w:hAnsi="Times New Roman"/>
          <w:sz w:val="18"/>
          <w:szCs w:val="18"/>
          <w:i w:val="1"/>
          <w:iCs w:val="1"/>
          <w:color w:val="auto"/>
        </w:rPr>
        <w:t>We identify future combination strategies with the potential to break through efficacy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limitations of existing therapies without broadly suppressing the immune system.</w:t>
      </w:r>
    </w:p>
    <w:p>
      <w:pPr>
        <w:spacing w:after="0" w:line="51" w:lineRule="exact"/>
        <w:rPr>
          <w:sz w:val="20"/>
          <w:szCs w:val="20"/>
          <w:color w:val="auto"/>
        </w:rPr>
      </w:pPr>
    </w:p>
    <w:p>
      <w:pPr>
        <w:jc w:val="both"/>
        <w:ind w:left="1800" w:right="419" w:hanging="180"/>
        <w:spacing w:after="0" w:line="258"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immunological therapeutics continue to confront limitations of their efficacy in some diseases, such as rheumatoid arthritis and Crohn’s disease. One potentially promising path to breaking through these efficacy barriers is to utilize the right combinations of precise agents that separately target specific immune pathways and can be safely administered together without broadly suppressing the immune system.</w:t>
      </w:r>
    </w:p>
    <w:p>
      <w:pPr>
        <w:spacing w:after="0" w:line="73" w:lineRule="exact"/>
        <w:rPr>
          <w:rFonts w:ascii="Times New Roman" w:cs="Times New Roman" w:eastAsia="Times New Roman" w:hAnsi="Times New Roman"/>
          <w:sz w:val="18"/>
          <w:szCs w:val="18"/>
          <w:color w:val="auto"/>
        </w:rPr>
      </w:pPr>
    </w:p>
    <w:p>
      <w:pPr>
        <w:jc w:val="both"/>
        <w:ind w:left="1800" w:right="419" w:hanging="180"/>
        <w:spacing w:after="0" w:line="260"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developed an internal biology platform using multiplexed immune cell assays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We utilize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techniques for predicting genetic signatures of drug response using advanced polygenic risk score methodologies. We utilize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interaction modelling to predict therapeutic combinations that are likely to be complimentary and/or synergistic with respect to efficacy.</w:t>
      </w:r>
    </w:p>
    <w:p>
      <w:pPr>
        <w:spacing w:after="0" w:line="33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For example, we believe ESK-001 has significant potential as a future combination therapy due to its pharmacological profile with low risk of drug interactions and highly predictable PK profile in humans. We aim to develop additional therapeutics that may be complimentary to our TYK2 inhibitors and to each other, opening up the future potential of combination therapy.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Immune Dysfunction Overview</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immune system is a highly regulated and balanced system that has evolved to protect us from infection, recognize and neutralize harmful agents from the environment and fight disease. Dysfunctional immune responses, whether directed towards self or non-self or through unbalanced activation or regulation, can lead to inflammation, allergy, autoimmunity and development of chronic immune-mediated diseases. We are building immune insights from patient samples, incorporating genetic, genomic and proteomic learnings, and translating preclinical findings in an effort to therapeutically target dysfunctional immune mechanisms to improve outcomes for patients with immune-mediated diseases.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TYK2 in Immunology</w:t>
      </w:r>
    </w:p>
    <w:p>
      <w:pPr>
        <w:spacing w:after="0" w:line="14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TYK2 is an intracellular tyrosine kinase protein within the broader Janus kinase (JAK) family shown to play an essential role in mediating cytokine receptor signaling pathways in both innate and adaptive immunity, as shown in the figure below. Cytokines are a group of proteins in the body that play an important role in boosting the immune system. TYK2 associates with a defined set of cytokine receptors expressed primarily on immune cells, such as IL-23, IL-12 and type I interferon (IFN) receptors, distinct from other JAK family members. TYK2 functions to relay signals into the cell through phosphorylation of signal transducing and activators of transcription (STATs), to initiate a cascade of protein-signaling interactions resulting in cytokine-responsive gene transcription and cell activation, which drives downstream immune responses including Th17, IL-17 pathways, and type I IFN responsive genes that are known drivers of inflammation and immune mediated disease. Therapeutic inhibition of TYK2 and associated cytokine pathways, in particular IL-23/ IL-17 and type I IFN, have been broadly validated to address immune dysfunction in immune-mediated diseases, such as psoriasis, psoriatic arthritis and SLE. TYK2 is expressed in circulating and tissue-resident immune cells, and is also active in CNS-resident immune cells, such as microglia, which are thought to play a key role in neuroinflammation.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Human genetic studies of TYK2 strongly validated it as a therapeutic target. An identified loss-of-function mutation (P1104A) in the TYK2 gene, present in approximately 3% to 5% of European populations, is protective against an array of immune-mediated disorders, including SLE, psoriasis, sarcoidosis, psoriatic arthritis, inflammatory bowel disease and neuroinflammatory and neurodegenerative conditions, such as MS. Importantly, this TYK2 variant does not appear to significantly increase susceptibility to serious infections. We believe that TYK2 inhibition as a targeted therapy may have an improved risk to benefit profile as compared to broad immune suppression.</w:t>
      </w:r>
    </w:p>
    <w:p>
      <w:pPr>
        <w:spacing w:after="0" w:line="1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i w:val="1"/>
          <w:iCs w:val="1"/>
          <w:color w:val="auto"/>
        </w:rPr>
        <w:t>TYK2 Associated Pathway and Downstream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138430</wp:posOffset>
            </wp:positionV>
            <wp:extent cx="3171825" cy="31889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7182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TYK2 Landscape</w:t>
      </w:r>
    </w:p>
    <w:p>
      <w:pPr>
        <w:spacing w:after="0" w:line="16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TYK2 inhibition has the potential to treat multiple immune-mediated diseases. The FDA’s approval of deucravacitinib (marketed as Sotyktu) in 2022, with labeling enabling its use as first-line therapy without any boxed warnings, highlights the appeal of TYK2 inhibition for the treatment of immune-mediated indications driven by IL-23 and IFN. Current first-generation allosteric TYK2 inhibitors include Sotyktu and TAK-279. However, first-generation allosteric TYK2 inhibitors have not been able to achieve complete TYK2 inhibition to date, limiting their otherwise promising therapeutic potential. The approved dose of Sotyktu of 6 mg QD, while safe and effective in psoriasis, provides only partial target coverage. In Phase 2 clinical trials of Sotyktu, higher doses, such as 6 mg BID or 12 mg QD, showed incremental improvements in several outcome measures of psoriasis and psoriatic arthritis. However, these higher doses were associated with the occurrence of skin rashes in up to 9% of patients.</w:t>
      </w:r>
    </w:p>
    <w:p>
      <w:pPr>
        <w:spacing w:after="0" w:line="113"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Similar results were observed with TAK-279, where cutaneous adverse events (AEs) (e.g., acne and acneiform dermatitis) were reported at higher dose levels. The mechanisms causing these skin rashes are not known.</w:t>
      </w:r>
    </w:p>
    <w:p>
      <w:pPr>
        <w:spacing w:after="0" w:line="322"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TYK2 inhibition represents a breadth of opportunity, and there have been or are ongoing clinical trials of TYK2 inhibitors in multiple indications such as psoriatic arthritis, SLE, cutaneous lupus, alopecia areata, Sjogren’s disease, vitiligo, Crohn’s disease and ulcerative colitis.</w:t>
      </w: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TYK2 Franchise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ESK-001: Our Allosteric TYK2 Inhibitor</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ESK-001 is a potent, highly selective, allosteric TYK2 inhibitor. We believe that ESK-001 may potentially overcome the limitations of first-generation allosteric TYK2 inhibitors by achieving maximal target inhibition without causing dose limiting safety or tolerability issues. We believe this will result from optimized physicochemical properties, favorable and highly predictable PK, and lack of significant drug interactions.</w:t>
      </w:r>
    </w:p>
    <w:p>
      <w:pPr>
        <w:spacing w:after="0" w:line="200" w:lineRule="exact"/>
        <w:rPr>
          <w:sz w:val="20"/>
          <w:szCs w:val="20"/>
          <w:color w:val="auto"/>
        </w:rPr>
      </w:pP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Key Differentiating Features</w:t>
      </w:r>
    </w:p>
    <w:p>
      <w:pPr>
        <w:spacing w:after="0" w:line="2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believe ESK-001 is differentiated from first-generation TYK2 inhibitors for the following reasons:</w:t>
      </w:r>
    </w:p>
    <w:p>
      <w:pPr>
        <w:spacing w:after="0" w:line="113" w:lineRule="exact"/>
        <w:rPr>
          <w:sz w:val="20"/>
          <w:szCs w:val="20"/>
          <w:color w:val="auto"/>
        </w:rPr>
      </w:pPr>
    </w:p>
    <w:p>
      <w:pPr>
        <w:jc w:val="both"/>
        <w:ind w:left="1800" w:right="419" w:hanging="180"/>
        <w:spacing w:after="0" w:line="258"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Intrinsic Selectivity and Preclinical Pharmacology</w:t>
      </w:r>
      <w:r>
        <w:rPr>
          <w:rFonts w:ascii="Times New Roman" w:cs="Times New Roman" w:eastAsia="Times New Roman" w:hAnsi="Times New Roman"/>
          <w:sz w:val="18"/>
          <w:szCs w:val="18"/>
          <w:color w:val="auto"/>
        </w:rPr>
        <w:t>. Due to ESK-001’s design as an allosteric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inhibitor, the molecule is both potent and intrinsically selective for TYK2 over other protein kinases, including the related JAK family members. No JAK-related pharmacology has been observed with ESK-001 to date. ESK-001 is supported by a preclinical study in which no clinically limiting findings were observed. By contrast, skin rashes requiring treatment were observed in preclinical toxicology studies of Sotyktu.</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Optimized Molecular Properties and PK</w:t>
      </w:r>
      <w:r>
        <w:rPr>
          <w:rFonts w:ascii="Times New Roman" w:cs="Times New Roman" w:eastAsia="Times New Roman" w:hAnsi="Times New Roman"/>
          <w:sz w:val="18"/>
          <w:szCs w:val="18"/>
          <w:color w:val="auto"/>
        </w:rPr>
        <w:t>. At the core of ESK-001’s differentiation from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clinical-stage allosteric inhibitors of TYK2 are its physicochemical properties that we believe impart highly desirable drug-like features. ESK-001 is highly permeable with low efflux resulting in high and rapid systemic absorption and favorable tissue distribution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These properties result in its highly predictable, linear PK profile in humans with low variability. In addition, ESK-001 has a desirable half-life in humans of approximately 8 to 12 hours and we have not observed any concerns for drug-drug interactions with other therapies.</w:t>
      </w:r>
    </w:p>
    <w:p>
      <w:pPr>
        <w:spacing w:after="0" w:line="61"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Maximal Target Inhibition. </w:t>
      </w:r>
      <w:r>
        <w:rPr>
          <w:rFonts w:ascii="Times New Roman" w:cs="Times New Roman" w:eastAsia="Times New Roman" w:hAnsi="Times New Roman"/>
          <w:sz w:val="18"/>
          <w:szCs w:val="18"/>
          <w:color w:val="auto"/>
        </w:rPr>
        <w:t>ESK-001 demonstrated a robust and predictable PK/PD relationship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 1 studies, enabling the identification of a dose level that achieved maximal TYK2 inhibition for 24 hours a day to take into Phase 2 clinical trials. A clear dose-dependent inhibition of TYK2 markers was observed across the dose range in healthy volunteers, with maximal inhibition observed at the 40 mg BID dose and aligned with trough ESK-001 exposures above the whole blood IC90 level throughout the dosing period. We define maximal inhibition as reaching the plateau of biological inhibition in the assay readout with no further impact seen with higher drug concentrations. At the 40 mg BID dose, maximal TYK2 inhibition was confirmed in healthy volunteer and PsO patient blood samples by RNA-seq analysis, and a return to non-lesional baseline levels of TYK2 pathway (including IFN signature, IL-23, IL-17) and PsO-relevant disease biomarkers was confirmed in PsO patient skin biopsies.</w:t>
      </w:r>
    </w:p>
    <w:p>
      <w:pPr>
        <w:spacing w:after="0" w:line="293"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Clinical Tolerability. </w:t>
      </w:r>
      <w:r>
        <w:rPr>
          <w:rFonts w:ascii="Times New Roman" w:cs="Times New Roman" w:eastAsia="Times New Roman" w:hAnsi="Times New Roman"/>
          <w:sz w:val="18"/>
          <w:szCs w:val="18"/>
          <w:color w:val="auto"/>
        </w:rPr>
        <w:t>There have been no clinically limiting findings across our clinical trials to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prevent ESK-001 from being dosed to achieve maximal target inhibition. In contrast to what has been reported with first-generation allosteric TYK2 inhibitors, skin rashes have been observed at much lower frequency with ESK-001 to date, even at very high and sustained levels of target inhibition, suggesting that skin toxicities may not be an on-target, class effect of TYK2 inhibitors.</w:t>
      </w: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Strategic Indication Selection</w:t>
      </w:r>
    </w:p>
    <w:p>
      <w:pPr>
        <w:spacing w:after="0" w:line="26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TYK2-mediated cytokine signaling is involved in a broad range of immune-mediated diseases. TYK2 loss-of-function mutations have been shown to be protective for several conditions including psoriasis, psoriatic arthritis, Crohn’s disease, ulcerative colitis and multiple sclerosis. Therefore, ESK-001 has the potential to provide benefit in a large number of indications. We have selected PsO and SLE as our initial indications. TYK2 has strong validation as a therapeutic target in PsO, and it provides an opportunity for ESK-001 to be benchmarked against in-class competitors, testing the hypothesis that higher degrees of target inhibition result in improved clinical outcomes. The evidence that TYK2-mediated pathways play a key role in disease pathogenesis is similarly strong in SLE: a biologic targeting the type I IFN receptor is approved in SLE, the protective effect of certain loss-of-function mutations of TYK2 is of similar magnitude as in PsO, and a third-party Phase 2 clinical trial of Sotyktu in patients with active SLE met its primary and secondary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endpoints. The unmet need for safe and efficacious oral therapies remains high in SLE. Across our initial and potential future indications, we estimate there are 22 million patients worldwide (approximately 11 million across our current clinical indications, including PsO and SLE, and approximately 11 million patients across potential future indications).</w:t>
      </w:r>
    </w:p>
    <w:p>
      <w:pPr>
        <w:spacing w:after="0" w:line="2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Combination Potential</w:t>
      </w:r>
    </w:p>
    <w:p>
      <w:pPr>
        <w:spacing w:after="0" w:line="26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Despite significant advances in the treatment of immune-mediated disease, in many diseases, only a minority of patients achieve disease remission or nearly complete response with current therapies. Because of the complexity, overlap and redundancy of inflammatory pathways, combination approaches targeting complementary pathways may be needed to achieve high-hurdle endpoints such as remission. We believe that ESK-001’s pharmacological properties, including its lack of drug-drug interaction potential and its clinical profile positions it well as a partner for future combination therapies.</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ESK-001 for the treatment of PsO</w:t>
      </w:r>
    </w:p>
    <w:p>
      <w:pPr>
        <w:spacing w:after="0" w:line="3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Psoriasis Overview</w:t>
      </w:r>
    </w:p>
    <w:p>
      <w:pPr>
        <w:spacing w:after="0" w:line="1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Psoriasis is a chronic immune-mediated skin disease characterized by abnormal epidermal growth, usually presenting as red, scaly patches, papules or plaques (plaque psoriasis). Patients with psoriasis are also at increased risk of developing other co-morbid conditions, such as cardiovascular disease, obesity, insulin resistance, uveitis and thyroid dysfunction. Up to 40% of psoriasis patients develop inflammatory arthritis (psoriatic arthritis) that leads to joint destruction and disability. According to the World Health Organization, psoriasis significantly impacts quality of life—physical and emotional challenges of disfiguration, low self-esteem, loss of productivity and depression.</w:t>
      </w:r>
    </w:p>
    <w:p>
      <w:pPr>
        <w:spacing w:after="0" w:line="109"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Plaque psoriasis impacts over 7.7 million people in the United States (and over 16 million people globally), with an annual growth rate of ~1%. Over 60% of these people have PsO, and over 97% of PsO patients are drug treated. PsO impacts over 4.7 million people in the United States.</w:t>
      </w:r>
    </w:p>
    <w:p>
      <w:pPr>
        <w:spacing w:after="0" w:line="115"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The pharmaceutical drug market for plaque psoriasis is approximately $14 billion in the United States in 2023 (and over $17 billion globally), and is forecasted to increase substantially, to over $20 billion in United States by 2030 (and over $25 billion globally) due to the increase in the psoriasis patient population and the development of new therapies.</w:t>
      </w:r>
    </w:p>
    <w:p>
      <w:pPr>
        <w:spacing w:after="0" w:line="10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Targeted biologic therapies have demonstrated robust efficacy in PsO, but are burdensome for patients and physicians. Many patients wish to start or continue with oral medication to avoid the burden of injectable biologics. Biologics targeting the IL-23/IL-17 inflammatory pathways have achieved PASI 75 in more than 80% of treated patients. In the last decade, the FDA has approved two advanced oral therapies for PsO in the United States, Otezla (apremilast) and Sotyktu (deucravacitinib). PASI-75 response rates for either oral agent have been lower than those observed with biologic treatments targeting IL-23 or IL-17.</w:t>
      </w:r>
    </w:p>
    <w:p>
      <w:pPr>
        <w:spacing w:after="0" w:line="12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Sotyktu, an oral TYK2 inhibitor, was approved by the FDA in 2022 for the treatment of PsO. In the two Sotyktu placebo-controlled Phase 3 studies, POETYK PSO-1 and POETYK PSO-2, the efficacy of Sotyktu at Week 16 was found to be superior to apremilast, with a 75% reduction in PASI score (PASI 75) achieved in 58% and 53% of patients, respectively, in the Sotyktu arm and 35.1% and 39.8%, respectively, in the apremilast arm. Sotyktu response was maintained through 52 weeks (82% of patients who achieved PASI 75 at Week 24 maintained it through 52 weeks). Sotyktu was well tolerated and had a similar safety profile in both studies, with no evidence of AEs associated with JAK inhibition. Notwithstanding these results, Sotyktu did not achieve complete inhibition of TYK2 throughout the dose interval. As a result, we believe there is an unmet medical need for an oral therapy that is safe and can provide biologic level efficacy for patients with PsO. We believe ESK-001, if approved, would offer a well-tolerated, alternative oral treatment option.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i w:val="1"/>
          <w:iCs w:val="1"/>
          <w:color w:val="auto"/>
        </w:rPr>
        <w:t>PsO Patient Share: Systemic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138430</wp:posOffset>
            </wp:positionV>
            <wp:extent cx="3625850" cy="31032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62585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Rationale for Targeting TYK2 in the Treatment of PsO</w:t>
      </w:r>
    </w:p>
    <w:p>
      <w:pPr>
        <w:spacing w:after="0" w:line="160"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As discussed above, the loss-of-function mutations of TYK2 confer strong protection from the development of PsO. Our internal analyses estimate that carriers of the TYK2 P1104A variant have a two-fold reduced risk of developing disease throughout the course of their lifetime.</w:t>
      </w:r>
    </w:p>
    <w:p>
      <w:pPr>
        <w:spacing w:after="0" w:line="11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TYK2 inhibitor class emerged as a potentially safe and effective option for the treatment of PsO. Recent data from a Phase 2 dose-ranging placebo-controlled clinical trial of TAK-279, an allosteric TYK2 inhibitor, demonstrated a safety and efficacy profile similar to Sotyktu, with a greater proportion of patients achieving PASI 100 or sPGA0 at the 30 mg (highest) dose of TAK-279. Neither Sotyktu nor TAK-279 achieved complete inhibition of TYK2 throughout the dose interval in their Phase 2 PsO trials. Our Phase 2 STRIDE trial of ESK-001 is the first trial to test the hypothesis that higher degrees of target inhibition result in improved clinical outcomes without incurring safety or tolerability liabilities.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Our Phase 2 Program of ESK-001 in PsO</w:t>
      </w:r>
    </w:p>
    <w:p>
      <w:pPr>
        <w:spacing w:after="0" w:line="1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Phase 2 program is composed of STRIDE, a randomized, double-blind, placebo-controlled Phase 2 clinical trial in patients with PsO, and an open-label extension (OLE) trial in patients who completed our STRIDE trial. For our Phase 2 STRIDE trial, we selected a 12-week primary endpoint, which enabled us to benchmark against competitors and make a rapid Go-to-Phase 3 decision. We also included the OLE to help better define peak efficacy and long-term safety. The doses were selected to evaluate the safety, tolerability and efficacy of the full range of target inhibition.</w:t>
      </w:r>
    </w:p>
    <w:p>
      <w:pPr>
        <w:spacing w:after="0" w:line="10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Phase 2 STRIDE trial assessed the clinical efficacy, safety, PK and PD of ESK-001 compared to placebo. The trial enrolled 228 patients with PsO, demographically well-balanced across the six cohorts. Male and female patients ages 18 to 75 years old were randomized equally across six trial arms (approximately 35 patients per arm) to receive oral doses of ESK-001 at one of five dose levels (10 mg QD, 20 mg QD, 40 mg QD, 20 mg BID or 40 mg BID) or placebo. Key inclusion criteria were a baseline Psoriasis Area and Severity Index (PASI) score of at least 12, static Physician Global Assessment (sPGA) of at least 3, and body surface area (BSA) of at least 10%. Randomization was stratified by prior use of biologics and geographic region.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primary endpoint of the trial was the proportion of patients achieving at least 75% improvement in PASI score at 12 weeks compared to placebo. Secondary objectives included additional efficacy evaluations, safety and tolerability and PK characterization of ESK-001.</w:t>
      </w:r>
    </w:p>
    <w:p>
      <w:pPr>
        <w:spacing w:after="0" w:line="10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Secondary endpoints included the proportion of patients achieving an sPGA score of “0” (“cleared”)​ or “1” (“minimal”), PASI 50, PASI 90 and PASI 100 after 12 weeks of treatment compared with placebo, the change from baseline in percent body surface area (BSA) and Dermatology Life Quality Index (DLQI) after 12 weeks of treatment compared with placebo, the incidence of Treatment Emergent Adverse Events (TEAEs) and Serious Adverse Events (SAEs), plasma concentrations and PK parameters of ESK-001.</w:t>
      </w:r>
    </w:p>
    <w:p>
      <w:pPr>
        <w:spacing w:after="0" w:line="114"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trial included a screening period of approximately four weeks. The treatment period of 12 weeks was followed by a safety follow-up period, also referred as the washout period, of four weeks during which the patients remained off drug. Eligible patients were then offered the opportunity to participate in the OLE trial following completion of the end-of-trial visit at Week 16. During the OLE trial, patients were assigned to receive ESK-001 at a dose of either 40 mg QD, which provides high but incomplete target inhibition, or 40 mg BID, which provides maximal target inhibition throughout the entire day.</w:t>
      </w:r>
    </w:p>
    <w:p>
      <w:pPr>
        <w:spacing w:after="0" w:line="12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Primary endpoint analyses were based on the intent-to-treat (ITT) approach. The primary endpoint analysis compared the proportion of patients in the active treatment groups with at least 75% improvement in PASI at Week 12 relative to baseline to placebo using the Cochran-Mantel-Haenszel test. A schematic representation of our Phase 2 STRIDE trial and OLE is shown in the figure below.</w:t>
      </w:r>
    </w:p>
    <w:p>
      <w:pPr>
        <w:spacing w:after="0" w:line="11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STRIDE and OLE Design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130175</wp:posOffset>
            </wp:positionV>
            <wp:extent cx="5212080" cy="17056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208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Results From Our Completed Phase 2 STRIDE Trial</w:t>
      </w:r>
    </w:p>
    <w:p>
      <w:pPr>
        <w:spacing w:after="0" w:line="14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baseline characteristics of the 228 patients enrolled in the trial were the following: mean age 48 years, 68% male, median disease duration 17.9 years, 40% with prior exposure to biologics or JAK inhibitors, and mean PASI score of 17.8. The proportion of sPGA score 3, 4, or 5 was 59%, 38% and 3%, respectively, and the mean BSA was 21%. Baseline characteristics were generally well balanced among all treatment arms. The baseline skin scores, duration of the disease and percent of patients previously treated with biologics indicated that it was a patient population with long-standing active disease. In our Phase 2 STRIDE trial, 204 patients completed the trial—90% of patients in the active treatment groups completed the trial, compared to 87% in the placebo group.</w:t>
      </w:r>
    </w:p>
    <w:p>
      <w:pPr>
        <w:spacing w:after="0" w:line="33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Phase 2 STRIDE trial achieved its primary endpoint at all dose levels with a clear dose response. Compared to placebo, a meaningfully greater proportion of patients treated with ESK-001 at all doses showed PASI 75 response rates at Week 12. All secondary endpoints were met at the higher dose levels. PASI 90 responses were significantly higher than placebo at doses of 20 mg QD and above, and PASI 100 response rates were significantly higher than placebo at doses of 20 mg BID, 40 mg QD and 40 mg BID. For the highest dose of 40 mg BID, PASI 75, PASI 90 and PASI 100 response rates were 64%, 39% and 15% respectively, compared to 0% in the placebo group. PASI responses at Week 12 are shown in the first figure below. There were statistically significant differences at Week 12 among patients treated with ESK-001 at doses of 40 mg QD and above relative to placebo in achieving sPGA 0/1, PASI 90 and sPGA 0 (nominal p&lt;0.05), with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highest response observed in the ESK-001 40 mg BID arm. sPGA responses over time are shown in the second figure below. PASI response did not appear to reach a plateau at week 12 and remained on an upward trajectory. PASI response was similar in biologic-naïve and biologic-experienced patients. Treatment with ESK-001 resulted in more patients achieving improvement in quality of life (measured by Dermatology Life Quality Index, DLQI) relative to placebo-treated patients. As shown in the table below, 64% of patients achieved DLQI 0/1 (indicating no or minimal impact on quality of life) at 40 mg BID ESK-001 compared to 18% in the placebo arm. Pruritus (itch) as assessed by the Pruritus Numerical Rating Scale (NRS) also showed significant improvement in a dose dependent manner.</w:t>
      </w:r>
    </w:p>
    <w:p>
      <w:pPr>
        <w:spacing w:after="0" w:line="1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STRIDE Trial PASI Responses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121285</wp:posOffset>
            </wp:positionV>
            <wp:extent cx="5160645" cy="24003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6064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*p&lt;0.05; **p&lt;0.005; ***p&lt;0.001.</w:t>
      </w:r>
    </w:p>
    <w:p>
      <w:pPr>
        <w:spacing w:after="0" w:line="6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4"/>
          <w:szCs w:val="14"/>
          <w:color w:val="auto"/>
        </w:rPr>
        <w:t>Note: P-value is comparing proportion in each active arm vs placebo using the Cochran-Mantel-Haenszel test adjusted for stratification factors (prior use of biologics and geographic region (North American vs. ROW)). NRI imputation was applied for subjects who discontinued study.</w:t>
      </w:r>
    </w:p>
    <w:p>
      <w:pPr>
        <w:spacing w:after="0" w:line="25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STRIDE Trial sPGA Responses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130175</wp:posOffset>
            </wp:positionV>
            <wp:extent cx="5160645" cy="2434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6064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*p&lt;0.05; **p&lt;0.005; ***p&lt;0.001.</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 P-value is comparing proportion in each active arm vs placebo using the Cochran-Mantel-Haenszel test adjusted for stratification</w:t>
      </w:r>
    </w:p>
    <w:p>
      <w:pPr>
        <w:spacing w:after="0" w:line="17"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4"/>
          <w:szCs w:val="14"/>
          <w:color w:val="auto"/>
        </w:rPr>
        <w:t>factors (prior use of biologics and geographic region (North American vs. ROW)). NRI imputation was applied for subjects who discontinued study.</w:t>
      </w:r>
    </w:p>
    <w:p>
      <w:pPr>
        <w:sectPr>
          <w:pgSz w:w="11900" w:h="16838" w:orient="portrait"/>
          <w:cols w:equalWidth="0" w:num="1">
            <w:col w:w="9879"/>
          </w:cols>
          <w:pgMar w:left="580" w:top="97" w:right="1440" w:bottom="1440" w:gutter="0" w:footer="0" w:header="0"/>
        </w:sect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STRIDE Trial Patient Reported Outcomes: DLQI and Pruritus NRS at Week 12</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DLQI-0/1*</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Pruritus NRS,</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Pruritus NRS,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160" w:type="dxa"/>
            <w:vAlign w:val="bottom"/>
            <w:gridSpan w:val="4"/>
          </w:tcPr>
          <w:p>
            <w:pPr>
              <w:ind w:left="21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 patients)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On Average**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At Worst**</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w:t>
            </w:r>
          </w:p>
        </w:tc>
        <w:tc>
          <w:tcPr>
            <w:tcW w:w="230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vMerge w:val="continue"/>
            <w:shd w:val="clear" w:color="auto" w:fill="CCEEFF"/>
          </w:tcPr>
          <w:p>
            <w:pPr>
              <w:spacing w:after="0"/>
              <w:rPr>
                <w:sz w:val="21"/>
                <w:szCs w:val="21"/>
                <w:color w:val="auto"/>
              </w:rPr>
            </w:pPr>
          </w:p>
        </w:tc>
        <w:tc>
          <w:tcPr>
            <w:tcW w:w="230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​-0.97</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40 mg BID</w:t>
            </w:r>
          </w:p>
        </w:tc>
        <w:tc>
          <w:tcPr>
            <w:tcW w:w="2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​-5.09</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40 mg QD</w:t>
            </w:r>
          </w:p>
        </w:tc>
        <w:tc>
          <w:tcPr>
            <w:tcW w:w="230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​-4.58</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 mg BID</w:t>
            </w:r>
          </w:p>
        </w:tc>
        <w:tc>
          <w:tcPr>
            <w:tcW w:w="2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 mg QD</w:t>
            </w:r>
          </w:p>
        </w:tc>
        <w:tc>
          <w:tcPr>
            <w:tcW w:w="230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10mg QD</w:t>
            </w:r>
          </w:p>
        </w:tc>
        <w:tc>
          <w:tcPr>
            <w:tcW w:w="2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-1019810</wp:posOffset>
            </wp:positionV>
            <wp:extent cx="464629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64629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102870</wp:posOffset>
            </wp:positionV>
            <wp:extent cx="5486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68" w:lineRule="exact"/>
        <w:rPr>
          <w:sz w:val="20"/>
          <w:szCs w:val="20"/>
          <w:color w:val="auto"/>
        </w:rPr>
      </w:pPr>
    </w:p>
    <w:p>
      <w:pPr>
        <w:ind w:left="1620" w:hanging="360"/>
        <w:spacing w:after="0"/>
        <w:tabs>
          <w:tab w:leader="none" w:pos="16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Proportion of patients achieving DLQI-0/1 at Week 12 primary endpoint</w:t>
      </w:r>
    </w:p>
    <w:p>
      <w:pPr>
        <w:spacing w:after="0" w:line="69" w:lineRule="exact"/>
        <w:rPr>
          <w:sz w:val="20"/>
          <w:szCs w:val="20"/>
          <w:color w:val="auto"/>
        </w:rPr>
      </w:pPr>
    </w:p>
    <w:p>
      <w:pPr>
        <w:ind w:left="1620" w:right="419" w:hanging="360"/>
        <w:spacing w:after="0" w:line="261" w:lineRule="auto"/>
        <w:tabs>
          <w:tab w:leader="none" w:pos="16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Mean change from Baseline to Week 12 in pruritus NRS (scored 0-10: severity of itch, on average or at worst, within the past 24 hours)</w:t>
      </w:r>
    </w:p>
    <w:p>
      <w:pPr>
        <w:spacing w:after="0" w:line="30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ESK-001 was generally well-tolerated. During the randomized, placebo-controlled portion of the trial, 40% of patients in the placebo group and 50% of patients in the combined active treatment groups reported AEs, the majority of which were mild to moderate. One patient experienced a SAE in the 10 mg QD group (lower limb fracture). No SAEs were considered related to ESK-001. No AEs typically associated with JAK inhibition (e.g., Major Adverse Cardiovascular Events, cytopenias, treatment related thromboses) were observed. The most common AEs reported by patients across the active arms were headaches, upper respiratory tract infections, and nasopharyngitis. Five patients (3%) treated with ESK-001 discontinued treatment due to AEs. Treatment with ESK-001 resulted in no clinically significant changes from baseline in mean values of lipid levels, blood counts, serum levels of liver enzymes, creatinine, ECG results or vital signs. AEs collected through the end of the study (Week 16) are summarized in the table below including the most frequent TEAEs (in three or more patients) observed in any active treatment arm.</w:t>
      </w:r>
    </w:p>
    <w:p>
      <w:pPr>
        <w:spacing w:after="0" w:line="12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Summary of Adverse Events in our Phase 2 STRIDE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130175</wp:posOffset>
            </wp:positionV>
            <wp:extent cx="5168900" cy="23831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6890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Preliminary Results from the Ongoing OLE Trial</w:t>
      </w:r>
    </w:p>
    <w:p>
      <w:pPr>
        <w:spacing w:after="0" w:line="16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randomized, placebo-controlled portion of our Phase 2 program was followed by an ongoing OLE, which we designed to evaluate the safety and efficacy of long-term treatment with ESK-001 in patients with PsO. As is typical for open label extensions, the ongoing OLE was not powered for statistical significance. Patients who completed the randomized placebo-controlled part of the trial were eligible to participate in the OLE, and 95% of all eligible patients opted to participate. Treatment relevant baseline characteristics and clinical response rates at week 12 were similar between the overall STRIDE population and the subset enrolled in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OLE. Patients in the Czech Republic (25) did not participate in the OLE because local regulatory requirements would not have been consistent with the global protocol and five patients did not meet the OLE inclusion criteria.</w:t>
      </w:r>
    </w:p>
    <w:p>
      <w:pPr>
        <w:spacing w:after="0" w:line="32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Patients were assigned to receive oral doses of ESK-001 at one of two open-label dose levels (40 mg QD or 40 mg BID). Patients, investigators and site staff remained blinded to the treatment assignment in the parent trial. As of March 2024, we amended the protocol to provide that all patients are to receive the 40 mg BID dose going forward as we determined this dose to represent the optimal risk benefit.</w:t>
      </w:r>
    </w:p>
    <w:p>
      <w:pPr>
        <w:spacing w:after="0" w:line="11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Interim results from the OLE are presented below and represent a data cut as of March 1, 2024 by which all patients in the study had reached 28 weeks of treatment. Data are presented both “as observed” ​(AO) and after applying a modified non-responder imputation (mNRI) where patients who discontinued study due to adverse event or inadequate response were imputed as non-responders for all time points after study drug discontinuation, and for patients who discontinued study for all other reasons the last observation was carried forward. mNRI analysis is performed only for those time points where all patients on study have reached at the time of the data cut. Additional data cuts will be generated in the future as the study progresses. We expect PsO OLE data updates in the fourth quarter of 2024 and also in 2025.</w:t>
      </w:r>
    </w:p>
    <w:p>
      <w:pPr>
        <w:spacing w:after="0" w:line="111"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As shown in the figure below, as of the March 1, 2024 data cut, PASI 75, PASI 90 and PASI 100 responses continued to increase over time such that by Week 28 of the OLE, in the AO group over 90% of patients had achieved PASI 75, over 70% had achieved PASI 90 response, and 35% had achieved PASI 100 based on AO data. This data confirms the dose-dependence relationship observed in our Phase 2 STRIDE trial, with the highest response rates and maximal TYK2 inhibition achieved at the highest dose of 40 mg BID.</w:t>
      </w:r>
    </w:p>
    <w:p>
      <w:pPr>
        <w:spacing w:after="0" w:line="11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i w:val="1"/>
          <w:iCs w:val="1"/>
          <w:color w:val="auto"/>
        </w:rPr>
        <w:t>OLE ESK-001 40 mg BID Cohort</w:t>
      </w:r>
    </w:p>
    <w:p>
      <w:pPr>
        <w:spacing w:after="0" w:line="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As Observed (AO) and modified Non-Responder Imputation (mNRI) Analyses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125730</wp:posOffset>
            </wp:positionV>
            <wp:extent cx="5057775" cy="26060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5777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mNRI: modified Non-Responder Imputation</w:t>
      </w:r>
    </w:p>
    <w:p>
      <w:pPr>
        <w:spacing w:after="0" w:line="14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order to better assess the potential impact of ESK-001, excluding the washout period, we analyzed the PASI 75 response rates by parent study dose for patients rolling into the 40 mg BID OLE cohort (see figure below). This analysis revealed that patients reached very high proportions of PASI 75 responses irrespective of which dose they were assigned to in the randomized controlled parent study. Focusing on the PASI 75 response rates of patients who initially received placebo in the parent study treatment cohort demonstrates that these patients were able to achieve PASI 75 score of 75% by week 12, 86% by week 16 and 100% by week 28 of the OLE trial. This demonstrates ESK-001’s ability to deliver sustained increases in PASI responses over time, particularly beyond week 12.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i w:val="1"/>
          <w:iCs w:val="1"/>
          <w:color w:val="auto"/>
        </w:rPr>
        <w:t>As Observed PASI 75 Responses for the 40 mg BID Cohort in the OLE by Parent Study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147320</wp:posOffset>
            </wp:positionV>
            <wp:extent cx="4903470" cy="24174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0347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To compare the clinical outcome of maximal vs. incomplete TYK2 inhibition, patients in the second cohort in the OLE trial were assigned to receive a lower dose (40 mg QD), which provides high but incomplete TYK2 inhibition. Patients who received this lower dose also had increasing response rates over time, up to 73% at week 28 of the OLE trial. However, peak response rates were substantially below those observed with the 40 mg BID dose, demonstrating that maximal inhibition of TYK2 throughout the entire dose interval is essential to achieve optimal efficacy.</w:t>
      </w:r>
    </w:p>
    <w:p>
      <w:pPr>
        <w:spacing w:after="0" w:line="1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As Observed PASI Responses in the OLE 40 mg QD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61595</wp:posOffset>
            </wp:positionV>
            <wp:extent cx="4920615" cy="2451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2061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ESK-001 continued to be well tolerated at both doses in the OLE. A summary of the adverse events as of the March 1, 2024 data cut is shown in the table below including the most frequent TEAEs (in three or more patients) observed in any treatment arm. The proportion of patients reporting any treatment-emergent AE was 50% in the 40 mg QD group, and 55% in the 40 mg BID group. The most common AEs were upper respiratory tract infections, nasopharyngitis and headaches.</w:t>
      </w:r>
    </w:p>
    <w:p>
      <w:pPr>
        <w:spacing w:after="0" w:line="3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i w:val="1"/>
          <w:iCs w:val="1"/>
          <w:color w:val="auto"/>
        </w:rPr>
        <w:t>Summary of Treatment Emergent Adverse Events (TEAE) in OLE as of March 1, 2024 Data 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147320</wp:posOffset>
            </wp:positionV>
            <wp:extent cx="4860290" cy="28886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6029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As of May 31, 2024, there have been six SAEs in the OLE trial. Two SAEs were considered potentially related: a case of wrist arthritis (40mg QD) in a patient with a history of gout and osteoarthritis; and a case of peritonsillar abscess (40mg BID) following COVID-19 infection that required treatment with antibiotics. Four additional SAEs were considered unrelated by the investigator, by us, or by both: a case of sepsis in a patient with diabetic leg ulcers (40mg BID); a case of dyspnea (40mg QD); a case of EGFR-positive, adenocarcinoma of the lung (40mg QD) in a patient with a strong familial history of lung cancer; and a case of advanced renal cell carcinoma (40mg BID) which, due to its large size and the slow-growing nature of renal cell carcinomas, very likely preceded exposure to ESK-001. In both cases of malignancy, the investigator could not definitively rule out relationship to ESK-001 but in our assessment, both cases were unrelated to ESK-001 treatment. Additionally, the adenocarcinoma of the lung (NSCLC) occurred after four weeks from the last dose and therefore is considered non-treatment-emergent and not shown in the table above.</w:t>
      </w:r>
    </w:p>
    <w:p>
      <w:pPr>
        <w:spacing w:after="0" w:line="340"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In summary, our STRIDE Phase 2 clinical trial and open label extension trial in PsO demonstrated that ESK-001 at a dose of 40 mg BID was generally well tolerated and showed clinical benefits. The PASI response was closely linked to the degree of TYK2 inhibition achieved, such that maximal target inhibition led to a significant increase in PASI response, whereas incomplete target inhibition led to a significant step down in PASI response. We believe this data supports advancement of ESK-001 into Phase 3 trials in PsO.</w:t>
      </w:r>
    </w:p>
    <w:p>
      <w:pPr>
        <w:spacing w:after="0" w:line="10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further assessed the degree of TYK2 inhibition utilizing blood and skin biomarkers. We measured a panel of biomarkers in whole blood using RNA-seq, and within skin biopsies obtained from a subset of STRIDE patients before treatment with ESK-001 (baseline) and at various time points after the treatment with ESK-001 or placebo. The figure below shows increasingly deep suppression of the type I IFN signature with increasing doses of ESK-001. This inhibition occurred within 2 weeks of initiating treatment and was reversed when treatment was discontinued during the washout period (reflected in the pink bars in the figure below). These blood and skin biopsy biomarker data confirm the maximal target inhibition at the 40 mg BID dose, as demonstrated by the plateau of inhibition of the type I IFN signature, and a return to non-lesional levels of additional TYK2 pathway and disease relevant markers in skin.</w:t>
      </w:r>
    </w:p>
    <w:p>
      <w:pPr>
        <w:spacing w:after="0" w:line="200" w:lineRule="exact"/>
        <w:rPr>
          <w:sz w:val="20"/>
          <w:szCs w:val="20"/>
          <w:color w:val="auto"/>
        </w:rPr>
      </w:pPr>
    </w:p>
    <w:p>
      <w:pPr>
        <w:spacing w:after="0" w:line="2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i w:val="1"/>
          <w:iCs w:val="1"/>
          <w:color w:val="auto"/>
        </w:rPr>
        <w:t>STRIDE Trial: Inhibition of the Type I IFN Signature at Trough in Patient Whole 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130175</wp:posOffset>
            </wp:positionV>
            <wp:extent cx="5134610" cy="2074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3461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4"/>
          <w:szCs w:val="14"/>
          <w:color w:val="auto"/>
        </w:rPr>
        <w:t>Note: Blood samples collected at trough. All patients on study with available samples included in analysis. Far right shaded columns for each dose reflect samples from the end of the 4-week washout period.</w:t>
      </w:r>
    </w:p>
    <w:p>
      <w:pPr>
        <w:spacing w:after="0" w:line="10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We also wanted to characterize the target inhibition in the relevant tissue, the skin. We obtained skin biopsies from a subset of the patients in the STRIDE study and measured the mRNA in various key TYK2 pathways as well as in known disease biomarkers of PsO (see figure below). Lesional and non-lesional skin biopsy samples were probed for the expression of certain cytokines and disease-related biomarkers using RNA-seq. Paired lesional and non-lesional biopsy samples were obtained at baseline (shown in the middle and on the left of each plot chart on the figure below) and a lesional sample was obtained after 12 weeks of treatment with ESK-001 (shown on the right of the plot chart). This analysis demonstrated that for most analytes, increased expression of inflammatory cytokines and disease biomarkers returned to non-lesional levels after treatment with ESK-001, except for patients who received the placebo.</w:t>
      </w:r>
    </w:p>
    <w:p>
      <w:pPr>
        <w:spacing w:after="0" w:line="11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i w:val="1"/>
          <w:iCs w:val="1"/>
          <w:color w:val="auto"/>
        </w:rPr>
        <w:t>STRIDE Trial: Expression of Inflammatory Cytokines and Disease Biomarkers in PsO Skin Biopsies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130175</wp:posOffset>
            </wp:positionV>
            <wp:extent cx="5194935" cy="23749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94935"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 ESK-001 Psoriasis Phase 2 Skin biopsy RNA-seq.</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Skin biopsies collected in subset of patients, all available skin biopsy samples with valid RNAseq data included in analysis.</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Proposed Phase 3 Clinical Trials of ESK-001 in PsO</w:t>
      </w:r>
    </w:p>
    <w:p>
      <w:pPr>
        <w:spacing w:after="0" w:line="1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Phase 3 development program includes two identical, global, randomized, double-blind, placebo-controlled studies to evaluate the efficacy and safety of ESK-001 in adult patients with PsO. We plan to</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conduct these trials in North America, Europe, Latin America, Australia and Asia. Comparators will include placebo (though Week 16) and Otezla (through Week 24). Otezla was selected as a comparator for multiple reasons, including without limitation: (i) Otezla is the benchmark comparator for evaluating PASI efficacy and was the comparator on which Sotyktu was approved; (ii) placebo is not an appropriate comparator past Week 16 due to ethical concerns of administering placebo beyond that point without rescue options, which options would introduce confounding statistical complications; (iii) using Otezla as a comparator allows our trials to have an active comparator out to Week 24; (iv) Otezla is one of the most widely used psoriasis oral drugs with a well-recognized and established safety and efficacy profile on which to compare ESK-001; and (v) Otezla’s established safety and efficacy profile allows accurate statistical powering of our Phase 3 clinical trials.</w:t>
      </w:r>
    </w:p>
    <w:p>
      <w:pPr>
        <w:spacing w:after="0" w:line="32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co-primary endpoints will be PASI 75 and sPGA 0/1 at Week 16. Key secondary endpoints will include PASI 90, PASI 100, and sPGA 0 measured at Weeks 16 and Week 24. In addition, patient-reported outcomes including quality of life measures and pruritus will be captured. Patients completing Week 24 will have the opportunity to participate in a 52-week long-term extension (LTE) trial that will evaluate durability and maintenance of response and long-term safety for inclusion in the NDA submission. In addition, we are considering conducting other active comparator trials. These trials are not expected to be part of the NDA submission in the United States.</w:t>
      </w:r>
    </w:p>
    <w:p>
      <w:pPr>
        <w:spacing w:after="0" w:line="11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have received and incorporated feedback from the FDA and the Committee for Medicinal Products for Human Use (CHMP) in Europe in our proposed Phase 3 program in PsO, and regulatory feedback from the PMDA in Japan has been requested.</w:t>
      </w:r>
    </w:p>
    <w:p>
      <w:pPr>
        <w:spacing w:after="0" w:line="10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Enrollment in our two Phase 3 pivotal trials is expected to commence in the second half of 2024, and top line results are expected in 2026.</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ESK-001 for the treatment of Systemic Lupus Erythematosus (SLE)</w:t>
      </w:r>
    </w:p>
    <w:p>
      <w:pPr>
        <w:spacing w:after="0" w:line="3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SLE Overview</w:t>
      </w:r>
    </w:p>
    <w:p>
      <w:pPr>
        <w:spacing w:after="0" w:line="16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SLE is a chronic autoimmune disease predominantly affecting women at childbearing age. Clinical manifestations are highly heterogeneous, and the disease typically waxes and wanes, with flares and periods of relative remission. Certain loss-of-function variants of TYK2 significantly decrease the risk of SLE.</w:t>
      </w:r>
    </w:p>
    <w:p>
      <w:pPr>
        <w:spacing w:after="0" w:line="10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While mortality in SLE has decreased since the mid-20th century as a result of improved treatments, the disease remains associated with increased disability and loss of social and occupational functioning and high utilization of health care resources.</w:t>
      </w:r>
    </w:p>
    <w:p>
      <w:pPr>
        <w:spacing w:after="0" w:line="10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Treatment for SLE varies and, in general, is proportional to the severity of the disease manifestations. Hydroxychloroquine or other antimalarials are widely used along with corticosteroids and immunosuppressives/immunomodulators for moderate to severe SLE and are responsible for significant long-term toxicity and excess mortality. Causes of death in SLE patients are primarily related to infection, as well as accelerated cardiovascular disease or end organ failure.</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Overview of the SLE Market</w:t>
      </w:r>
    </w:p>
    <w:p>
      <w:pPr>
        <w:spacing w:after="0" w:line="146"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Over 240,000 people have SLE in the United States (and approximately 3.4 million globally), with an annual growth rate of 1%. 68% of these U.S. SLE patients have moderate -to-severe SLE, and 72% of moderate-to-severe SLE patients are drug treated in the United States. Over 72,000 people in the United States have SLE with lupus nephritis, a serious complication of SLE. Approximately 90% of lupus nephritis patients with Class III and above disease are drug treated in the United States.</w:t>
      </w:r>
    </w:p>
    <w:p>
      <w:pPr>
        <w:spacing w:after="0" w:line="110"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The pharmaceutical drug market for SLE was approximately $1.8 billion in the United States in 2023 (and approximately $ 2 billion globally), and is forecasted to increase to approximately $2.7 billion by 2030 (and over $4 billion globally) due to the increase in SLE patient population and the development of new therapies for SLE.</w:t>
      </w:r>
    </w:p>
    <w:p>
      <w:pPr>
        <w:spacing w:after="0" w:line="323"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therapies available for the treatment of SLE include anti-malarial therapies, corticosteroids, immunosuppressive agents and biologic therapies. There are currently only two targeted therapies approved</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for SLE in the United States—Benlysta and Saphnelo. There remains a strong unmet need for more effective and safe therapies to treat SLE, as these are the only two therapies approved since the 1950s and oral corticosteroids with or without broad immunosuppressants are still widely used, and such biologics treatment is only effective in a subset of patients.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Rationale for Targeting TYK2 in the Treatment of SLE</w:t>
      </w:r>
    </w:p>
    <w:p>
      <w:pPr>
        <w:spacing w:after="0" w:line="146"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importance of the type I IFN pathway is well established in SLE. Type I IFN regulated genes and proteins are elevated in SLE patient serum, skin, joints, and kidneys, driving disease activity and flares. The type I IFN receptor signals through TYK2 to drive T-cell activation, enhanced natural killer (NK) cell activity, dendritic cell maturation and neutrophil extracellular traps formation. The IL-23/IL-12 pathways are less well characterized in SLE compared to psoriasis. IL-23 levels have been shown to be higher in active as compared to inactive SLE biopsy samples, and glomerular IL-23 appears to correlate with severity of kidney inflammation.</w:t>
      </w:r>
    </w:p>
    <w:p>
      <w:pPr>
        <w:spacing w:after="0" w:line="284" w:lineRule="exact"/>
        <w:rPr>
          <w:sz w:val="20"/>
          <w:szCs w:val="20"/>
          <w:color w:val="auto"/>
        </w:rPr>
      </w:pPr>
    </w:p>
    <w:p>
      <w:pPr>
        <w:jc w:val="both"/>
        <w:ind w:left="1260" w:right="419"/>
        <w:spacing w:after="0" w:line="233" w:lineRule="auto"/>
        <w:rPr>
          <w:sz w:val="20"/>
          <w:szCs w:val="20"/>
          <w:color w:val="auto"/>
        </w:rPr>
      </w:pPr>
      <w:r>
        <w:rPr>
          <w:rFonts w:ascii="Times New Roman" w:cs="Times New Roman" w:eastAsia="Times New Roman" w:hAnsi="Times New Roman"/>
          <w:sz w:val="18"/>
          <w:szCs w:val="18"/>
          <w:color w:val="auto"/>
        </w:rPr>
        <w:t>Sotyktu has been studied in a 48-week Phase 2 clinical trial in adults (n=363) with active SLE. The primary endpoint was the SLE Responder Index 4 (SRI-4) at Week 32 across four groups randomized 1:1:1:1 to receive Sotyktu 3 mg twice daily, 6 mg twice daily, 12 mg once daily, or placebo. This study met its primary and several secondary and exploratory endpoints. Sotyktu showed higher response rates relative to placebo at all dose levels, but there did not appear to be a clear dose response relationship. Overall rates of AEs were similar across groups, except for higher rates of infections and cutaneous events, including rash and acne, with Sotyktu treatment. Patient drop-out rates were higher at higher doses. Rates of SAEs were comparable across dose cohorts, with no deaths, opportunistic infections, tuberculosis infections, major adverse cardiovascular events or thrombotic events reported.</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Ongoing Phase 2b LUMUS trial of ESK-001 in SLE</w:t>
      </w:r>
    </w:p>
    <w:p>
      <w:pPr>
        <w:spacing w:after="0" w:line="133"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We are currently conducting LUMUS, a Phase 2b, 48-week, global, placebo -controlled, double-blind, randomized, clinical trial evaluating ESK-001 in patients with moderate-to-severe active SLE, in the United States, Europe, the UK, Latin America and APAC countries. Subsequently, we plan to conduct a confirmatory Phase 3 clinical trial prior to seeking regulatory approval.</w:t>
      </w:r>
    </w:p>
    <w:p>
      <w:pPr>
        <w:spacing w:after="0" w:line="11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trial is enrolling patients with autoantibody positive SLE diagnosed per the 2019 EULAR/ACR criteria more than six months prior to screening, and with evidence of active disease per both Systemic Lupus Erythematosus Disease Activity Index—2K (SLEDAI-2K) and British Isles Lupus Assessment Group index (BILAG) (both validated composite outcome measures of lupus disease activity), despite current treatment with corticosteroids and/or any of the following: antimalarials, methotrexate, azathioprine, or a combination of these treatments.</w:t>
      </w:r>
    </w:p>
    <w:p>
      <w:pPr>
        <w:spacing w:after="0" w:line="28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We plan to enroll 338 patients in three active dose arms and a placebo arm with randomization ratio of 1:1:1:1. The trial is designed to test the efficacy, safety and optimal dose regimen of ESK-001 in patients with active SLE. The primary endpoint is BICLA response (a validated composite measure of lupus disease activity) at Week 48. The trial is designed to potentially serve as the first of two pivotal trials. It is accompanied by an open label extension trial. An extensive array of biomarker samples is being collected in order to help identify biomarkers associated with response or non-response, potentially enabling future stratification and/or selection of patients most likely to respond. A schematic of the trial design is shown in the figure below.</w:t>
      </w:r>
    </w:p>
    <w:p>
      <w:pPr>
        <w:spacing w:after="0" w:line="2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expect to report data in 2026.</w:t>
      </w:r>
    </w:p>
    <w:p>
      <w:pPr>
        <w:spacing w:after="0" w:line="1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LUMUS Phase 2b Trial Design in SLE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130175</wp:posOffset>
            </wp:positionV>
            <wp:extent cx="5126355" cy="1183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26355" cy="11830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Potential Additional Indications of Interest</w:t>
      </w:r>
    </w:p>
    <w:p>
      <w:pPr>
        <w:spacing w:after="0" w:line="16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Crohn’s disease (CD) impacts approximately 700,000 people in the United States (and over 1.5 million people globally), with an annual growth rate of approximately 1%. 63% of patients have moderate-to-severe/fulminant CD, and over 84% of moderate-to-severe CD patients are drug treated. The pharmaceutical drug market for CD was approximately $8.1 billion in the United States in 2023 (and approximately $10.1 billion globally), and is forecasted to increase to over $10.8 billion by 2030 (and over $13 billion globally) due to the increase in CD patient population and the development of new therapies for CD. There are a number of therapies available for the treatment of CD, including steroids, tumor necrosis factor (TNF) inhibitors, interleukin inhibitors, anti-integrin biologics, a JAK inhibitor and other systemic therapies. Humira and Entyvio are the most used biologics in their categories. There is currently one oral therapy approved for CD in the United States—Rinvoq. Rinvoq is an oral JAK inhibitor, which carries a black box warning for JAK-related AEs, and is advised for use after a TNF inhibitor.</w:t>
      </w:r>
    </w:p>
    <w:p>
      <w:pPr>
        <w:spacing w:after="0" w:line="121"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Ulcerative colitis (UC) impacts over 618,000 people in the United States (and over 1.9 million people globally), with an annual growth rate of approximately 1%. Over 70% of patients have moderate-to-severe/fulminant UC, and over 80% of moderate-to-severe UC patients are drug treated. The pharmaceutical drug market for UC was approximately $5.3 billion in the United States in 2023 (and approximately $7.7 billion globally), and is forecasted to increase substantially to approximately $6.1 billion by 2030 (and over $9 billion globally) due to the increase in UC patient population and the development of new therapies for UC. There are a number of therapies available for the treatment of UC, including steroids, TNF inhibitors, interleukin inhibitors, anti-integrin biologics, JAK inhibitors, an S1P1 receptor and other systemic therapies. Humira and Entyvio are the most used biologics in their categories. There are three oral therapies approved for UC in the United States—Xeljanz,​ Rinvoq and Zeposia. Xeljanz and Rinvoq are oral JAK inhibitors, which carry a black box warning for JAK-related AEs, and are advised for use after a TNF inhibitor. Zeposia is an S1P modulator approved in 2021.</w:t>
      </w:r>
    </w:p>
    <w:p>
      <w:pPr>
        <w:spacing w:after="0" w:line="327"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Psoriatic arthritis (PsA) impacts over 623,000 people in the United States (and over 1.4 million people globally), with an annual growth rate of 1%. 68% of patients have moderate-to-severe PsA, and over 53% of moderate-to-severe PsA patients are drug treated. The pharmaceutical drug market for PsA was approximately $6.3 billion in the United States in 2023 (and approximately $8.1 billion globally), and is forecasted to increase substantially to approximately $7.2 billion by 2030 (and over $9 billion globally) due to the increase in PsA patient population and the development of new therapies for PsA. There are a number of therapies available for the treatment of PsA, including TNF inhibitors, interleukin inhibitors, biologic therapies, JAK inhibitors and other systemic therapies. Humira is the most used TNF inhibitor among moderate-to-severe PsA patients. Stelara is the most used biologic in the anti-IL-12/23 category. There are three oral therapies for PsA approved in the United States—Xeljanz, Rinvoq and Otezla. Xeljanz and Rinvoq are oral JAK inhibitors, which carry a black box warning for JAK-related AEs, and are advised for use after a TNF inhibitor.</w:t>
      </w: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Once daily oral formulation of ESK-001</w:t>
      </w:r>
    </w:p>
    <w:p>
      <w:pPr>
        <w:spacing w:after="0" w:line="266"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are currently developing a once daily modified release (MR) oral formulation of ESK-001 that can replace our current immediate release (IR) oral formulation that is dosed twice daily. Our target profile is an MR product that has comparable pharmacokinetic (PK) and pharmacodynamic (PD) behavior to the 40 mg IR twice daily dose utilized in our Phase 2 clinical trials to date. We plan to initiate human studies in order to identify the best MR formulation. We plan to use this formulation to advance our clinical programs and to introduce it between the time of PsO approval or via a supplemental NDA within the first year post approval.</w:t>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A-005: Our CNS-Penetrant Allosteric TYK2 Inhibitor</w:t>
      </w:r>
    </w:p>
    <w:p>
      <w:pPr>
        <w:spacing w:after="0" w:line="14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 xml:space="preserve">The second clinical product candidate in our TYK2 franchise, A-005, is a highly differentiated, CNS-penetrant, allosteric TYK2 inhibitor that has potential applications in multiple sclerosis (MS) and other neurological diseases. A loss-of-function mutation in the TYK2 gene has been shown to have a protective effect in MS. In preclinical studies, A-005 has recapitulated the protective effects reported with the TYK2 genetic loss-of-function in prophylactic and therapeutic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EAE models of neuroinflammation. We have completed investigational new drug (IND) enabling studies of A-005. In April 2024, we initiated a randomized, double-blind, placebo-controlled, multi-cohort Phase 1 study to assess the safety, PK, and PD of single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ascending doses (SAD) and multiple ascending doses (MAD) of orally administered A-005. The study’s primary endpoint is the safety and tolerability of SAD and MAD administration of A-005 in healthy volunteers. Each healthy volunteer in the SAD cohorts will receive a single oral dose of A-005 or placebo. Each healthy volunteer in the MAD cohorts will receive a QD or BID oral dose of A-005 or placebo for 14 days. If we meet the primary endpoint and PK data have been demonstrated in the SAD cohorts, we intend to include an open-label, one-cohort, single-dose study to assess the penetration of orally administered A-005 into the cerebrospinal fluid (CSF). We expect to report initial results by the end of 2024. We are targeting MS as our initial indication. Assuming favorable results in this study, we believe we can quickly establish proof of concept of A-005 for future Phase 2 study in MS given its potential to potently target neuroinflammatory processes.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Role of TYK2 in neuroinflammatory and neurodegenerative diseases.</w:t>
      </w:r>
    </w:p>
    <w:p>
      <w:pPr>
        <w:spacing w:after="0" w:line="146"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TYK2 pathways are active in CNS-resident immune cells and may play a localized role in the CNS contributing to the pathology of several CNS inflammatory disorders, including MS. Genome-wide association studies have shown the loss-of-function TYK2 genetic variant, P1104A, has a protective effect for the development of MS. An additional missense variant in TYK2, Rs35018800, has the largest effect on MS risk of any variant outside the MHC/HLA region discovered to date. In addition to its genetic association with MS, TYK2 is known to be expressed and functionally active in CNS-resident microglia. Microglia express IL-23 and interferon receptors and IL-23/IL-12 cytokines have been shown to localize to MS lesions. Activated microglia are associated with disease worsening in MS, and TYK2 inhibitors with adequate CNS exposure provide an opportunity to target neuroinflammation and neurodegeneration. We believe TYK2 inhibition has the potential to treat the neuroinflammatory component of other neurodegenerative diseases where activated microglia and/or TYK2 proinflammatory cytokines including interferon are implicated such as Alzheimer’s disease, ALS, optic neuritis, neuromyelitis optica, and Parkinson’s disease.</w:t>
      </w:r>
    </w:p>
    <w:p>
      <w:pPr>
        <w:spacing w:after="0" w:line="3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A-005 for the treatment of Multiple Sclerosis</w:t>
      </w:r>
    </w:p>
    <w:p>
      <w:pPr>
        <w:spacing w:after="0" w:line="15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MS is a chronic immune-mediated disease of the central nervous system. This condition causes a wide range of physical and cognitive challenges for those afflicted, often resulting in neurological symptoms and disabilities. Despite available treatments to manage symptoms and slow diseases progression, treatments are limited for progressive disease and a definitive cure remains elusive. Agents directly targeting the CNS pathology and CNS resident cells, including activated microglia, are of increasing interest as these are thought to impact progressive neurological impairment. The unmet need lies in finding safe and more effective targeted therapies that can halt or reverse the disease progression, alleviating the burden on patients and their families and improving their overall quality of life.</w:t>
      </w:r>
    </w:p>
    <w:p>
      <w:pPr>
        <w:spacing w:after="0" w:line="11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MS afflicts approximately 800,000 patients in the United States (and approximately 2.9 million people worldwide), with an annual growth rate of approximately 1%.</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global market size for MS is approximately $20 billion and is forecasted to increase substantially to over $30 billion by 2030 due to the increase in MS patient population, the development of new therapies for MS and projected increase in treatment rate.</w:t>
      </w:r>
    </w:p>
    <w:p>
      <w:pPr>
        <w:spacing w:after="0" w:line="95"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There are several therapies available for the treatment of relapsing forms of MS, including interferon beta regulators, monoclonal antibodies, synthetic immunomodulatory drugs and S1P receptor modulators. Few therapies exist for the progressive form of MS. Ocrevus (ocrelizumab), a CD20 antibody, is the most used injectable therapy in the United States for relapsing MS and is the only approved treatment option shown to slow progression of primary progressive multiple sclerosis (PPMS). There continues to be a high unmet need for a safe and efficacious oral therapies for progressive forms of MS.</w:t>
      </w:r>
    </w:p>
    <w:p>
      <w:pPr>
        <w:spacing w:after="0" w:line="2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A-005 Preclinical Validation</w:t>
      </w:r>
    </w:p>
    <w:p>
      <w:pPr>
        <w:spacing w:after="0" w:line="26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In our preclinical studies, A-005 was shown to bind to the TYK2 allosteric domain (JH2 domain) with picomolar binding affinity and potently inhibit receptor-mediated activation of pSTAT pathways downstream of IL-23, IL-12 and type I IFN receptor signaling in whole blood, PBMCs and microglial cells. As shown in the figure below, A-005 is highly potent and intrinsically selective for the TYK2 JH2 domain over all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protein kinases for which A-005 showed limited activity in a broad kinase screening panel, including the JAK family members. While potent in TYK2 pathways (IFNα, IL-12 or IL-23 stimulus), A-005 is devoid of JAK pharmacology in non-TYK2 driven (IL-2 and TPO stimulus) in immune cell assays. A-005 has a projected low QD dose, with an approximately 12 hour projected half-life.</w:t>
      </w:r>
    </w:p>
    <w:p>
      <w:pPr>
        <w:spacing w:after="0" w:line="11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Profile of A-005 Inhibition in Biochemical and Immune Cell Assays Demonstrates Potent and Selective</w:t>
      </w:r>
    </w:p>
    <w:p>
      <w:pPr>
        <w:spacing w:after="0" w:line="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Inhibition of TYK2 with no JAK-related Pharmacology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142875</wp:posOffset>
            </wp:positionV>
            <wp:extent cx="4311650" cy="18516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165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*Eurofins kinase panel hits &gt;90% at 1 µM A-005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135255</wp:posOffset>
            </wp:positionV>
            <wp:extent cx="4320540" cy="11918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2054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 TPO: thrombopoietin; pSTAT: phosphorylated signal transducer and activator of transcription</w:t>
      </w:r>
    </w:p>
    <w:p>
      <w:pPr>
        <w:spacing w:after="0" w:line="15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believe A-005 can potently target neuroinflammatory processes systemically and within the CNS. Our preclinical studies have shown that microglia express TYK2 and respond to TYK2 signaling cytokines such as IFNa and IL-23. A-005 can substantially inhibit TYK2 microglial responses in primary microglia derived from human induced pluripotent stem cell (iPSC) achieving maximal inhibition of IFNα induced pSTAT activation, returning to baseline non-stimulated levels with increasing A-005 concentration (see figure below). These results are similar to those observed with immune PBMCs.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i w:val="1"/>
          <w:iCs w:val="1"/>
          <w:color w:val="auto"/>
        </w:rPr>
        <w:t>A-005 Maximally Inhibits Activation of Human iPSC-Derived Microglia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147320</wp:posOffset>
            </wp:positionV>
            <wp:extent cx="5031740" cy="2220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31740"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When administered orally once a day, A-005 was protective in rodent models of EAE, which are commonly used to evaluate mechanisms of neuroinflammation. When administered prophylactically in an EAE model, A-005 showed a significant dose response and prevented disease at higher doses. A-005 disease reduction surpassed that of fingolimod, which is commonly used as a positive control in this model. In a therapeutic dosing EAE model, A-005 administered after disease onset resulted in significant suppression of established disease with once daily treatments again exceeding the benefit observed with fingolimod.</w:t>
      </w:r>
    </w:p>
    <w:p>
      <w:pPr>
        <w:spacing w:after="0" w:line="1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Prophylactic CNS EAE Model: Complete Suppression Achieved with Once Daily A-005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147320</wp:posOffset>
            </wp:positionV>
            <wp:extent cx="4972050" cy="24174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7205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260" w:right="419"/>
        <w:spacing w:after="0" w:line="302" w:lineRule="auto"/>
        <w:rPr>
          <w:sz w:val="20"/>
          <w:szCs w:val="20"/>
          <w:color w:val="auto"/>
        </w:rPr>
      </w:pPr>
      <w:r>
        <w:rPr>
          <w:rFonts w:ascii="Times New Roman" w:cs="Times New Roman" w:eastAsia="Times New Roman" w:hAnsi="Times New Roman"/>
          <w:sz w:val="14"/>
          <w:szCs w:val="14"/>
          <w:color w:val="auto"/>
        </w:rPr>
        <w:t>Note: Once daily oral dosing initiated 1 day prior to EAE induction. Mann-Whitney U-test vs vehicle, p&lt;0.05 for 1mg/kg (day 20-28); 3 mg/kg (day 20-28); 10 mg/kg (day 14-28); 30 mg/kg (day 14-28)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780" w:right="80"/>
        <w:spacing w:after="0" w:line="300" w:lineRule="auto"/>
        <w:rPr>
          <w:sz w:val="20"/>
          <w:szCs w:val="20"/>
          <w:color w:val="auto"/>
        </w:rPr>
      </w:pPr>
      <w:r>
        <w:rPr>
          <w:rFonts w:ascii="Times New Roman" w:cs="Times New Roman" w:eastAsia="Times New Roman" w:hAnsi="Times New Roman"/>
          <w:sz w:val="18"/>
          <w:szCs w:val="18"/>
          <w:i w:val="1"/>
          <w:iCs w:val="1"/>
          <w:color w:val="auto"/>
        </w:rPr>
        <w:t>Therapeutic CNS EAE Model: Dose-Dependent Suppression of Established Disease with Once Daily A-005 Treatment Initiated After Disease Onset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95885</wp:posOffset>
            </wp:positionV>
            <wp:extent cx="4989195" cy="2434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8919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4"/>
          <w:szCs w:val="14"/>
          <w:color w:val="auto"/>
        </w:rPr>
        <w:t>Note: Once daily oral dosing initiated at the onset of EAE clinical signs (# enrollment period, days 10 -13). Experiment continued until each mouse had been dosed for at least 21 days (day 34). Mann-Whitney U-test vs vehicle, p&lt;0.05 for 10 mg/kg (day 21, 25-27, 29-32, 34), 30 mg/kg (day 18-34).</w:t>
      </w:r>
    </w:p>
    <w:p>
      <w:pPr>
        <w:spacing w:after="0" w:line="107"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We assessed the ability of A-005 to transit across the blood brain barrier in rodents by comparing levels of A-005 present in the plasma with levels in the cerebrospinal fluid (CSF) and within the brain tissues at specified timepoints after oral administration. As shown in the figure below, near equivalent levels of A-005 were confirmed in the CSF and within the brain compared to measured free drug plasma levels adjusted for protein binding.</w:t>
      </w:r>
    </w:p>
    <w:p>
      <w:pPr>
        <w:spacing w:after="0" w:line="10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i w:val="1"/>
          <w:iCs w:val="1"/>
          <w:color w:val="auto"/>
        </w:rPr>
        <w:t>High CNS Penetration Confirmed with Oral Dosing of A-005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138430</wp:posOffset>
            </wp:positionV>
            <wp:extent cx="5168900" cy="20313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6890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First in human study</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April 2024, we initiated a randomized, double-blind, placebo-controlled, multi-cohort investigation under a U.S. IND to assess the safety, PK, and PD of single ascending doses (SAD) and multiple ascending doses (MAD) of orally administered A-005 in healthy volunteers. As part of the study we intend to include an open-label, single-dose cohort to assess the penetration of orally administered A-005 into the human CSF and expect to report initial results by the end of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Enrollment in our MS Phase 2 pivotal trials is expected to commence in 2025, and top line results are expected in 2026.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Discovery Programs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are building a pipeline of molecules with the potential to address a broad range of immune-mediated diseases. We pursue drug targets that have been previously validated by strong human genetic evidence or human clinical data. Our drug discovery efforts for our selected targets take advantage of structure-guided approaches built from public or proprietary crystallographic structures to enable use of advanced computational methods. These approaches enable optimization of traditional protein modulators, protein degraders, and targeted covalent inhibitors as appropriate. In addition, we have chosen targets that could be complementary for use in combination with our existing TYK2 franchise and to each other.</w:t>
      </w:r>
    </w:p>
    <w:p>
      <w:pPr>
        <w:spacing w:after="0" w:line="121"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For example, interferon regulatory factor 5 (IRF5) is a transcription factor that mediates signaling of several cytokines including type I IFN, IL-6, IL-12, IL-23, and TNF. It is a genetically supported target across multiple immune indications with known functional roles in both innate and adaptive immunity. IRF5 has been implicated in macrophage polarization, cell growth regulation, and apoptosis. It acts on innate immune responses via recognition of upstream self-nucleic acid-containing immune complexes and pathogens by toll like receptors (TLR), specifically: TLR7, TLR8 and TLR9 in the endosome via MyD88. Translocation of IRF5 to the nucleus following phosphorylation by IKKβ is critical to the pathogenesis of many immune mediate diseases. Genome-wide association studies have identified several functional genetic variants in IRF5 that predispose patients to immune-mediated diseases including, but not limited to SLE, systemic sclerosis, and primary sclerosing cholangitis.</w:t>
      </w:r>
    </w:p>
    <w:p>
      <w:pPr>
        <w:spacing w:after="0" w:line="113"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are actively engaged in lead generation activities to identify small molecules that can precisely bind and block IRF5 function. These efforts are aided by our proprietary crystal structure of our compounds bound to IRF5, which enables computational approaches to optimize binders for either IRF5 inhibition or degradation. We have developed several proprietary assays including a biochemical dimerization assay that has been used in conjunction with high-throughput screening to identify leads. In addition, we have applied an orthogonal method to identify small-molecule binders that may target allosteric pockets providing inhibition directly or as a component in a PROTAC. We will pursue multiple mechanisms of inhibition and use our extensive pharmacology expertise to guide the final selection of clinical candidates.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Foresite Labs Services Agreement</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Foresite Labs was an original shareholder in, and actively involved in our incubation. We and Foresite Labs have had an ongoing services agreement since our inception, with Foresite Labs originally providing incubation services, development assistance and oversight, and data analytics services; currently, Foresite Labs provides data analytics services related to our TYK2 franchise, our discovery programs and to our business development activities. The original Services Agreement between us and Foresite Labs was entered into in January 2021, was amended and restated in August 2021, was amended and restated for a second time in December 2023, and expires in December 2026, unless terminated earlier by the parties. Work under the Services Agreement is memorialized in a series of Statements of Work and we pay Foresite Labs for the estimated costs of its services in advance on a quarterly basis, with a true-up to actuals at the end of each quarter.</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by seeking, maintaining, enforcing and defending patent rights.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and may in the future rely on in-licensing opportunities, to develop, strengthen and maintain our proprietary position in our field. Our commercial success will depend in part on our ability to obtain and maintain patent and other proprietary protection for our technology, inventions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improvements; to preserve the confidentiality of our trade secrets; to obtain and maintain any future licenses to use intellectual property owned by third parties; and to defend and enforce our proprietary rights, including our patent rights.</w:t>
      </w:r>
    </w:p>
    <w:p>
      <w:pPr>
        <w:spacing w:after="0" w:line="10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As of March 31, 2024, our solely owned patent portfolio included two issued U.S. patents, three pending U.S. provisional patent applications, five pending non-provisional U.S. patent applications, over 40 pending foreign patent applications, and eight pending Patent Cooperation Treaty (PCT) patent applications.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ESK-001 and A-005</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regard to ESK-001 and A-005, we own one patent family that includes two issued U.S. patents, three pending U.S. patent applications and over 20 foreign patent applications pending in various jurisdictions, such as Europe, Brazil, Canada, China, Australia, Japan, India, Israel, Singapore and Vietnam. Not accounting for any patent term adjustment or extensions or terminal disclaimers, and assuming that all applicable annuity and/or maintenance fees are paid timely, the issued patents, and, if granted, the pending patent applications in this family, are expected to expire in 2039. The U.S. patent and pending patent applications disclose and/or contain composition-of-matter and method of treatment claims relating to ESK-</w:t>
      </w:r>
    </w:p>
    <w:p>
      <w:pPr>
        <w:spacing w:after="0" w:line="4" w:lineRule="exact"/>
        <w:rPr>
          <w:sz w:val="20"/>
          <w:szCs w:val="20"/>
          <w:color w:val="auto"/>
        </w:rPr>
      </w:pPr>
    </w:p>
    <w:p>
      <w:pPr>
        <w:ind w:left="1260" w:right="419"/>
        <w:spacing w:after="0" w:line="243" w:lineRule="auto"/>
        <w:tabs>
          <w:tab w:leader="none" w:pos="160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A-005, and disclose and/or contain claims relating to the production of ESK-001 and A-005. One pending U.S. patent application is directed to the composition of matter claims to A-005.</w:t>
      </w:r>
    </w:p>
    <w:p>
      <w:pPr>
        <w:spacing w:after="0" w:line="114"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We also own three patent families which include three pending PCT applications that disclose and/or contain claims directed to crystalline and salt forms of ESK-001. Not accounting for any patent term adjustment or extension and assuming that all applicable annuity and/or maintenance fees are paid timely, any patent applications claiming the benefit of these PCT applications, if issued, will be expected to expire in 2043.</w:t>
      </w:r>
    </w:p>
    <w:p>
      <w:pPr>
        <w:spacing w:after="0" w:line="32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own another patent family that includes one pending PCT application that discloses and/or contains claims directed to methods of treating a TYK2-mediated disease using ESK- 001. Not accounting for any patent term adjustment or extension and assuming that all applicable annuity and/or maintenance fees are paid timely, any patent applications claiming the benefit of this PCT application, if issued, will be expected to expire in 2043.</w:t>
      </w:r>
    </w:p>
    <w:p>
      <w:pPr>
        <w:spacing w:after="0" w:line="32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We own two pending PCT applications and one pending U.S. provisional patent application that disclose and/or contain claims directed to methods of treating various diseases with ESK-001, such as hidradenitis suppurativa and autoimmune skin disease. Not accounting for any patent term adjustment or extension and assuming that all annuity and/or maintenance fees are paid timely, any patent applications claiming the benefit of the PCT applications, or patent applications claiming priority to the PCT applications or the provisional patent application, if issued, will be expected to expire in 2044.</w:t>
      </w:r>
    </w:p>
    <w:p>
      <w:pPr>
        <w:spacing w:after="0" w:line="114"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We continue to assess the extent to which we may seek additional patent protection for aspects of our product engine. The term of individual patents depends upon the date of filing of the patent application, date of patent issuance and the legal term of the patents in the countries in which they are obtained. In most countries in which we file, the patent term is 20 years from the earliest date of filing of the first non-provisional application to which priority is claimed. Outside of the United States, the duration of patents varies in accordance with applicable local law, but typically is also 20 years from the earliest non-provisional filing date. In the United States, patent term may be lengthened by patent term adjustment, which compensates a patentee for administrative delays by the United States Patent and Trademark Office (USPTO) in examining and granting a patent, or may be shortened if a patent is terminally disclaimed over an earlier-filed patent. Moreover, in context of approved products, there may be other additional exclusivity for the patents covering such approved product. In the United States, the term of a patent that covers an FDA-approved drug may also be eligible for a patent term extension of up to five years under the Hatch-Waxman Act, which is designed to compensate for the patent term lost during the FDA regulatory review process. The length of the patent term extension is calculated based on the length of time it takes for regulatory review. A patent term extension under the Hatch-Waxman Act cannot extend the remaining term of a patent beyond a total of 14 years from the date of product approval, only one patent applicable to an approved drug may be restored and only those claims covering the approved drug, a method for using it, or a method for manufacturing it may be extended. Moreover, a patent can only be restored once, and thus, if a single patent is applicable to multiple products, it can only be extended based on one product. Similar provisions are available in Europe and certain other foreign jurisdictions to extend the term of a patent that covers an approved drug.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intend to pursue, in the normal course of business and when possible, composition, method of use, process, dosing and formulation patent protection for the product candidates we develop and commercialize. We may also pursue patent protection with respect to manufacturing and immunotherapy development processes and technology. When available to expand market exclusivity, we intend to strategically obtain or license additional intellectual property related to current or contemplated product candidates.</w:t>
      </w:r>
    </w:p>
    <w:p>
      <w:pPr>
        <w:spacing w:after="0" w:line="11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some instances, we submit patent applications directly to the USPTO as provisional patent applications. Corresponding non-provisional patent applications must be filed within 12 months after the provisional application filing date. The corresponding non-provisional application may be entitled to the benefit of the earlier provisional application filing date(s), and the patent term of the finally issued patent is calculated from the later non-provisional application filing date. Provisional applications for patents were designed to provide a lower-cost first patent filing in the United States. This system allows us to obtain an early priority date, add material to the patent application(s) during the priority period, obtain a later start to the patent term and to delay prosecution costs.</w:t>
      </w:r>
    </w:p>
    <w:p>
      <w:pPr>
        <w:spacing w:after="0" w:line="11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PCT system allows a single application to be filed within 12 months of the original priority date of the patent application, and to designate all of the PCT member states in which national or regional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or regional applications prior to having to incur the filing fees and prosecution costs. Although a PCT application does not issue as a patent, it allows the applicant to seek protection in any of the member states through national/regional-phase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Organisation. The PCT system delays expenses, allows a limited evaluation of the chances of success for national/regional patent applications and enables substantial savings where applications are abandoned within the first two and a half years of filing. We intend to file U.S. nonprovisional applications and PCT applications that claim the benefit of the priority date of earlier filed provisional applications, when applicable.</w:t>
      </w:r>
    </w:p>
    <w:p>
      <w:pPr>
        <w:spacing w:after="0" w:line="116"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For all patent applications, we determine claiming strategy on a case-by-case basis. Advice of counsel, country-specific patent laws and our business model and needs are always considered. We may file patents containing claims for protection of all useful applications of our proprietary product candidates, as well as all new applications and/or uses we discover for existing product candidates, assuming these are strategically valuable. We continuously reassess the number and type of patent applications in our portfolio, as well as the pending and issued patent claims, to help ensure that maximum coverage and value are obtained for our processes, and compositions, given existing patent office rules and regulations. Further, claims may be modified during patent prosecution, to the extent allowed, to meet our intellectual property and business needs.</w:t>
      </w:r>
    </w:p>
    <w:p>
      <w:pPr>
        <w:spacing w:after="0" w:line="32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There can be no assurance that we will be able to obtain, maintain, enforce and defend all patents and other intellectual property rights necessary to conduct our business. The patents that issue from our patent applications or any that we may in-license in the future, if any, may be challenged by third parties, may not effectively prevent third parties from commercializing competitive technologies or may not otherwise provide us with a competitive advantage.</w:t>
      </w:r>
    </w:p>
    <w:p>
      <w:pPr>
        <w:spacing w:after="0" w:line="11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may also rely on trade secrets relating to our product candidates and technology, and seek to protect and maintain the confidentiality of proprietary information to protect aspects of our business that are not amenable to, or that we do not consider appropriate for, patent protection. However, trade secrets are difficult to protect and may provide us with only limited protection. It is our policy and practice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risks related to our intellectual property, see section titled “Risk Factors — Risks Related to Intellectual Property.”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full commercial organization or distribution capabilities. We have stage -appropriate commercial capabilities we intend to build a commercial infrastructure to support sales of any approved products and intend to continue evaluating opportunities to work with partners that enhance our capabilities with respect to the development and commercialization of ESK-001 and A -005, if approved. In addition, we intend to commercialize our product candidates, if approved, in key markets in the United States, the European Union, and APAC, either alone or with partners in order to maximize the worldwide commercial potential of our programs.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To date, we have obtained active pharmaceutical ingredients (API) for ESK-001 and A-005 for our preclinical and clinical testing from different third-party API manufacturers and bulk drug product from other third-party manufacturers. We obtain our preclinical and clinical supplies from these manufacturers on a purchase order basis and currently do not have long-term supply arrangements in place. Our principal suppliers of raw materials are Aragen Life Sciences Private Limited (formerly known as GVK Biosciences Private Limited) (located in India) and SCI Pharmtech, Inc. (located in Taiwan). We are in the process of implementing a redundant supply chain for ESK-001 API, drug product and critical raw material. For all our product candidates, we intend to identify and qualify redundant manufacturers, including entering into long-term agreements, to provide the API and drug product and prior to submission of the NDA to the FDA and/or a marketing authorization application to the European Medicines Agency (EMA) and/or other health authorities. ESK-001 and A-005 are compounds of low molecular weight, generally called small molecules. ESK-001 can be manufactured in reliable and reproducible processes from readily available starting materials. A-005 has been produced in small quantities to support our preclinical studies and is currently being manufactured at larger quantities for clinical testing. The chemistries for ESK-001 and A-005 are amenable to scale-up and do not require unusual equipment in the manufacturing process. Additional contract manufacturers are used to package, label, and distribute investigational drug products. This strategy allows us to maintain a more efficient infrastructure, avoid depending on our own manufacturing facility and equipment while simultaneously enabling us to focus our expertise on developing our products. We expect to continue to develop product candidates that can be produced cost-effectively at contract manufacturing facilities.</w:t>
      </w: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competition and rapid innovation. Our potential competitors include large pharmaceutical and biotechnology companies, specialty pharmaceutical companies and generic drug companies. Many of our potential competitors have greater financial and technical human resources than we do, as well as equal or greater experience in the discovery and development of product candidates, obtaining FDA and other regulatory approvals of products and the commercialization of those products. Accordingly, our potential competitors may be more successful than us in achieving regulatory approvals and commercializing their drugs. We anticipate that we will face intense and increasing competition from existing, approved drugs, as well as new drugs entering the market and emerging technologies that become available. Finally, the development of new treatment methods for the diseases we are targeting could render our product candidates non-competitive or obsolete.</w:t>
      </w:r>
    </w:p>
    <w:p>
      <w:pPr>
        <w:spacing w:after="0" w:line="11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believe the key competitive factors that will affect the development and commercial success of our product candidates, if approved, will be efficacy, safety, tolerability profile, convenience of dosing, price and coverage by governmental and third-party payors.</w:t>
      </w:r>
    </w:p>
    <w:p>
      <w:pPr>
        <w:spacing w:after="0" w:line="10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We are currently developing ESK-001 for the treatment of PsO and SLE, with multiple other potential indications to follow. Other emerging and established life sciences companies have been focused on similar therapeutics. If approved, ESK-001 would compete with several currently approved or late-stage oral clinical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therapeutics, including Otezla (marketed by Amgen Inc.), Sotyktu (marketed by Bristol Myers Squibb Company (BMS)), TAK-279 (in development by Takeda Pharmaceutical Company), VTX-958 (in development by Ventyx Biosciences, Inc.), JNJ-2113 (in development by Johnson &amp; Johnson), DC-806 (in development by Eli Lilly and Company), as well as new early-stage therapeutic companies that may develop competing molecules. Additional TYK2 agents are under development by BMS, Galapagos NV, Innocare, and Priovant Therapeutics, Inc.</w:t>
      </w:r>
    </w:p>
    <w:p>
      <w:pPr>
        <w:spacing w:after="0" w:line="33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Our second TYK2 product candidate, A-005, is a highly differentiated CNS-penetrant allosteric TYK2 inhibitor that has a potential application in multiple sclerosis (MS) and other neuroinflammatory diseases. In MS, there are a large number of therapies available for the treatment of relapsing forms of MS, including interferon beta regulators, monoclonal antibodies, synthetic immunomodulatory drugs, S1P receptor modulators. Ocrevus, a CD20 antibody marketed by Genentech, Inc., is the only current therapy approved for PPMS for slowing disease progression. We are aware that Biohaven is developing a CNS-penetrant TYK2/JAK1 inhibitor BHV-8000, for which they expect to initiate Phase 2 clinical trials in 2H 2024 in MS as well as Alzheimer’s Disease and Parkinson’s Disease. BMS has reported that they have a CNS-penetrant TYK2 inhibitor (BMS-986465) positioned for neuroinflammation diseases that will initiate first in human clinical studies soon. Sudo has reported a CNS TYK2 inhibitor (SUDO-550) that is in advanced preclinical studies and Neuron 23 also has disclosed that they have a TYK2 inhibitor program targeting neuroinflammation and MS.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Successful sales of approved drug products in the U.S. market will depend, in part, on the extent to which such drugs will be covered by third-party payors, such as government health programs or private health insurance (including managed care plans). Patients who are provided with prescriptions as part of their medical treatment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w:t>
      </w:r>
    </w:p>
    <w:p>
      <w:pPr>
        <w:spacing w:after="0" w:line="32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Additionally, the containment of healthcare costs has become a priority of federal, state and foreign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manufacturers’ net revenue and results. Decreases in third-party reimbursement for a manufacturer’s drug products or a decision by a third-party payor to not cover its drug products could have a material adverse effect on the manufacturer’s sales, results of operations and financial condition.</w:t>
      </w:r>
    </w:p>
    <w:p>
      <w:pPr>
        <w:spacing w:after="0" w:line="124"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General legislative cost control measures may also affect reimbursement for drug products. Manufacturers that obtain approval to market a drug candidate in the United States may be subject to spending reductions affecting Medicare, Medicaid or other publicly funded or subsidized health programs and/or any significant taxes or fees.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U.S. Food and Drug Administration (FDA) under the Federal Food, Drug, and Cosmetic Act (FDCA) and its implementing regulations. The process required by the FDA before a drug may be marketed in the United States generally involves the following:</w:t>
      </w:r>
    </w:p>
    <w:p>
      <w:pPr>
        <w:spacing w:after="0" w:line="69" w:lineRule="exact"/>
        <w:rPr>
          <w:sz w:val="20"/>
          <w:szCs w:val="20"/>
          <w:color w:val="auto"/>
        </w:rPr>
      </w:pPr>
    </w:p>
    <w:p>
      <w:pPr>
        <w:ind w:left="1800" w:right="41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and formulation studies in accordance with Good Laboratory Practice regulations (GLPs) and other applicable regulations;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trial may be initiated;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regulations (GCPs) to evaluate the safety and efficacy of the drug for its intended use;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drug’s identity, strength, quality and purity, and of inspection of selected clinical investigation sites to assess compliance with GCPs; and</w:t>
      </w:r>
    </w:p>
    <w:p>
      <w:pPr>
        <w:spacing w:after="0" w:line="7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particular indications for use in the United States.</w:t>
      </w:r>
    </w:p>
    <w:p>
      <w:pPr>
        <w:spacing w:after="0" w:line="9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Nonclinical tests include laboratory evaluation of product chemistry, formulation and toxicity, as well as animal trials to assess the characteristics and potential safety and efficacy of the product. The conduct of the nonclinical tests must comply with federal regulations and requirements, including GLPs, where applicable. The results of nonclinical testing are submitted to the FDA as part of an IND along with other information, including information about product chemistry, manufacturing and controls (CMC), and a proposed clinical trial protocol. Long-term preclinical tests, such as animal tests of reproductive toxicity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w:t>
      </w:r>
    </w:p>
    <w:p>
      <w:pPr>
        <w:spacing w:after="0" w:line="11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healthy volunteers or patients under the supervision of a qualified investigator. Clinical trials must be conducted: (i) in compliance with federal regulations; (ii) in compliance with GCPs, which are standards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14"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IRB for approval before a clinical trial commences at the relevant institution. An IRB may also require the clinical trial at the site to be halted, either temporarily or permanently, for failure to comply with the IRB’s requirements, or may impose other conditions on the conduct of the study.</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but the phases may overlap. In Phase 1, the initial introduction of the drug into healthy subjects or patients, the drug is tested to assess safety, dosage tolerance, metabolism, pharmacokinetics, pharmacological actions, side effects associated with drug exposure and, if possible, to gain early evidence on effectiveness. Phase 2 usually involves trials in a limited patient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population with the specified disease or conditions to evaluate the effectiveness of the drug for a particular indication, to determine optimal dose and regimen, and to identify common AEs and safety risks. If preliminary evidence of effectiveness and an acceptable safety profile is obtained in Phase 2 evaluations, Phase 3 trails are conducted. Phase 3 trials are undertaken to obtain additional information about clinical efficacy and safety in an expanded patient population, typically at geographically dispersed clinical trial sites, to permit the FDA to evaluate the overall benefit-risk relationship of the drug and to provide adequate information for the labeling of the drug.</w:t>
      </w:r>
    </w:p>
    <w:p>
      <w:pPr>
        <w:spacing w:after="0" w:line="114"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In most cases, the FDA requires two adequate and well-controlled Phase 3 clinical trials to demonstrate the safety and efficacy of a novel drug product. A single Phase 3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the single trial is supported by confirmatory evidence.</w:t>
      </w:r>
    </w:p>
    <w:p>
      <w:pPr>
        <w:spacing w:after="0" w:line="32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10"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drug and, among other things, the manufacturer must develop methods for testing the identity, strength, quality and purity of the final drug. In addition, appropriate packaging must be selected and tested, and stability studies must be conducted to demonstrate that the drug does not undergo unacceptable deterioration over its shelf life.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 Review and Approval Process</w:t>
      </w:r>
    </w:p>
    <w:p>
      <w:pPr>
        <w:spacing w:after="0" w:line="16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After completion of the required clinical testing, the sponsor prepares and submits an NDA to the FDA. FDA approval of the NDA is required before marketing and distribution of the product may begin in the United States. The NDA must include, among other information, the results of all nonclinical, clinical, and other testing along with descriptions of the manufacturing process, analytical tests conducted on the chemistry of the drug, and proposed labeling. The cost of preparing and submitting an NDA is substantial. The submission of most NDAs is additionally subject to a substantial application user fee. Under an approved NDA, the applicant is also subject to an annual program fee. These fees are typically increased annually.</w:t>
      </w:r>
    </w:p>
    <w:p>
      <w:pPr>
        <w:spacing w:after="0" w:line="32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based on the FDA’s threshold determination that it is sufficiently complete to permit substantive review. Once the submission is filed, the FDA begins an in-depth review. Under the Prescription Drug User Fee Act, as amended (PDUFA), the FDA has agreed to certain performance goals in its review of NDAs. For new molecular entity (NME) NDAs that are granted Standard Review, the FDA’s goal is to review and act on the NDA within ten months of the date the FDA files the application. For NME NDAs granted a Priority Review, the FDA’s goal is to review the NDA within six months of the date the FDA files the application. The FDA may extend its PDUFA goal date for reviewing both standard and priority-review NDAs for three additional months to allow the FDA to consider certain late-submitted information or information intended to clarify information already provided in the NDA submission.</w:t>
      </w:r>
    </w:p>
    <w:p>
      <w:pPr>
        <w:spacing w:after="0" w:line="127"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FDA may also refer applications for novel drugs, as well as drugs that present difficult questions of safety or efficacy, to an advisory committee—typically a panel that includes clinicians and other experts— for review, evaluation and a recommendation as to whether the NDA should be approved. The FDA is not bound by the recommendation of an advisory committee, but it generally follows such recommendations.</w:t>
      </w:r>
    </w:p>
    <w:p>
      <w:pPr>
        <w:spacing w:after="0" w:line="11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typically inspect one or more clinical sites to assure compliance with GCP. Additionally, the FDA will generally inspect the facility or the facilities at which the drug is manufactured. The FDA will not approve a drug unless the facility at which the drug is manufactured has a satisfactory cGMP compliance status.</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After the FDA evaluates the NDA and completes any clinical and manufacturing site inspections, it issues either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generally outlines the deficiencies in the NDA and may require substantial additional testing or information that must be provided in order for the FDA to reconsider the NDA for approval. If, or when, those deficiencies have been addressed to the FDA’s satisfaction in a resubmission of the NDA, the FDA will issue an approval letter. The FDA has committed to reviewing such NDA resubmissions in two or six months from the date of receipt, depending on the type of information included.</w:t>
      </w:r>
    </w:p>
    <w:p>
      <w:pPr>
        <w:spacing w:after="0" w:line="121"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As a condition of NDA approval, the FDA may require a risk evaluation and mitigation strategy (REMS) to help ensure that the benefits of the drug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the FDA may require substantial post-approval testing and surveillance to monitor the drug’s safety or efficacy.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FDA Expedited Development and Review Programs</w:t>
      </w:r>
    </w:p>
    <w:p>
      <w:pPr>
        <w:spacing w:after="0" w:line="16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a marketing application for an investigational drug product. For example, the Fast Track designation program is intended to expedite or facilitate the process for developing and reviewing drug products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drug candidate has opportunities for more frequent interactions with the applicable FDA review team during product development and, once an NDA is submitted, the application may be eligible for priority review. With regard to a Fast Track drug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0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 drug intended to treat a serious or life-threatening disease or condition may also be eligible for Breakthrough Therapy designation to expedite its development and review. An investigational drug can receive Breakthrough Therapy designation if preliminary clinical evidence indicates that the drug,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drug, including involvement of senior managers.</w:t>
      </w:r>
    </w:p>
    <w:p>
      <w:pPr>
        <w:spacing w:after="0" w:line="34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Any drug product submitted to the FDA for approval, including a drug with a Fast Track designation or Breakthrough Therapy Designation, may also be eligible for other types of FDA programs intended to expedite development and review, such as Priority Review. An NDA is eligible for Priority Review if the applicable drug is designed to treat a serious condition, and if approved, would provide a significant improvement in safety or efficacy compared to available therapies. The FDA will attempt to direct additional resources to the evaluation of an NDA for a drug designated for priority review in an effort to facilitate the review. The FDA endeavors to review NDAs for NMEs with Priority Review designations within six months of the filing date as compared to ten months for Standard Review NDAs under its current PDUFA review goals.</w:t>
      </w:r>
    </w:p>
    <w:p>
      <w:pPr>
        <w:spacing w:after="0" w:line="34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Fast Track designation, Breakthrough Therapy designation, and Priority Review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w:t>
      </w:r>
    </w:p>
    <w:p>
      <w:pPr>
        <w:spacing w:after="0" w:line="26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investigational drugs, are required to register and disclose certain clinical trial information on ClinicalTrials.gov. Information related to the product, patient population, phase of 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Pediatric Information</w:t>
      </w:r>
    </w:p>
    <w:p>
      <w:pPr>
        <w:spacing w:after="0" w:line="26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NDAs or supplements to NDAs must contain data to assess the safety and effectiveness of the drug for the claimed indications in all relevant pediatric subpopulations and to support dosing and administration for each pediatric subpopulation for which the drug is determined by the FDA to be safe and effective. The FDA may grant full or partial waivers or deferrals for submission of data.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submit a request for approval of a pediatric formulation.</w:t>
      </w:r>
    </w:p>
    <w:p>
      <w:pPr>
        <w:spacing w:after="0" w:line="32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Best Pharmaceuticals for Children Act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or supplements to an approved application that propose a labeling change as a result of pediatric studies conducted pursuant to the BPCA are treated as priority applications or supplements, with all of the benefits that designation confers.</w:t>
      </w:r>
    </w:p>
    <w:p>
      <w:pPr>
        <w:spacing w:after="0" w:line="2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68"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many changes to the approved product, such as adding new indications, certain manufacturing changes and additional labeling claims, are subject to further FDA review and approval.</w:t>
      </w:r>
    </w:p>
    <w:p>
      <w:pPr>
        <w:spacing w:after="0" w:line="336"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Drug manufacturers and certain of their subcontractors are required to register their establishments with the FDA and certain state agencies. Registration with the FDA subjects entities to periodic unannounced inspections by the FDA, during which the FDA inspects manufacturing facilities to assess compliance with cGMP. Changes to the manufacturing process are strictly regulated, and, depending on the significance of the change, may require prior FDA approval before being implemented. Accordingly, manufacturers must continue to expend time, money and effort in the areas of production and quality-control to maintain compliance with cGMP.</w:t>
      </w:r>
    </w:p>
    <w:p>
      <w:pPr>
        <w:spacing w:after="0" w:line="32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31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fines or the imposition of civil or criminal penalties.</w:t>
      </w:r>
    </w:p>
    <w:p>
      <w:pPr>
        <w:spacing w:after="0" w:line="15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drugs that are placed on the market. Advertising and promotion of drugs must be in compliance with the FDCA and its implementing regulations and only for the approved indications and in a manner consistent with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spacing w:after="0" w:line="9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authorization,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Many countries outside of the United States have a process similar to that in the United States that requires the submission of a clinical trial application (CTA) much like the IND prior to the commencement of human clinical trials.</w:t>
      </w:r>
    </w:p>
    <w:p>
      <w:pPr>
        <w:spacing w:after="0" w:line="114"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Although in countries outside of the EU, such as countries in Eastern Europe, Latin America or Asia, the requirements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w:t>
      </w:r>
    </w:p>
    <w:p>
      <w:pPr>
        <w:spacing w:after="0" w:line="32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we or our potential collaborators fail to comply with applicable foreign regulatory requirements, we may be subject to, among other things, fines, suspension, variation or withdrawal of regulatory approvals, product recalls, seizure of products, operating restrictions and criminal prosecution.</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Clinical Trials in the EU</w:t>
      </w:r>
    </w:p>
    <w:p>
      <w:pPr>
        <w:spacing w:after="0" w:line="14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 are subject to significant regulatory controls.</w:t>
      </w:r>
    </w:p>
    <w:p>
      <w:pPr>
        <w:spacing w:after="0" w:line="94"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In the EU, clinical trials are governed by the Clinical Trials Regulation (EU) No 536/2014, or CTR, which entered into application on January 31, 2022 repealing and replacing the former Clinical Trials Directive 2001/20, or CTD.</w:t>
      </w:r>
    </w:p>
    <w:p>
      <w:pPr>
        <w:spacing w:after="0" w:line="33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CTR is intended to harmonize and streamline CTA, simplify adverse-event reporting procedures, improve the supervision of clinical trials and increase transparency. Specifically, the Regulation, which is directly applicable in all EU member states, introduces a streamlined application procedure through a single-entry point, the “EU portal”; the Clinical Trials Information System, or CTIS; a single set of documents to be prepared and submitted for the application; as well as simplified reporting procedures for clinical trial sponsors. A harmonized procedure for the assessment of applications for clinical trials has been introduced and 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i.e. all EU member states in which a clinical trial is to be conducted. Individual EU member states retain the power to authorize the conduct of clinical trials on their territory.</w:t>
      </w:r>
    </w:p>
    <w:p>
      <w:pPr>
        <w:spacing w:after="0" w:line="114"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extent to which on-going clinical trials will be governed by the CTR will depend on the duration of the individual clinical trial. Clinical trials for which an application for approval was made on the basis of the CTD (i) before January 31, 2022 or (ii) between January 31, 2022 and January 31, 2023 and for which the sponsor has opted for the application of CTD, remain governed by the CTD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spacing w:after="0" w:line="11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Medicinal products used in clinical trials must be manufactured in accordance with the guidelines on GMP and in a GMP certified facility, which is subject to GMP inspections.</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Review and approval process of medicinal products in the EU</w:t>
      </w:r>
    </w:p>
    <w:p>
      <w:pPr>
        <w:spacing w:after="0" w:line="16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a related marketing authorization, or MA, has been granted. To obtain an MA for a medicinal product in the EU, an applicant must submit a Marketing Authorization Application, or MAA, either in accordance with a centralized procedure administered by the European Medicines Agency, or EMA, or one of the procedures administered by the competent authorities of EU member states (decentralized procedure, national procedure or mutual recognition procedure). An MA may be granted only to an applicant established in the EU.</w:t>
      </w:r>
    </w:p>
    <w:p>
      <w:pPr>
        <w:spacing w:after="0" w:line="114"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A successful application in accordance with the centralized procedure results in the grant of a single MA by the European Commission that is valid throughout the EU. Pursuant to Regulation (EC) No 726/2004, the centralized procedure is compulsory for specific products, including for (i) medicinal products derived from biotechnological processes, (ii) products designated as orphan medicinal products, (iii) advanced therapy medicinal products, or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spacing w:after="0" w:line="11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In accordance with the centralized procedure, the EMA’s Committee for Medicinal Products for Human Use, or CHMP, conducts the initial assessment of an application for authorization of a medicinal product. The CHMP is also responsible for several post-authorization and maintenance activities, such as the assessment of variations or extensions to an existing MA. The maximum timeframe for the evaluation of an MAA under the centralized procedure is 210 days, excluding clock stops during which additional information or written or oral explanations are provided by the applicant in response to questions of the CHMP. Accelerated assessment may be granted by the CHMP in exceptional cases, when a medicinal product that targets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333"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MAA. The resulting assessment report is submitted to the concerned EU member states who, within 90 days of receipt, must decide whether to approve the assessment report and related materials. If a concerned EU member state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cannot approve the assessment report and related materials due to concerns relating to a potential serious risk to public health, disputed elements may be referred to the Heads of Medicines Agencies’ Coordination Group for Mutual Recognition and Decentralized Procedures — Human, or CMDh, for review. The subsequent decision of the European Commission is binding on all EU member states.</w:t>
      </w:r>
    </w:p>
    <w:p>
      <w:pPr>
        <w:spacing w:after="0" w:line="110"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granted in relation to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1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Common Technical Document providing up-to- 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 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 unless, in justified circumstances, authorization is extended.</w:t>
      </w:r>
    </w:p>
    <w:p>
      <w:pPr>
        <w:spacing w:after="0" w:line="11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i.e., where there is no satisfactory method of diagnosis, prevention or treatment in the EU or, if there is, the new medicinal product will bring a major therapeutic advantage. The products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333"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In the EU,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w:t>
      </w:r>
    </w:p>
    <w:p>
      <w:pPr>
        <w:spacing w:after="0" w:line="3" w:lineRule="exact"/>
        <w:rPr>
          <w:sz w:val="20"/>
          <w:szCs w:val="20"/>
          <w:color w:val="auto"/>
        </w:rPr>
      </w:pPr>
    </w:p>
    <w:p>
      <w:pPr>
        <w:jc w:val="both"/>
        <w:ind w:left="1260" w:right="419"/>
        <w:spacing w:after="0" w:line="241" w:lineRule="auto"/>
        <w:tabs>
          <w:tab w:leader="none" w:pos="16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standard MA. However, if the conditions are not fulfilled within the timeframe set by the EMA and approved by the European Commission, the MA will cease to be renewed.</w:t>
      </w:r>
    </w:p>
    <w:p>
      <w:pPr>
        <w:spacing w:after="0" w:line="12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Pediatric Development in the EU</w:t>
      </w:r>
    </w:p>
    <w:p>
      <w:pPr>
        <w:spacing w:after="0" w:line="16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the EU, Regulation (EC) No 1901/2006 provides that all MAAs for new medicinal products must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medicinal product for which MA is being sought. The PDCO can grant a deferral of the obligation to implement some or all of the measures provided in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w:t>
      </w:r>
    </w:p>
    <w:p>
      <w:pPr>
        <w:spacing w:after="0" w:line="16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EU provides opportunities for data and market exclusivity related to MAs. Upon receipt of an MA, innovative medicinal products (i.e., reference products) are generally entitled to benefit from eight years of data exclusivity and an additional two years of market exclusivity. Data exclusivity, if granted,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32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Manufacturing Regulation in the EU</w:t>
      </w:r>
    </w:p>
    <w:p>
      <w:pPr>
        <w:spacing w:after="0" w:line="16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addition to an MA, various other requirements apply to the manufacture and placing on the EU market of medicinal products. The manufacture of medicinal products in the EU requires a manufacturing authorization. Moreover, import of medicinal products into the EU requires a manufacturing authorization allowing for import. The holder of a manufacturing authorization must comply with various requirements set out in the applicable EU laws, regulations and guidance, including GMP standards. Similarly, the distribution of medicinal products within the EU is subject to compliance with applicable EU laws, regulations and guidelines, including the requirement to hold appropriate authorizations for distribution granted by the competent authorities of EU member states. MA holders and/or manufacturing and import authorization, or MA holders and/or distribution authorization holders may be subject to civil, criminal or administrative sanctions,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including suspension of manufacturing authorization, in case of non-compliance with the EU or EU member states’ requirements applicable to the manufacturing of medicinal products.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Post-authorization Requirements in the EU</w:t>
      </w:r>
    </w:p>
    <w:p>
      <w:pPr>
        <w:spacing w:after="0" w:line="16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 the holder of the MA is required to comply with a range of regulatory requirements applicable to the manufacture,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340"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323"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which may require approval by the competent national authorities in connection with an MA. The SmPC is the document that provides information to physicians concerning the safe and effective use of the product. Promotional activity that does not comply with the SmPC is considered off-label and is prohibited in the EU.</w:t>
      </w:r>
    </w:p>
    <w:p>
      <w:pPr>
        <w:spacing w:after="0" w:line="343"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EEA (which is comprised of the 27 EU member states plus Norway, Iceland and Liechtenstein).</w:t>
      </w:r>
    </w:p>
    <w:p>
      <w:pPr>
        <w:spacing w:after="0" w:line="9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Pricing, Coverage and Reimbursement in the EU</w:t>
      </w:r>
    </w:p>
    <w:p>
      <w:pPr>
        <w:spacing w:after="0" w:line="14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w:t>
      </w:r>
    </w:p>
    <w:p>
      <w:pPr>
        <w:spacing w:after="0" w:line="11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addition, some EU member states may require the completion of additional studies that compare the cost-effectiveness of a particular medicinal product candidate to currently available therapies. This Health Technology Assessment, or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specific medicinal products will often influence the pricing and reimbursement status granted to these medicinal products by the competent authorities of individual EU member states.</w:t>
      </w:r>
    </w:p>
    <w:p>
      <w:pPr>
        <w:spacing w:after="0" w:line="81"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On December 13, 2021, Regulation No 2021/2282 on HTA amending Directive 2011/24/EU, was adopted in the EU.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and provide the basis for cooperation at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 Regulation</w:t>
      </w:r>
    </w:p>
    <w:p>
      <w:pPr>
        <w:spacing w:after="0" w:line="16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has not been directly subject to EU laws, however under the terms of the Ireland/Northern Ireland Protocol, EU laws generally apply to Northern Ireland. It is currently unclear to what extent the UK Government will seek to align its regulations with those of the EU. The EU laws that have been transposed into UK law through secondary legislation remain applicable in Great Britain. However, EU legislation which has taken effect post-Brexit, such as the (EU) CTR, is not applicable in Great Britain.</w:t>
      </w:r>
    </w:p>
    <w:p>
      <w:pPr>
        <w:spacing w:after="0" w:line="11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the (EU) CTD (as implemented into UK law, through secondary legislation). On January 17, 2022, the UK Medicines and Healthcare products Regulatory Agency, or MHRA, launched an eight-week consultation on reframing the UK legislation for clinical trials with specific aims to streamline clinical trials approvals, enable innovation, enhance clinical trials transparency, enable greater risk proportionality, and promote patient and public involvement in clinical trials. The MHRA published its consultation outcome on March 21, 2023 in which it confirmed that it would update the existing legislation. The resulting legislative changes will ultimately determine the extent to which the UK regulations align with the CTR.</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Japanese Regulation</w:t>
      </w:r>
    </w:p>
    <w:p>
      <w:pPr>
        <w:spacing w:after="0" w:line="14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Manufacturers and sellers of drugs, quasi-drugs, cosmetics, medical devices and regenerative medical products (Designated Products) in Japan are subject to the supervision of Japan’s Ministry of Health, Labour and Welfare (MHLW) primarily under the Act on Securing Quality, Efficacy and Safety of Pharmaceuticals, Medical Devices, Regenerative and Cellular Therapy Products, Gene Therapy Products, and Cosmetics of Japan (PMDA or PMD Act). Under the PMD Act, the relevant licenses must be obtained from the MHLW in order to conduct the business of manufacturing, marketing or selling Designated Products.</w:t>
      </w:r>
    </w:p>
    <w:p>
      <w:pPr>
        <w:spacing w:after="0" w:line="11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Applications for the approval of new products are made through the PMDA. The clinical trial data and other pertinent data must be attached to the application for approval. If the drugs, medical devices or regenerative medical products under application are of types designated by ministerial ordinance of the MHLW, the attached data mentioned above must be obtained in compliance with the standards established by the minister of the MHLW (Minister), such as the Good Laboratory Practice (GLP) and the Good Clinical Practice (GCP). Once an application for approval is submitted, a review team is formed, which consists of specialized officials of the PMDA, including experts on chemistry/manufacturing, non-clinical, clinical, and biostatistics. Team evaluation results are passed to the PMDA’s external experts, who then report back to the PMDA. After a further team evaluation, a report is provided to the Minister; the Minister makes a final determination for approval and refers this to the Council on Drugs and Foods Sanitation, which then advises the MHLW on final approvability. Marketing and distribution approvals require a review to determine whether or not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product in the application is suitable as a drug to be manufactured and distributed with which a manufacturing and distribution business license for the type of drug concerned has been obtained, and to confirm that the product has been manufactured in a plant compliant with the GMP.</w:t>
      </w:r>
    </w:p>
    <w:p>
      <w:pPr>
        <w:spacing w:after="0" w:line="10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Once the MHLW has approved the application, the company can make the new drug available for physicians to prescribe. After that, the MHLW lists its National Health Insurance price within 60 days (or 90 days at the latest) from the approval, and physicians can obtain reimbursement. For some medications, the MHLW requires additional post marketing studies (Phase 4) to further evaluate safety and/or to gather information concerning the quality, efficacy, and safety of the product under specified conditions, in addition to post marketing surveillance including Early Post-marketing Phase Vigilance (EPPV) based on the risk management plan (RMP) for all new medications. The MHLW also requires the drug’s sponsor to submit periodic safety update reports. Within three months from the specified re-examination period, which is designated at the time of the approval of the application for the new product, the company must submit a re-examination application to enable the drug’s quality, efficacy, and safety to be reassessed against approved labeling by the PMDA.</w:t>
      </w:r>
    </w:p>
    <w:p>
      <w:pPr>
        <w:spacing w:after="0" w:line="343"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PMD Act also provides for special regulations applicable to drugs, quasi-drugs, cosmetics and medical devices made of biological raw materials. These regulations impose various obligations on manufacturers and other persons in relation to manufacturing facilities, explanation to patients, labeling on products, record-keeping and reporting to the Minister.</w:t>
      </w:r>
    </w:p>
    <w:p>
      <w:pPr>
        <w:spacing w:after="0" w:line="9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Under the PMD Act, the Minister may take various measures to supervise manufacturing and marketing license holders of Designated Products. The Minister has the authority to order manufacturing and marketing license holders to temporarily suspend the marketing, leasing or providing of the Designated Products to prevent risks or increases in risks to the public health. Also, the Minister may revoke a license or approval granted to a manufacturing and marketing license holder or order a temporary business suspension under certain limited circumstances such as violation of laws relating to drugs.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26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commonly referred to as the Hatch Waxman Amendments, NDA applicants are required to identify to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12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Drugs listed in the Orange Book can, in turn, be cited by potential generic competitors in support of approval of an abbreviated new drug application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323"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w:t>
      </w:r>
    </w:p>
    <w:p>
      <w:pPr>
        <w:spacing w:after="0" w:line="1" w:lineRule="exact"/>
        <w:rPr>
          <w:sz w:val="20"/>
          <w:szCs w:val="20"/>
          <w:color w:val="auto"/>
        </w:rPr>
      </w:pPr>
    </w:p>
    <w:p>
      <w:pPr>
        <w:jc w:val="both"/>
        <w:ind w:left="1260" w:right="419"/>
        <w:spacing w:after="0" w:line="253" w:lineRule="auto"/>
        <w:tabs>
          <w:tab w:leader="none" w:pos="160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received by the FDA for review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12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FDA permits, the omission of such exclusivity-protected information from the ANDA prescribing information.</w:t>
      </w:r>
    </w:p>
    <w:p>
      <w:pPr>
        <w:spacing w:after="0" w:line="2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Hatch-Waxman Exclusivity</w:t>
      </w:r>
    </w:p>
    <w:p>
      <w:pPr>
        <w:spacing w:after="0" w:line="26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Market exclusivity provisions under the FDCA can delay the submission or the approval of certain marketing applications. For example, upon NDA approval of a new chemical entity (NCE), which is a drug that contains no active moiety that has been approved by FDA in any other NDA, that drug receives five years of non-patent data exclusivity during which FDA cannot receive (1) any ANDA seeking approval of a generic version of that drug or (2) an NDA submitted under Section 505(b)(2) of the FDCA (505(b)(2) NDA) by another company for another drug based on the same active moiety, regardless of whether the drug is intended for the same indication as the original innovative drug or for another indication. However, an ANDA or a 505(b)(2) NDA may be submitted after four years if it contains a certification of patent invalidity or non-infringement to one of the patents listed with the FDA by the innovator NDA holder (i.e., a Paragraph IV certification).</w:t>
      </w:r>
    </w:p>
    <w:p>
      <w:pPr>
        <w:spacing w:after="0" w:line="323"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moiety for any other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w:t>
      </w:r>
    </w:p>
    <w:p>
      <w:pPr>
        <w:spacing w:after="0" w:line="3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26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is calculated as half of the drug’s testing phase (the time between IND application and NDA submission) and all of the review phase (the time between NDA submission and approval) up to a maximum of five years. The time can be reduced for any time FDA determines that the applicant did not pursue approval with due diligence.</w:t>
      </w:r>
    </w:p>
    <w:p>
      <w:pPr>
        <w:spacing w:after="0" w:line="121"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The United States Patent and Trademark Office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failing to satisfy applicable requirements. Moreover, the applicable time period or the scope of patent protection afforded could be less than requested.</w:t>
      </w:r>
    </w:p>
    <w:p>
      <w:pPr>
        <w:spacing w:after="0" w:line="81"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U.S. Regulatory Matters</w:t>
      </w:r>
    </w:p>
    <w:p>
      <w:pPr>
        <w:spacing w:after="0" w:line="148" w:lineRule="exact"/>
        <w:rPr>
          <w:sz w:val="20"/>
          <w:szCs w:val="20"/>
          <w:color w:val="auto"/>
        </w:rPr>
      </w:pPr>
    </w:p>
    <w:p>
      <w:pPr>
        <w:jc w:val="both"/>
        <w:ind w:left="1260" w:right="419"/>
        <w:spacing w:after="0" w:line="222"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drug approval are also subject to regulation by numerous regulatory authorities in addition to the FDA, including, in the United States, the Centers for</w:t>
      </w:r>
    </w:p>
    <w:p>
      <w:pPr>
        <w:spacing w:after="0" w:line="2" w:lineRule="exact"/>
        <w:rPr>
          <w:sz w:val="20"/>
          <w:szCs w:val="20"/>
          <w:color w:val="auto"/>
        </w:rPr>
      </w:pPr>
    </w:p>
    <w:p>
      <w:pPr>
        <w:jc w:val="both"/>
        <w:ind w:left="1260" w:right="419"/>
        <w:spacing w:after="0" w:line="218" w:lineRule="auto"/>
        <w:rPr>
          <w:sz w:val="20"/>
          <w:szCs w:val="20"/>
          <w:color w:val="auto"/>
        </w:rPr>
      </w:pPr>
      <w:r>
        <w:rPr>
          <w:rFonts w:ascii="Times New Roman" w:cs="Times New Roman" w:eastAsia="Times New Roman" w:hAnsi="Times New Roman"/>
          <w:sz w:val="18"/>
          <w:szCs w:val="18"/>
          <w:color w:val="auto"/>
        </w:rPr>
        <w:t>Medicare &amp; Medicaid Services (CMS), other divisions of the Department of Health and Human Services, the Consumer Product Safety Commission, the Federal Trade Commission, the Occupational Safety &amp; Health Administration, the Environmental Protection Agency and state and local governments.</w:t>
      </w:r>
    </w:p>
    <w:p>
      <w:pPr>
        <w:spacing w:after="0" w:line="10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failure to comply with regulatory requirements subjects manufacturers to possible legal or regulatory action.</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For example, the federal Health Insurance Portability and Accountability Act of 1996 (HIPAA), as amended by the Health Information Technology for Economic and Clinical Health Act of 2009 (HITECH) and their respective implementing regulations, impose privacy, security and breach notification obligations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Entities that are found to be in violation of HIPAA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 In addition, certain state laws govern the privacy and security of personal information, including health-related information, in certain circumstances. Failure to comply with these laws, where applicable, can result in the imposition of significant civil and/or criminal penalties and private litigation. For example, the California Consumer Privacy Act, which went into effect on January 1, 2020, created new data privacy obligations for covered companies and provides new privacy rights to California residents. On January 1, 2023, the California Privacy Rights Act, which substantially amends the CCPA, went into effect. The CCPA and CPRA provide for unlimited civil penalties for violations, as well as a private right of action for data breaches that is expected to increase data breach litigation. Other states have also enacted, proposed, or are considering proposing, data privacy laws.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Pharmaceutical manufacturers are subject to numerous federal and state laws and regulations including, without limitation, state and federal anti-kickback, fraud and abuse, false claims and transparency laws, such as the following: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56"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Anti-Kickback Statute, which prohibit, among other things, persons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A person or entity does not need to have actual knowledge of the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including the False Claim Act and the Civil Monetary Penalties Law, which prohibit, among other things, individuals or entities from knowingly presenting, or causing to be presented, information or claims for payment from Medicare, Medicaid, or other third-party payers that are false or fraudulent. In addition, a claim including items or services resulting from a violation of the U.S. federal Anti-Kickback Statute constitutes a false or fraudulent claim for purposes of the federal civil False Claims Act;</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prohibits, among other things, executing or attempting to execute a scheme to defraud any healthcare benefit program (including private health plans)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94"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among other things, strictly regulates drug product and medical device marketing, prohibits manufacturers from marketing such products prior to approval or for off-label use and regulates the distribution of samples;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 and</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the above federal laws, such as anti-kickback and false claims laws, which may apply to items or services reimbursed by any third-party payer, including private insurers, state transparency laws, and state laws limiting interactions between pharmaceutical manufacturers and members of the healthcare industry, many of which differ from each other in significant ways and may not have the same effect, and often are not preempted by HIPAA.</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Healthcare Reform</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in March 2010, the Affordable Care Act (the ACA) was passed which substantially changed the way healthcare is financed by both the government and private insurers and continues to significantly impact the U.S. pharmaceutical industry.</w:t>
      </w:r>
    </w:p>
    <w:p>
      <w:pPr>
        <w:spacing w:after="0" w:line="12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Several healthcare reform proposals recently culminated in the enactment of the Inflation Reduction Act (IRA) in August 2022, which, among other things, allows the Department of Health and Human Services (HHS) to directly negotiate the selling price of a statutorily specified number of drugs and biologics each year that CMS reimburses under Medicare Part B and Part D. Only high-expenditure single-source drugs that have been approved for at least 7 years (11 years for biologics) can be selected by CMS for negotiation, with the negotiated price taking effect two years after the selection year. Negotiations for Medicare Part D products take place in 2024 with the negotiated price taking effect in 2026, and negotiations for Medicare Part B products will begin in 2026 with the negotiated price taking effect in 2028. In August 2023, HHS announced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color w:val="auto"/>
        </w:rPr>
        <w:t>the ten Medicare Part D drugs and biologics that it selected for negotiations. HHS will announce the negotiated maximum fair prices by September 1, 2024, and this price cap, which cannot exceed a statutory ceiling price, will go into effect on January 1, 2026.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IRA also imposes rebates on Medicare Part B and Part D drugs whose prices have increased at a rate greater than the rate of inflation. The IRA also extends enhanced subsidies for individuals purchasing health insurance coverage in ACA marketplaces through plan year 2025.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have been and may continue to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biopharmaceutical industry and the pricing of prescription drug products.</w:t>
      </w: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62"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As of March 31, 2024, we had 107 full-time employees and 2 part-time employees, consisting of clinical, scientific, development, regulatory, finance and operational personnel. None of our employees is subject to a collective bargaining agreement. We consider our relationship with our employees to be good.</w:t>
      </w:r>
    </w:p>
    <w:p>
      <w:pPr>
        <w:spacing w:after="0" w:line="10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recognize that our culture is central to the productivity, agility, scalability and competitiveness of our operation, and is essential to our success. We are clear and consistent in our company values and we communicate and support an employee value proposition. Our proposition is centered with unique and impactful professional development opportunities within an environment of inclusive representation and diverse thinking as a unifying force and business differentiator. Our employees are critical to our long-term success and are essential to helping us meet our goals. Among other things, we support and incentivize our employees in the following ways:</w:t>
      </w:r>
    </w:p>
    <w:p>
      <w:pPr>
        <w:spacing w:after="0" w:line="107" w:lineRule="exact"/>
        <w:rPr>
          <w:sz w:val="20"/>
          <w:szCs w:val="20"/>
          <w:color w:val="auto"/>
        </w:rPr>
      </w:pPr>
    </w:p>
    <w:p>
      <w:pPr>
        <w:jc w:val="both"/>
        <w:ind w:left="1800" w:right="419" w:hanging="180"/>
        <w:spacing w:after="0" w:line="260"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Talent development, compensation and retention: </w:t>
      </w:r>
      <w:r>
        <w:rPr>
          <w:rFonts w:ascii="Times New Roman" w:cs="Times New Roman" w:eastAsia="Times New Roman" w:hAnsi="Times New Roman"/>
          <w:sz w:val="18"/>
          <w:szCs w:val="18"/>
          <w:color w:val="auto"/>
        </w:rPr>
        <w:t>Our human capital resources objectives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304" w:lineRule="exact"/>
        <w:rPr>
          <w:rFonts w:ascii="Times New Roman" w:cs="Times New Roman" w:eastAsia="Times New Roman" w:hAnsi="Times New Roman"/>
          <w:sz w:val="18"/>
          <w:szCs w:val="18"/>
          <w:color w:val="auto"/>
        </w:rPr>
      </w:pPr>
    </w:p>
    <w:p>
      <w:pPr>
        <w:jc w:val="both"/>
        <w:ind w:left="1800" w:right="419" w:hanging="180"/>
        <w:spacing w:after="0" w:line="264"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Health and safety: </w:t>
      </w:r>
      <w:r>
        <w:rPr>
          <w:rFonts w:ascii="Times New Roman" w:cs="Times New Roman" w:eastAsia="Times New Roman" w:hAnsi="Times New Roman"/>
          <w:sz w:val="18"/>
          <w:szCs w:val="18"/>
          <w:color w:val="auto"/>
        </w:rPr>
        <w:t>We support the health and safety of our employees by providing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benefits, an employee assistance program, company-paid holidays, a personal time-off program and other additional benefits which are intended to assist employees to manage their well-being.</w:t>
      </w:r>
    </w:p>
    <w:p>
      <w:pPr>
        <w:spacing w:after="0" w:line="315" w:lineRule="exact"/>
        <w:rPr>
          <w:rFonts w:ascii="Times New Roman" w:cs="Times New Roman" w:eastAsia="Times New Roman" w:hAnsi="Times New Roman"/>
          <w:sz w:val="18"/>
          <w:szCs w:val="18"/>
          <w:color w:val="auto"/>
        </w:rPr>
      </w:pPr>
    </w:p>
    <w:p>
      <w:pPr>
        <w:ind w:left="1800" w:right="419" w:hanging="180"/>
        <w:spacing w:after="0" w:line="284"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Inclusion and diversity: </w:t>
      </w:r>
      <w:r>
        <w:rPr>
          <w:rFonts w:ascii="Times New Roman" w:cs="Times New Roman" w:eastAsia="Times New Roman" w:hAnsi="Times New Roman"/>
          <w:sz w:val="18"/>
          <w:szCs w:val="18"/>
          <w:color w:val="auto"/>
        </w:rPr>
        <w:t>We are committed to efforts to increase diversity and foster an inclusive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 environment that supports our workforce.</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48"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Our principal executive office is located in South San Francisco, California. We entered into the lease for our principal executive office in August 2022, for approximately 55,000 square feet of combined office and laboratory space in South San Francisco, which will expire in August 2033. We believe our facilities are adequate and suitable for our current needs, and that should it be needed, suitable additional or alternative space will be available to accommodate our operations.</w:t>
      </w: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material legal proceedings or be subject to claims arising in the ordinary course of our business. We are currently not party to any legal proceedings material to our operations or of which any of our property is the subject, nor are we aware of any such proceedings that are contemplated by a government authority. Regardless of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June 7, 2024.</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Age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Position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2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w:t>
            </w: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5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Martin Babler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President and Chief Executive Officer, Chairman ​</w:t>
            </w:r>
          </w:p>
        </w:tc>
      </w:tr>
      <w:tr>
        <w:trPr>
          <w:trHeight w:val="25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Bradley</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Chief Development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Jörn Drappa, M.D., Ph.D.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Chief Medical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 Goldstein, Ph.D.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w:t>
            </w: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Chief Scientific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Roy Hardiman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Chief Business and Legal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Schroer</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w:t>
            </w: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Chief Financial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Sara Klein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General Counsel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Derrick Richardson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w:t>
            </w: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Senior Vice President of People and Culture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78"/>
        </w:trPr>
        <w:tc>
          <w:tcPr>
            <w:tcW w:w="3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7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Srinivas Akkaraju, M.D., Ph.D.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w:t>
            </w: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Alan B. Colowick, M.D., M.P.H.</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Sapna Srivastava, Ph.D.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w:t>
            </w: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James B. Tananbaum, M.D.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Zhengbin Yao, Ph.D.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w:t>
            </w: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-2613660</wp:posOffset>
            </wp:positionV>
            <wp:extent cx="137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-2613660</wp:posOffset>
            </wp:positionV>
            <wp:extent cx="137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Martin Babler </w:t>
      </w:r>
      <w:r>
        <w:rPr>
          <w:rFonts w:ascii="Times New Roman" w:cs="Times New Roman" w:eastAsia="Times New Roman" w:hAnsi="Times New Roman"/>
          <w:sz w:val="18"/>
          <w:szCs w:val="18"/>
          <w:color w:val="auto"/>
        </w:rPr>
        <w:t>has served as our President, Chief Executive, and chairman of our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2021. From April 2011 until November 2020, he served as President and Chief Executive Officer at Principia Biopharma Inc., a biotechnology company acquired by Sanofi S.A. in September 2020. From December 2007 to April 2011, Mr. Babler served as President and Chief Executive Officer of Talima Therapeutics, Inc., a pharmaceutical company. From 1998 to 2007, Mr. Babler held several positions at Genentech, Inc., a biopharmaceutical company, most notably as Vice President, Immunology Sales and Marketing. Mr. Babler presently serves on the board of directors of Prelude Therapeutics Inc., a biopharmaceutical company, and Sardona Therapeutics, Inc. Mr. Babler received a Swiss Federal Diploma in pharmacy from the Federal Institute of Technology in Zurich and completed the Executive Development Program at the Kellogg Graduate School of Management at Northwestern University. We believe that Mr. Babler’s industry and leadership roles, and his knowledge of our company as Chief Executive Officer, makes him well qualified to serve on our board of directors.</w:t>
      </w:r>
    </w:p>
    <w:p>
      <w:pPr>
        <w:spacing w:after="0" w:line="114"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Bradley </w:t>
      </w:r>
      <w:r>
        <w:rPr>
          <w:rFonts w:ascii="Times New Roman" w:cs="Times New Roman" w:eastAsia="Times New Roman" w:hAnsi="Times New Roman"/>
          <w:sz w:val="18"/>
          <w:szCs w:val="18"/>
          <w:color w:val="auto"/>
        </w:rPr>
        <w:t>has served as our Chief Development Officer since May 2021. From November 2020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2021, Mr. Bradley served as Senior Vice President and Site Head at The Bristol-Myers Squibb Company, a biopharmaceutical company, after its acquisition of MyoKardia, Inc., a precision medicine company focused on treating cardiovascular diseases, in November 2020. From November 2017 to November 2020, Mr. Bradley held roles of increasing responsibility at MyoKardia, most recently as Senior Vice President, Development. From 2004 to 2017, Mr. Bradley held roles of increasing responsibility at Genentech, Inc., a biopharmaceutical company, most recently as Head, Business Management gRED Clinical Operations. Mr. Bradley began his career at UCSF in public health research. Mr. Bradley received an M.A. and B.A. from University of California, Berkeley.</w:t>
      </w:r>
    </w:p>
    <w:p>
      <w:pPr>
        <w:spacing w:after="0" w:line="110" w:lineRule="exact"/>
        <w:rPr>
          <w:sz w:val="20"/>
          <w:szCs w:val="20"/>
          <w:color w:val="auto"/>
        </w:rPr>
      </w:pPr>
    </w:p>
    <w:p>
      <w:pPr>
        <w:jc w:val="both"/>
        <w:ind w:left="1260" w:right="419"/>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Jörn Drappa, M.D., Ph.D., </w:t>
      </w:r>
      <w:r>
        <w:rPr>
          <w:rFonts w:ascii="Times New Roman" w:cs="Times New Roman" w:eastAsia="Times New Roman" w:hAnsi="Times New Roman"/>
          <w:sz w:val="18"/>
          <w:szCs w:val="18"/>
          <w:color w:val="auto"/>
        </w:rPr>
        <w:t>has served as our Chief Medical Officer and Head of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September 2022. From February 2018 to March 2021, Dr. Drappa served as the Chief Medical Officer and Head of Research and Development at Viela Bio, Inc., a biotechnology company. From May 2011 to February 2018, Dr. Drappa served in various roles at MedImmune, the biologics division of AstraZeneca plc, including as Vice President of Clinical Development. From August 2008 to May 2011, Dr. Drappa served 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Senior Medical Director for the Inflammation and Autoimmune assets at Genentech, Inc., a biopharmaceutical company. Dr. Drappa received his M.D. and a Ph.D. from the University of Cologne in Germany. He performed his postgraduate studies at Cornell Medical School/Hospital for Special Surgery, followed by residency at New York Hospital and rheumatology fellowship at the Hospital for Special Surgery.</w:t>
      </w:r>
    </w:p>
    <w:p>
      <w:pPr>
        <w:spacing w:after="0" w:line="33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M. Goldstein, Ph.D., </w:t>
      </w:r>
      <w:r>
        <w:rPr>
          <w:rFonts w:ascii="Times New Roman" w:cs="Times New Roman" w:eastAsia="Times New Roman" w:hAnsi="Times New Roman"/>
          <w:sz w:val="18"/>
          <w:szCs w:val="18"/>
          <w:color w:val="auto"/>
        </w:rPr>
        <w:t>has served as our Chief Scientific Officer since September 2021.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2020 to September 2021, Dr. Goldstein served as Site Head and Chief Scientific Officer of Principia Biopharma Inc., a biopharmaceutical company acquired by Sanofi S.A.in September 2020. From March 2016 to September 2020, Dr. Goldstein served in various roles at Principia Biopharma Inc., including as the Chief Scientific Officer from March 2016 to September 2020. From July 1994 to February 2011, Dr. Goldstein held positions of increasing responsibility at Roche Holding AG, a pharmaceutical company, most recently serving as Senior Director, Medicinal Chemistry and Head of Inflammation Chemistry. Dr. Goldstein was also previously a Consulting Assistant Professor at Stanford University. Dr. Goldstein received a Ph.D. in chemistry from the University of Virginia and a B.A. in chemistry from Franklin and Marshall College.</w:t>
      </w:r>
    </w:p>
    <w:p>
      <w:pPr>
        <w:spacing w:after="0" w:line="33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Roy Hardiman </w:t>
      </w:r>
      <w:r>
        <w:rPr>
          <w:rFonts w:ascii="Times New Roman" w:cs="Times New Roman" w:eastAsia="Times New Roman" w:hAnsi="Times New Roman"/>
          <w:sz w:val="18"/>
          <w:szCs w:val="18"/>
          <w:color w:val="auto"/>
        </w:rPr>
        <w:t>has served as our Chief Business and Legal Officer since September 2021.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2015 to September 2020, Mr. Hardiman served as the Chief Business Officer of Principia Biopharma Inc., a biotechnology company acquired by Sanofi S.A. in 2020. From 2010 to 2012, Mr. Hardiman was a director of Pharmacyclics Inc., a biopharmaceutical company, and chaired the Nominating and Corporate Governance Committee of Pharmacyclics. From 1990 to 2009, Mr. Hardiman held leadership positions at Genentech, Inc., a biopharmaceutical company, including Vice President of Alliance Management, Vice President, Corporate Law and Assistant Secretary, Director and Far East Representative, Business Development. From 1987 to 1990, Mr. Hardiman was an attorney at Morrison &amp; Foerster LLP. Mr. Hardiman received his J.D. from University of California, Los Angeles School of Law, his M.A. in Biology and his B.A. in pharmacology from University of California, Santa Barbara. Mr. Hardiman serves on the Board of Trustees of the University of California, Santa Barbara Foundation.</w:t>
      </w:r>
    </w:p>
    <w:p>
      <w:pPr>
        <w:spacing w:after="0" w:line="101"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Schroer </w:t>
      </w:r>
      <w:r>
        <w:rPr>
          <w:rFonts w:ascii="Times New Roman" w:cs="Times New Roman" w:eastAsia="Times New Roman" w:hAnsi="Times New Roman"/>
          <w:sz w:val="18"/>
          <w:szCs w:val="18"/>
          <w:color w:val="auto"/>
        </w:rPr>
        <w:t>has served as our Chief Financial Officer since May 2022. From February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2022, Mr. Schroer served as Chief Financial Officer at ArsenalBio Inc., a biotechnology company. From May 2018 to December 2020, Mr. Schroer served as Chief Financial Officer and Treasurer at Translate Bio, Inc., a biotechnology company acquired by Sanofi S.A. in 2021. From January 2014 to April 2018, Mr. Schroer served as a director and sector head—healthcare at Allianz Global Investors, a global asset management company. From 2009 to December 2013, Mr. Schroer served as President and Chief Investment Officer at Schroer Capital, LP, a financial services company that he founded. Mr. Schroer received a B.S. in History and International Relations and an M.B.A. from the University of Wisconsin-Madison.</w:t>
      </w:r>
    </w:p>
    <w:p>
      <w:pPr>
        <w:spacing w:after="0" w:line="333"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Sara Klein </w:t>
      </w:r>
      <w:r>
        <w:rPr>
          <w:rFonts w:ascii="Times New Roman" w:cs="Times New Roman" w:eastAsia="Times New Roman" w:hAnsi="Times New Roman"/>
          <w:sz w:val="18"/>
          <w:szCs w:val="18"/>
          <w:color w:val="auto"/>
        </w:rPr>
        <w:t>has served as our General Counsel and Corporate Secretary since January 2022. Prior to joining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Ms. Klein served in various roles at Principia Biopharma Inc., a biotechnology company acquired by Sanofi S.A. in September 2020, including Head of Legal from January 2021 to July 2021, Senior Vice President, Legal from December 2019 to January 2021, and Vice President, Legal from May 2018 to December 2019. From November 2001 to May 2018, Ms. Klein was in the private practice of law representing life science and technology companies. From 1993 to 1998, Ms. Klein served as corporate counsel and senior corporate counsel at Genentech, Inc., a biopharmaceutical company. From 1990 to 1993, Ms. Klein was an attorney at the law firm of Baker &amp; McKenzie LLP. Ms. Klein holds a J.D. from U.C. Hastings College of the Law and a B.A in political science and French from Middlebury College.</w:t>
      </w:r>
    </w:p>
    <w:p>
      <w:pPr>
        <w:spacing w:after="0" w:line="12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Derrick Richardson </w:t>
      </w:r>
      <w:r>
        <w:rPr>
          <w:rFonts w:ascii="Times New Roman" w:cs="Times New Roman" w:eastAsia="Times New Roman" w:hAnsi="Times New Roman"/>
          <w:sz w:val="18"/>
          <w:szCs w:val="18"/>
          <w:color w:val="auto"/>
        </w:rPr>
        <w:t>has served as our Senior Vice President of People and Culture since June 2023.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2023 to June 2023, Mr. Richardson served as our Vice President of People and Culture. From January 2022 to April 2023, Mr. Richardson served as our Vice President and Head of Program and Portfolio Management. From November 2020 to December 2021, Mr. Richardson served as the Head of Cardiovascular Late-Stage Project Management at The Bristol-Myers Squibb Company, a biopharmaceutical company, after its acquisition of MyoKardia, Inc., a precision medicine company focused on treating cardiovascular diseases, in November 2020. From April 2020 to November 2020, Mr. Richardson served as Executive Director and Head of Project Management at MyoKardia, and consulted for MyoKardia from October 2018 to April 2020. From February 2016 to October 2018, Mr. Richardson served as a Consulting Project Manager at Genentech, Inc. Mr. Richardson received an M.S. in Mechanical Engineering from Cornell University and a B.S. in Product Design Engineering from Stanford University.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5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Srinivas Akkaraju, M.D., Ph.D. </w:t>
      </w:r>
      <w:r>
        <w:rPr>
          <w:rFonts w:ascii="Times New Roman" w:cs="Times New Roman" w:eastAsia="Times New Roman" w:hAnsi="Times New Roman"/>
          <w:sz w:val="18"/>
          <w:szCs w:val="18"/>
          <w:color w:val="auto"/>
        </w:rPr>
        <w:t>has served as a member of our board of directors since March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Akkaraju is a founder and managing member of Samsara BioCapital, a venture capital firm, a position he has held since March 2017. From April 2013 to February 2016, Dr. Akkaraju served as a general partner of Sofinnova Ventures, a venture capital firm. From January 2009 to April 2013, Dr. Akkaraju served as managing director of New Leaf Venture Partners, a venture capital firm. Dr. Akkaraju presently serves on the board of directors of vTv Therapeutics Inc., Scholar Rock Holding Corporation, Mineralys Therapeutics, Inc., and Syros Pharmaceuticals, Inc., and numerous private biopharmaceutical companies. During the past five years, he served as a director of Chinook Therapeutics, Inc., Jiya Acquisition Corp., Aravive, Inc. (formerly Versartis, Inc.), Intercept Pharmaceuticals, Inc., Principia Biopharma Inc., and Seattle Genetics, Inc. Dr. Akkaraju received an M.D. and a Ph.D. in Immunology from Stanford University and undergraduate degrees in Biochemistry and Computer Science from Rice University. We believe that Dr. Akkaraju’s extensive investment experience in the biopharmaceutical industry, as well as his scientific background and experience on numerous public and private company boards of directors make him well qualified to serve as a member of our board of directors.</w:t>
      </w:r>
    </w:p>
    <w:p>
      <w:pPr>
        <w:spacing w:after="0" w:line="32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Alan B. Colowick, M.D., M.P.H. </w:t>
      </w:r>
      <w:r>
        <w:rPr>
          <w:rFonts w:ascii="Times New Roman" w:cs="Times New Roman" w:eastAsia="Times New Roman" w:hAnsi="Times New Roman"/>
          <w:sz w:val="18"/>
          <w:szCs w:val="18"/>
          <w:color w:val="auto"/>
        </w:rPr>
        <w:t>has served as a member of our board of directors since January 2022.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2021, Dr. Colowick has served as the Senior Managing Director of Matrix Capital Management Company. From May 2017 to January 2021, Dr. Colowick served as a private equity partner at Sofinnova Ventures. From 2010 to 2017, Dr. Colowick held various positions at Celgene Corporation, a pharmaceutical company, including Executive Vice President. From 2008 to 2010, Dr. Colowick was the Chief Executive Officer at Gloucester Pharmaceuticals, Inc., a pharmaceutical company, until its acquisition by Celgene in 2010. From 2006 to 2008, Dr. Colowick was President of Oncology for Geron Corporation, a biotechnology company, and from 2005 to 2006 was Chief Medical Officer of Threshold Pharmaceuticals, a pharmaceutical company. From 1999 to 2005, Dr. Colowick held various positions at Amgen Inc., a biopharmaceutical company. Dr. Colowick also serves as a member on the board of directors of ACELYRIN, INC. since November 2021 and mulitple private companies. Dr. Colowick completed specialty training in Hematology- Oncology at the Dana Farber Cancer Institute/Brigham and Women’s Hospital. Dr. Colowick received a M.D. from Stanford University, a M.P.H from Harvard University, and a B.S. in Molecular Biology from the University of Colorado. We believe that Dr. Colowick’s extensive professional experience, as well as financial understanding of the biotechnology industry, provide him with the qualifications and skills to serve as a member of our board of directors.</w:t>
      </w:r>
    </w:p>
    <w:p>
      <w:pPr>
        <w:spacing w:after="0" w:line="32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Sapna Srivastava, Ph.D. </w:t>
      </w:r>
      <w:r>
        <w:rPr>
          <w:rFonts w:ascii="Times New Roman" w:cs="Times New Roman" w:eastAsia="Times New Roman" w:hAnsi="Times New Roman"/>
          <w:sz w:val="18"/>
          <w:szCs w:val="18"/>
          <w:color w:val="auto"/>
        </w:rPr>
        <w:t>has served as a member of our board of directors since August 2022.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2021 to October 2021, Dr. Srivastava served as the interim Chief Financial Officer at eGenesis, Inc., a biopharmaceutical company. From September 2017 to January 2019, Dr. Srivastava served as the Chief Financial and Strategy Officer at Abide Therapeutics, Inc., a biopharmaceutical company acquired by H. Lundbeck A/S in 2019. From April 2015 to December 2016, Dr. Srivastava served as the Chief Financial and Strategy Officer at Intellia Therapeutics, Inc., a gene editing company. Previously, for nearly 15 years, Dr. Srivastava was a senior biotechnology analyst at Goldman Sachs, Morgan Stanley, and ThinkEquity Partners, LLC. Dr. Srivastava began her career as a research associate at JP Morgan. Dr. Srivastava currently serves on the board of directors of Tourmaline Bio, Inc., Aura Biosciences, Inc., a public biotechnology company, Innoviva, Inc. and Nuvalent, Inc., a public biopharmaceutical company. Dr. Srivastava holds a Ph.D. from New York University School of Medicine and a B.Sc. from St. Xavier’s College, University of Bombay. We believe that Dr. Srivastava’s experience in the pharmaceutical industry makes her well qualified to serve as a member of our board of directors.</w:t>
      </w:r>
    </w:p>
    <w:p>
      <w:pPr>
        <w:spacing w:after="0" w:line="12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B. Tananbaum, M.D. </w:t>
      </w:r>
      <w:r>
        <w:rPr>
          <w:rFonts w:ascii="Times New Roman" w:cs="Times New Roman" w:eastAsia="Times New Roman" w:hAnsi="Times New Roman"/>
          <w:sz w:val="18"/>
          <w:szCs w:val="18"/>
          <w:color w:val="auto"/>
        </w:rPr>
        <w:t>has served as a member of our board of directors since May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Tananbaum is currently the President, Chief Executive Officer and a director of Foresite Capital Management, a U.S.-focused healthcare investment firm, which he founded in 2010. From 2000 to 2010, Dr. Tananbaum served as Co-Founder and Managing Director of Prospect Venture Partners L.P. II and III, healthcare venture partnerships.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presently serves on the board of directors of Kinnate Biopharma Inc., Pardes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Biosciences, Inc. and Fabric Genomics, Inc., among other companies. During the past five years, Dr. Tananbaum served on the boards of directors of Quantum-SI Incorporate, Gemini Therapeutics, Inc., 10X Genomics, Inc., among other companies. Dr. Tananbaum received an M.D. and an M.B.A. from Harvard University, and a B.S. and a B.S.E.E. from Yale University in Applied Math and Computer Science. We believe Dr. Tananbaum’s significant executive leadership experience and experience in the healthcare industry make him well qualified to serve as a member of our board of directors.</w:t>
      </w:r>
    </w:p>
    <w:p>
      <w:pPr>
        <w:spacing w:after="0" w:line="10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Zhengbin (Bing) Yao, Ph.D. </w:t>
      </w:r>
      <w:r>
        <w:rPr>
          <w:rFonts w:ascii="Times New Roman" w:cs="Times New Roman" w:eastAsia="Times New Roman" w:hAnsi="Times New Roman"/>
          <w:sz w:val="18"/>
          <w:szCs w:val="18"/>
          <w:color w:val="auto"/>
        </w:rPr>
        <w:t>has served as a member of our board of directors since June 2021.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2021 to the present, Dr. Yao served as the Chief Executive Officer and chairman of the board of directors of ArriVent Biopharma, a biotechnology company. From March 2018 to March 2021, Dr. Yao served as the Chief Executive Officer, President, and from January 2019 to March 2021 also as chairman of the board of directors of Viela Bio, Inc., a biotechnology company, until it was acquired by Horizon Therapeutics in March 2021. From October 2010 to February 2018, Dr. Yao served as Senior Vice President, Head of Respiratory, Inflammation, Autoimmune iMED at MedImmune, the biologics division of AstraZeneca plc and from October 2015 to February 2018 also as Senior Vice President, Head of Immuno-Oncology Franchise. From March 2008 to September 2010, Dr. Yao served as Head of PTL for Immunology, Infectious Diseases, Neuroscience, and Metabolic Disease at Genentech, Inc., a biopharmaceutical company. From October 2000 to September 2007, Dr. Yao held various leadership roles at Tanox Inc., a biopharmaceutical company, and was Vice President and Head of Research before it was acquired by Genentech, Inc. in 2007. Dr. Yao currently serves on the board of directors of NexImmune, Inc., a biopharmaceutical company. Dr. Yao received his Ph.D. in Microbiology and Immunology from the University of Iowa and M.S. in Immunology from Anhui Medical University in Anhui, China. We believe Dr. Yao’s significant experience in the biopharmaceutical industry, particularly in autoimmune disease, and his experience serving as a chief executive officer of a publicly traded biotechnology company make him well qualified to serve as a member of our board of directors.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6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of directors, which currently consists of six members, including three vacancies. We expect to set the number of authorized directors on our board of directors to seven at the closing of this offering, and expect to fill the one remaining vacancy prior to the closing of the offering. The primary responsibilities of our board of directors are to provide oversight, strategic guidance, counseling and direction to our management. Our board of directors meets on a regular basis and additionally as required.</w:t>
      </w:r>
    </w:p>
    <w:p>
      <w:pPr>
        <w:spacing w:after="0" w:line="114"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Certain members of our board of directors were elected under the provisions of our Amended and Restated Voting Agreement entered into in March 2024 (the Voting Agreement), which will terminate upon the closing of this offering. Under the terms of our Voting Agreement, the stockholders who are party to the Voting Agreement have agreed to vote their respective shares to elect: (i) one director designated by Matrix Capital Management Master Fund, LP and its affiliates, currently Alan Colowick, M.D., M.P.H.; (ii) one director designated by BBA and its affiliates; (iii) one director designated by Foresite Capital Fund V, L.P. and its affiliates (collectively Foresite Capital Management), currently James B. Tananbaum, M.D.; (iv) one director designated by venBio Global Strategic Fund Four, L.P. and its affiliates; (v) one director designated by Samsara BioCapital, LP, currently Srinivas Akkaraju M.D., Ph.D.; (vi) one director who shall be our then-current Chief Executive Officer, currently Martin Babler; and (vii) three directors who are not our employees or affiliates, with such individuals to be designated by mutual agreement of our board of directors, currently persons who are not otherwise our affiliates or of any investor who are mutually acceptable to a majority of the directors then-serving as members of our board of directors; which individuals currently are Zhengbin (Bing) Yao, Ph.D, Sapna Srivasta, Ph.D and one vacancy. The additional director we expect to appoint prior to the closing of this offering would be elected to fill this vacancy in accordance with the Voting Agreement. The Voting Agreement will terminate upon the closing of this offering, and upon the closing of the offering no stockholder will have any special rights regarding the election or designation of the members of our board of directors. Our current directors elected pursuant to the Voting Agreement will continue to serve as directors until their successors are duly elected and qualified by holders of our common stock. Our board of directors may establish the authorized number of directors from time to time by resolution. In accordance with our amended and restated certificate of incorporation to be filed in connection with this offering, immediately after this offering, our board of directors will be divided into three classes with staggered three-year terms. 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1" w:lineRule="exact"/>
        <w:rPr>
          <w:sz w:val="20"/>
          <w:szCs w:val="20"/>
          <w:color w:val="auto"/>
        </w:rPr>
      </w:pPr>
    </w:p>
    <w:p>
      <w:pPr>
        <w:ind w:left="1800" w:right="41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and             , and their terms will expire at the annual meeting of stockholders to be held in 2025;</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and             , and their terms will expire at the annual meeting of stockholders to be held in 2026;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,            and             , and their terms will expire at the annual meeting of stockholders to be held in 2027.</w:t>
      </w:r>
    </w:p>
    <w:p>
      <w:pPr>
        <w:spacing w:after="0" w:line="9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Under the listing requirements and rules of The Nasdaq Stock Market LLC (Nasdaq Listing Rules) independent directors must comprise a majority of our board of directors as a listed company within one year of the listing date.</w:t>
      </w:r>
    </w:p>
    <w:p>
      <w:pPr>
        <w:spacing w:after="0" w:line="10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her or his background, employment and affiliations, including family relationships, our board of directors has determined that none of our directors, other than             , has any relationship that would interfere with the exercise of independent judgment in carrying out the responsibilities of a director and that each of these directors is “independent” as that term is defined under the Nasdaq Listing Rules. Our board of directors has determined that Martin Babler, by virtue of his position as our Chairman and Chief Executive Officer, is not independent under applicable rules and regulations of the U.S. Securities and Exchange Commission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intends to adopt a written charter that satisfies the application rules and regulation of the SEC and the Nasdaq Listing Rules, which we will post to our website at www.alumis.com upon the closing of this offering. Our board of directors may establish other committees as it deems necessary or appropriate from time to time.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audit committee currently consists of             ,             , and             , each of whom our board of directors has determined satisfies the independence requirements under the Nasdaq Listing Rules and Rule 10A-3(b)(1) of the Securities Exchange Act of 1934, as amended (Exchange Act). The chair of our audit committee is             ,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accounting firm. Specific responsibilities of our audit committee include:</w:t>
      </w:r>
    </w:p>
    <w:p>
      <w:pPr>
        <w:spacing w:after="0" w:line="69" w:lineRule="exact"/>
        <w:rPr>
          <w:sz w:val="20"/>
          <w:szCs w:val="20"/>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26"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26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9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compensation committee currently consists of             and             . The chair of our compensation committee is             . Our board of directors has determined that each member of our compensation committee is independent under the Nasdaq Listing Rules.</w:t>
      </w:r>
    </w:p>
    <w:p>
      <w:pPr>
        <w:spacing w:after="0" w:line="102"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and directors. Specific responsibilities of our compensation committee include:</w:t>
      </w:r>
    </w:p>
    <w:p>
      <w:pPr>
        <w:spacing w:after="0" w:line="282" w:lineRule="exact"/>
        <w:rPr>
          <w:sz w:val="20"/>
          <w:szCs w:val="20"/>
          <w:color w:val="auto"/>
        </w:rPr>
      </w:pPr>
    </w:p>
    <w:p>
      <w:pPr>
        <w:ind w:left="1800" w:right="419" w:hanging="180"/>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chief executive officer, other executive officers and senior management;</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paid to our directors;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arrangements with our executive officers and other senior management;</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our board of directors succession plans for our executive officers; and</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strategy, including base salary, incentive compensation and equity based grants, to assure that it promotes stockholder interests and supports our strategic and tactical objectives, and that it provides for appropriate rewards and incentives for our management and employees.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and             . The chair of our nominating and corporate governance committee is             . Our board of directors has determined that each member of the nominating and corporate governance committee is independent under the Nasdaq Listing Rules.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17" w:lineRule="exact"/>
        <w:rPr>
          <w:sz w:val="20"/>
          <w:szCs w:val="20"/>
          <w:color w:val="auto"/>
        </w:rPr>
      </w:pPr>
    </w:p>
    <w:p>
      <w:pPr>
        <w:ind w:left="1800" w:right="41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and chairmanship of the committees of our board of directors;</w:t>
      </w:r>
    </w:p>
    <w:p>
      <w:pPr>
        <w:spacing w:after="0" w:line="2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our board of directors and orientation of new directors;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 of directors’ performance, including committees of the board of directors and management.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4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connection with this offering, we intend to adopt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www.alumis.com upon the closing of this offering.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executive officers or employees.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awarded to or earned by or paid to all individuals who served as non-employee directors during the year ended December 31, 2023.</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Fees Earned or</w:t>
            </w:r>
          </w:p>
        </w:tc>
        <w:tc>
          <w:tcPr>
            <w:tcW w:w="2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2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680" w:type="dxa"/>
            <w:vAlign w:val="bottom"/>
          </w:tcPr>
          <w:p>
            <w:pPr>
              <w:spacing w:after="0"/>
              <w:rPr>
                <w:sz w:val="18"/>
                <w:szCs w:val="18"/>
                <w:color w:val="auto"/>
              </w:rPr>
            </w:pPr>
          </w:p>
        </w:tc>
        <w:tc>
          <w:tcPr>
            <w:tcW w:w="196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6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bscript"/>
              </w:rPr>
              <w:t>​</w:t>
            </w:r>
          </w:p>
        </w:tc>
      </w:tr>
      <w:tr>
        <w:trPr>
          <w:trHeight w:val="20"/>
        </w:trPr>
        <w:tc>
          <w:tcPr>
            <w:tcW w:w="360" w:type="dxa"/>
            <w:vAlign w:val="bottom"/>
            <w:shd w:val="clear" w:color="auto" w:fill="000000"/>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C. Baker</w:t>
            </w:r>
            <w:r>
              <w:rPr>
                <w:rFonts w:ascii="Times New Roman" w:cs="Times New Roman" w:eastAsia="Times New Roman" w:hAnsi="Times New Roman"/>
                <w:sz w:val="23"/>
                <w:szCs w:val="23"/>
                <w:color w:val="auto"/>
                <w:vertAlign w:val="superscript"/>
              </w:rPr>
              <w:t>(2)</w:t>
            </w:r>
          </w:p>
        </w:tc>
        <w:tc>
          <w:tcPr>
            <w:tcW w:w="19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Colowick, M.D., M.P.H.</w:t>
            </w:r>
          </w:p>
        </w:tc>
        <w:tc>
          <w:tcPr>
            <w:tcW w:w="19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 ​— </w:t>
            </w:r>
            <w:r>
              <w:rPr>
                <w:rFonts w:ascii="Times New Roman" w:cs="Times New Roman" w:eastAsia="Times New Roman" w:hAnsi="Times New Roman"/>
                <w:sz w:val="18"/>
                <w:szCs w:val="18"/>
                <w:b w:val="1"/>
                <w:bCs w:val="1"/>
                <w:color w:val="auto"/>
              </w:rPr>
              <w:t>​</w:t>
            </w:r>
          </w:p>
        </w:tc>
      </w:tr>
      <w:tr>
        <w:trPr>
          <w:trHeight w:val="25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Sapna Srivastava, Ph.D</w:t>
            </w:r>
          </w:p>
        </w:tc>
        <w:tc>
          <w:tcPr>
            <w:tcW w:w="19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 Tananbaum, M.D.</w:t>
            </w:r>
          </w:p>
        </w:tc>
        <w:tc>
          <w:tcPr>
            <w:tcW w:w="19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 ​— </w:t>
            </w:r>
            <w:r>
              <w:rPr>
                <w:rFonts w:ascii="Times New Roman" w:cs="Times New Roman" w:eastAsia="Times New Roman" w:hAnsi="Times New Roman"/>
                <w:sz w:val="18"/>
                <w:szCs w:val="18"/>
                <w:b w:val="1"/>
                <w:bCs w:val="1"/>
                <w:color w:val="auto"/>
              </w:rPr>
              <w:t>​</w:t>
            </w:r>
          </w:p>
        </w:tc>
      </w:tr>
      <w:tr>
        <w:trPr>
          <w:trHeight w:val="25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Zhengbin Yao, Ph.D.</w:t>
            </w:r>
          </w:p>
        </w:tc>
        <w:tc>
          <w:tcPr>
            <w:tcW w:w="19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5486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81" w:lineRule="exact"/>
        <w:rPr>
          <w:sz w:val="20"/>
          <w:szCs w:val="20"/>
          <w:color w:val="auto"/>
        </w:rPr>
      </w:pPr>
    </w:p>
    <w:p>
      <w:pPr>
        <w:jc w:val="both"/>
        <w:ind w:left="1620" w:right="419" w:hanging="360"/>
        <w:spacing w:after="0" w:line="251" w:lineRule="auto"/>
        <w:tabs>
          <w:tab w:leader="none" w:pos="16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 aggregate number of shares underlying outstanding options to purchase shares of our Class A common stock held by our non-employee directors were: Dr. Srivastava, 140,000, and Dr. Yao, 20,000. None of our other non-employee directors held options to purchase shares of our Class A common stock as of December 31, 2023. With the exception of Dr. Yao, who held 18,334 shares of our Class A common stock subject to repurchase, none of our other non-employee directors held unvested stock awards as of December 31, 2023.</w:t>
      </w:r>
    </w:p>
    <w:p>
      <w:pPr>
        <w:spacing w:after="0" w:line="22"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Baker resigned from our board of directors effective June 7, 2024.</w:t>
      </w:r>
    </w:p>
    <w:p>
      <w:pPr>
        <w:spacing w:after="0" w:line="15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Mr. Babler also served on our board of directors during the year ended December 31, 2023, but did not receive any additional compensation for his service as a director. See the section titled “Executive Compensation” for more information regarding the compensation earned by Mr. Babler.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have reimbursed and will continue to reimburse all of our non-employee directors for their reasonable out-of-pocket expenses incurred in attending board of directors and committee meetings.</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intend to adopt a non-employee director compensation policy, pursuant to which our non-employee directors will be eligible to receive compensation for service on our board of directors and committees of our board of directors, to be effective following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2023 were:</w:t>
      </w:r>
    </w:p>
    <w:p>
      <w:pPr>
        <w:spacing w:after="0" w:line="117" w:lineRule="exact"/>
        <w:rPr>
          <w:sz w:val="20"/>
          <w:szCs w:val="20"/>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Babler, our President, Chief Executive Officer and Chairman of the Board;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Goldstein, Ph.D., our Chief Scientific Officer;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 Hardiman, our Chief Business and Legal Officer.</w:t>
      </w:r>
    </w:p>
    <w:p>
      <w:pPr>
        <w:spacing w:after="0" w:line="15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 (the “Dodd-Frank Act”).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awarded to or earned by our named executive officers during the year ended December 31, 2023.</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r>
      <w:tr>
        <w:trPr>
          <w:trHeight w:val="214"/>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820" w:type="dxa"/>
            <w:vAlign w:val="bottom"/>
            <w:gridSpan w:val="4"/>
          </w:tcPr>
          <w:p>
            <w:pPr>
              <w:ind w:left="4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2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1700" w:type="dxa"/>
            <w:vAlign w:val="bottom"/>
            <w:tcBorders>
              <w:top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Martin Babler</w:t>
            </w:r>
          </w:p>
        </w:tc>
        <w:tc>
          <w:tcPr>
            <w:tcW w:w="16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0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516,000​​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3,889,989​​ ​</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185,760</w:t>
            </w:r>
          </w:p>
        </w:tc>
        <w:tc>
          <w:tcPr>
            <w:tcW w:w="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4,591,749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Goldstein, Ph.D.</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c>
          <w:tcPr>
            <w:tcW w:w="214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380,000​​ ​</w:t>
            </w: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543,359​​ ​</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119,700</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1,043,059​</w:t>
            </w:r>
          </w:p>
        </w:tc>
      </w:tr>
      <w:tr>
        <w:trPr>
          <w:trHeight w:val="223"/>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 Hardiman</w:t>
            </w: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Business and Legal Officer</w:t>
            </w:r>
          </w:p>
        </w:tc>
        <w:tc>
          <w:tcPr>
            <w:tcW w:w="2140" w:type="dxa"/>
            <w:vAlign w:val="bottom"/>
            <w:gridSpan w:val="6"/>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380,000​​ ​</w:t>
            </w: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543,359​​ ​</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119,700</w:t>
            </w:r>
          </w:p>
        </w:tc>
        <w:tc>
          <w:tcPr>
            <w:tcW w:w="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1,043,059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5486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95" w:lineRule="exact"/>
        <w:rPr>
          <w:sz w:val="20"/>
          <w:szCs w:val="20"/>
          <w:color w:val="auto"/>
        </w:rPr>
      </w:pPr>
    </w:p>
    <w:p>
      <w:pPr>
        <w:jc w:val="both"/>
        <w:ind w:left="1620" w:right="419" w:hanging="360"/>
        <w:spacing w:after="0" w:line="251" w:lineRule="auto"/>
        <w:tabs>
          <w:tab w:leader="none" w:pos="16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grant-date fair value of option awards granted during 2023 computed in accordance with FASB ASC Topic 718, rather than the actual economic value that may be realized by the named executive officer. See Note 11 to our consolidated financial statements included elsewhere in this prospectus for a discussion of the assumptions used in the calculation. All of the option awards were granted under the 2021 Plan, the terms of which plan are described in the subsection titled “—Equity Benefit Plans—2021 Stock Plan” below.</w:t>
      </w:r>
    </w:p>
    <w:p>
      <w:pPr>
        <w:spacing w:after="0" w:line="35" w:lineRule="exact"/>
        <w:rPr>
          <w:rFonts w:ascii="Times New Roman" w:cs="Times New Roman" w:eastAsia="Times New Roman" w:hAnsi="Times New Roman"/>
          <w:sz w:val="14"/>
          <w:szCs w:val="14"/>
          <w:color w:val="auto"/>
        </w:rPr>
      </w:pPr>
    </w:p>
    <w:p>
      <w:pPr>
        <w:jc w:val="both"/>
        <w:ind w:left="1620" w:right="419" w:hanging="360"/>
        <w:spacing w:after="0" w:line="261" w:lineRule="auto"/>
        <w:tabs>
          <w:tab w:leader="none" w:pos="16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represent performance bonuses earned in 2023 and paid in 2024. For more information, see the description of the annual performance bonuses in the subsection titled “—Narrative to the Summary Compensation Table— Annual Performance Bonus Opportunity” below.</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16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Historically, our board of directors has been responsible for overseeing all aspects of our executive compensation programs.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spacing w:after="0" w:line="325"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Our board of directors has historically determined our executive officers’ compensation and has typically reviewed and discussed management’s proposed compensation with our chief executive officer for all</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executives other than our chief executive officer. Based on those discussions and its discretion, our board of directors has then approved the compensation of each executive officer.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6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Base salaries for our executive officers are initially established through arm’s-length negotiations at the time of the executive officer’s hiring, taking into account such named executive officer’s qualifications, experience, the scope of his or her responsibilities and competitive market compensation paid by other companies for similar positions within the industry and geography. Base salaries are reviewed periodically, and adjusted from time to time to realign salaries with market levels after taking into account individual responsibilities, performance and experience.</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2023 annual base salaries for our named executive officers are set forth in the table below.</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2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 Base</w:t>
            </w:r>
          </w:p>
        </w:tc>
      </w:tr>
      <w:tr>
        <w:trPr>
          <w:trHeight w:val="162"/>
        </w:trPr>
        <w:tc>
          <w:tcPr>
            <w:tcW w:w="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Salary</w:t>
            </w:r>
          </w:p>
        </w:tc>
      </w:tr>
      <w:tr>
        <w:trPr>
          <w:trHeight w:val="187"/>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80" w:type="dxa"/>
            <w:vAlign w:val="bottom"/>
          </w:tcPr>
          <w:p>
            <w:pPr>
              <w:spacing w:after="0"/>
              <w:rPr>
                <w:sz w:val="16"/>
                <w:szCs w:val="16"/>
                <w:color w:val="auto"/>
              </w:rPr>
            </w:pPr>
          </w:p>
        </w:tc>
        <w:tc>
          <w:tcPr>
            <w:tcW w:w="2900" w:type="dxa"/>
            <w:vAlign w:val="bottom"/>
          </w:tcPr>
          <w:p>
            <w:pPr>
              <w:ind w:left="27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6"/>
                <w:szCs w:val="16"/>
                <w:color w:val="auto"/>
              </w:rPr>
            </w:pPr>
          </w:p>
        </w:tc>
        <w:tc>
          <w:tcPr>
            <w:tcW w:w="66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1"/>
                <w:szCs w:val="21"/>
                <w:b w:val="1"/>
                <w:bCs w:val="1"/>
                <w:color w:val="auto"/>
                <w:vertAlign w:val="subscript"/>
              </w:rPr>
              <w:t>​</w:t>
            </w:r>
          </w:p>
        </w:tc>
      </w:tr>
      <w:tr>
        <w:trPr>
          <w:trHeight w:val="27"/>
        </w:trPr>
        <w:tc>
          <w:tcPr>
            <w:tcW w:w="360" w:type="dxa"/>
            <w:vAlign w:val="bottom"/>
            <w:shd w:val="clear" w:color="auto" w:fill="000000"/>
          </w:tcPr>
          <w:p>
            <w:pPr>
              <w:spacing w:after="0"/>
              <w:rPr>
                <w:sz w:val="2"/>
                <w:szCs w:val="2"/>
                <w:color w:val="auto"/>
              </w:rPr>
            </w:pPr>
          </w:p>
        </w:tc>
        <w:tc>
          <w:tcPr>
            <w:tcW w:w="42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8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Babler</w:t>
            </w:r>
            <w:r>
              <w:rPr>
                <w:rFonts w:ascii="Times New Roman" w:cs="Times New Roman" w:eastAsia="Times New Roman" w:hAnsi="Times New Roman"/>
                <w:sz w:val="23"/>
                <w:szCs w:val="23"/>
                <w:color w:val="auto"/>
                <w:vertAlign w:val="superscript"/>
              </w:rPr>
              <w:t>(1)</w:t>
            </w:r>
          </w:p>
        </w:tc>
        <w:tc>
          <w:tcPr>
            <w:tcW w:w="3560" w:type="dxa"/>
            <w:vAlign w:val="bottom"/>
            <w:gridSpan w:val="4"/>
            <w:shd w:val="clear" w:color="auto" w:fill="CCEEFF"/>
          </w:tcPr>
          <w:p>
            <w:pPr>
              <w:ind w:left="27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516,000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Goldstein, Ph.D.</w:t>
            </w:r>
            <w:r>
              <w:rPr>
                <w:rFonts w:ascii="Times New Roman" w:cs="Times New Roman" w:eastAsia="Times New Roman" w:hAnsi="Times New Roman"/>
                <w:sz w:val="23"/>
                <w:szCs w:val="23"/>
                <w:color w:val="auto"/>
                <w:vertAlign w:val="superscript"/>
              </w:rPr>
              <w:t>(2)</w:t>
            </w:r>
          </w:p>
        </w:tc>
        <w:tc>
          <w:tcPr>
            <w:tcW w:w="3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380,000 </w:t>
            </w:r>
            <w:r>
              <w:rPr>
                <w:rFonts w:ascii="Times New Roman" w:cs="Times New Roman" w:eastAsia="Times New Roman" w:hAnsi="Times New Roman"/>
                <w:sz w:val="18"/>
                <w:szCs w:val="18"/>
                <w:b w:val="1"/>
                <w:bCs w:val="1"/>
                <w:color w:val="auto"/>
              </w:rPr>
              <w:t>​</w:t>
            </w:r>
          </w:p>
        </w:tc>
      </w:tr>
      <w:tr>
        <w:trPr>
          <w:trHeight w:val="28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 Hardiman</w:t>
            </w:r>
            <w:r>
              <w:rPr>
                <w:rFonts w:ascii="Times New Roman" w:cs="Times New Roman" w:eastAsia="Times New Roman" w:hAnsi="Times New Roman"/>
                <w:sz w:val="23"/>
                <w:szCs w:val="23"/>
                <w:color w:val="auto"/>
                <w:vertAlign w:val="superscript"/>
              </w:rPr>
              <w:t>(3)</w:t>
            </w:r>
          </w:p>
        </w:tc>
        <w:tc>
          <w:tcPr>
            <w:tcW w:w="3560" w:type="dxa"/>
            <w:vAlign w:val="bottom"/>
            <w:gridSpan w:val="4"/>
            <w:shd w:val="clear" w:color="auto" w:fill="CCEEFF"/>
          </w:tcPr>
          <w:p>
            <w:pPr>
              <w:ind w:left="27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5486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81" w:lineRule="exact"/>
        <w:rPr>
          <w:sz w:val="20"/>
          <w:szCs w:val="20"/>
          <w:color w:val="auto"/>
        </w:rPr>
      </w:pPr>
    </w:p>
    <w:p>
      <w:pPr>
        <w:ind w:left="1620" w:hanging="360"/>
        <w:spacing w:after="0"/>
        <w:tabs>
          <w:tab w:leader="none" w:pos="16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Babler’s base salary increased from $516,000 to $550,800 effective January 2024.</w:t>
      </w:r>
    </w:p>
    <w:p>
      <w:pPr>
        <w:spacing w:after="0" w:line="68"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Goldstein’s base salary increased from $380,000 to $424,400 effective January 2024.</w:t>
      </w:r>
    </w:p>
    <w:p>
      <w:pPr>
        <w:spacing w:after="0" w:line="68"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Hardiman’s base salary increased from $380,000 to $423,600 effective January 2024.</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 Bonus Opportunity</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executive officers are eligible to earn an annual incentive bonus of up to a percentage of such executive officer’s annual base salary, based on the achievement of pre-established performance objectives determined by our board of directors.</w:t>
      </w:r>
    </w:p>
    <w:p>
      <w:pPr>
        <w:spacing w:after="0" w:line="10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For 2023, each of Mr. Babler, Dr. Goldstein and Mr. Hardiman was eligible to receive a target bonus equal to 40%, 35%, and 35% of their base salary, respectively, based on the achievement of certain corporate goals and the respective executive officer’s contributions toward such goals. In February 2024, our board of directors determined that the 2023 corporate goals were achieved at 90%. As a result, our board of directors approved annual performance bonuses for Mr. Babler, Dr. Goldstein and Mr. Hardiman in the amounts of</w:t>
      </w:r>
    </w:p>
    <w:p>
      <w:pPr>
        <w:spacing w:after="0" w:line="1"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$185,760, $119,700 and $ 119,700, respectively, as reported in the “Non-Equity Incentive Plan Compensation” column of the Summary Compensation Table above.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Our equity award program is the primary vehicle for offering long-term incentives to our executive officers. We believe that equity awards provide our executives with a strong link to our long-term performance, create an ownership culture and help to align the interests of our executives and our stockholders. To date, we have used stock option grants and restricted stock awards for this purpose because we believe they are an effective means by which to align the long-term interests of our executive officers with those of our stockholders. We believe that our equity awards are an important retention tool for our executive officers, as well as for our other employees. Grants to our executive officers and other employees are made at the discretion of our board of directors and are not made at any specific time period during a year.</w:t>
      </w:r>
    </w:p>
    <w:p>
      <w:pPr>
        <w:spacing w:after="0" w:line="11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In June 2023, we granted each of Mr. Babler, Dr. Goldstein and Mr. Hardiman an option to purchase 1,230,000 shares, 70,000 shares and 70,000 shares, respectively, of our Class A common stock. Each option has an exercise price of $2.27 per share and is subject to a four-year vesting schedule, with 25% of the shares vesting in May 2024 on the first anniversary of the vesting commencement date and the balance vesting monthly over 36 months thereafter, subject to the executive officer’s continued service with us. Additionally, in October 2023 we granted each of Mr. Babler, Dr. Goldstein and Mr. Hardiman an option to purchase 500,357 shares, 143,256 shares and 143,256 shares, respectively, of our Class A common stock. Each option has an exercise price of $3.73 per share and is subject to a four-year vesting schedule, with 25% of the shares vesting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October 2024 on the first anniversary of the vesting commencement date and the balance vesting monthly over 36 months thereafter, subject to the executive officer’s continued service with us. The options granted to our named executive officers in 2023 are eligible for accelerated vesting under specified circumstances. Please see the subsection titled “—Potential Payments and Benefits upon Termination or Change in Control” below for a description of such potential acceleration.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March 2024 Option Repricing</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On March 29, 2024, our compensation committee approved a stock option repricing (the Option Repricing) in which the exercise price of certain outstanding and unexercised options to purchase shares of our common stock under our 2021 Plan was reduced to $1.89 per share, the fair market value per share of our common stock on the date of the Option Repricing. The Option Repricing included options granted pursuant to the 2021 Plan that were held by, among others, members of our board of directors and the Company’s named executive officers. After evaluating several alternatives, our compensation committee determined that the Option Repricing was in the best interests of our company and our stockholders and provided the most effective means of retaining and incentivizing our named executive officers while preserving cash resources and without incurring stock dilution from significant additional equity grants.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2023</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named executive officer as of December 31, 2023.</w:t>
      </w:r>
    </w:p>
    <w:p>
      <w:pPr>
        <w:spacing w:after="0" w:line="8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7"/>
                <w:szCs w:val="17"/>
                <w:b w:val="1"/>
                <w:bCs w:val="1"/>
                <w:color w:val="auto"/>
                <w:vertAlign w:val="superscript"/>
              </w:rPr>
              <w:t>(1)</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7"/>
                <w:szCs w:val="17"/>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8"/>
              </w:rPr>
              <w:t>Market Value</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6"/>
              </w:rPr>
              <w:t>of Shares or</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8"/>
              </w:rPr>
              <w:t>Stock that</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center"/>
              <w:spacing w:after="0" w:line="182"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2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5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ind w:left="88"/>
              <w:spacing w:after="0" w:line="182"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24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2"/>
        </w:trPr>
        <w:tc>
          <w:tcPr>
            <w:tcW w:w="3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Martin Babler</w:t>
            </w:r>
          </w:p>
        </w:tc>
        <w:tc>
          <w:tcPr>
            <w:tcW w:w="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​1,780,487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cente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​0.82</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cente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​9/14/2031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line="25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line="25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7"/>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CCEEFF"/>
            </w:tcBorders>
            <w:gridSpan w:val="2"/>
          </w:tcPr>
          <w:p>
            <w:pPr>
              <w:ind w:left="6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900" w:type="dxa"/>
            <w:vAlign w:val="bottom"/>
            <w:tcBorders>
              <w:top w:val="single" w:sz="8" w:color="CCEEFF"/>
            </w:tcBorders>
            <w:gridSpan w:val="2"/>
          </w:tcPr>
          <w:p>
            <w:pPr>
              <w:ind w:left="120"/>
              <w:spacing w:after="0" w:line="18" w:lineRule="exact"/>
              <w:rPr>
                <w:sz w:val="20"/>
                <w:szCs w:val="20"/>
                <w:color w:val="auto"/>
              </w:rPr>
            </w:pPr>
            <w:r>
              <w:rPr>
                <w:rFonts w:ascii="Times New Roman" w:cs="Times New Roman" w:eastAsia="Times New Roman" w:hAnsi="Times New Roman"/>
                <w:sz w:val="1"/>
                <w:szCs w:val="1"/>
                <w:color w:val="auto"/>
              </w:rPr>
              <w:t>500,000</w:t>
            </w:r>
            <w:r>
              <w:rPr>
                <w:rFonts w:ascii="Times New Roman" w:cs="Times New Roman" w:eastAsia="Times New Roman" w:hAnsi="Times New Roman"/>
                <w:sz w:val="2"/>
                <w:szCs w:val="2"/>
                <w:color w:val="auto"/>
                <w:vertAlign w:val="superscript"/>
              </w:rPr>
              <w:t>​ ​</w:t>
            </w:r>
          </w:p>
        </w:tc>
        <w:tc>
          <w:tcPr>
            <w:tcW w:w="100" w:type="dxa"/>
            <w:vAlign w:val="bottom"/>
            <w:tcBorders>
              <w:top w:val="single" w:sz="8" w:color="CCEEFF"/>
            </w:tcBorders>
          </w:tcPr>
          <w:p>
            <w:pPr>
              <w:ind w:left="20"/>
              <w:spacing w:after="0" w:line="18" w:lineRule="exact"/>
              <w:rPr>
                <w:sz w:val="20"/>
                <w:szCs w:val="20"/>
                <w:color w:val="auto"/>
              </w:rPr>
            </w:pPr>
            <w:r>
              <w:rPr>
                <w:rFonts w:ascii="Times New Roman" w:cs="Times New Roman" w:eastAsia="Times New Roman" w:hAnsi="Times New Roman"/>
                <w:sz w:val="2"/>
                <w:szCs w:val="2"/>
                <w:color w:val="auto"/>
              </w:rPr>
              <w:t>​</w:t>
            </w:r>
          </w:p>
        </w:tc>
        <w:tc>
          <w:tcPr>
            <w:tcW w:w="840" w:type="dxa"/>
            <w:vAlign w:val="bottom"/>
            <w:tcBorders>
              <w:top w:val="single" w:sz="8" w:color="CCEEFF"/>
            </w:tcBorders>
          </w:tcPr>
          <w:p>
            <w:pPr>
              <w:jc w:val="center"/>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w:t>
            </w:r>
          </w:p>
        </w:tc>
        <w:tc>
          <w:tcPr>
            <w:tcW w:w="220" w:type="dxa"/>
            <w:vAlign w:val="bottom"/>
            <w:tcBorders>
              <w:top w:val="single" w:sz="8" w:color="CCEEFF"/>
            </w:tcBorders>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600" w:type="dxa"/>
            <w:vAlign w:val="bottom"/>
            <w:tcBorders>
              <w:top w:val="single" w:sz="8" w:color="CCEEFF"/>
            </w:tcBorders>
          </w:tcPr>
          <w:p>
            <w:pPr>
              <w:jc w:val="center"/>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​1.98</w:t>
            </w:r>
          </w:p>
        </w:tc>
        <w:tc>
          <w:tcPr>
            <w:tcW w:w="1220" w:type="dxa"/>
            <w:vAlign w:val="bottom"/>
            <w:tcBorders>
              <w:top w:val="single" w:sz="8" w:color="CCEEFF"/>
            </w:tcBorders>
            <w:gridSpan w:val="8"/>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​1/26/2032</w:t>
            </w:r>
            <w:r>
              <w:rPr>
                <w:rFonts w:ascii="Times New Roman" w:cs="Times New Roman" w:eastAsia="Times New Roman" w:hAnsi="Times New Roman"/>
                <w:sz w:val="2"/>
                <w:szCs w:val="2"/>
                <w:color w:val="auto"/>
                <w:vertAlign w:val="superscript"/>
              </w:rPr>
              <w:t>​​ ​</w:t>
            </w:r>
          </w:p>
        </w:tc>
        <w:tc>
          <w:tcPr>
            <w:tcW w:w="200" w:type="dxa"/>
            <w:vAlign w:val="bottom"/>
            <w:tcBorders>
              <w:top w:val="single" w:sz="8" w:color="CCEEFF"/>
            </w:tcBorders>
          </w:tcPr>
          <w:p>
            <w:pPr>
              <w:ind w:left="14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tcBorders>
              <w:top w:val="single" w:sz="8" w:color="CCEEFF"/>
            </w:tcBorders>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4"/>
          </w:tcPr>
          <w:p>
            <w:pPr>
              <w:ind w:left="20"/>
              <w:spacing w:after="0" w:line="18" w:lineRule="exact"/>
              <w:rPr>
                <w:sz w:val="20"/>
                <w:szCs w:val="20"/>
                <w:color w:val="auto"/>
              </w:rPr>
            </w:pPr>
            <w:r>
              <w:rPr>
                <w:rFonts w:ascii="Times New Roman" w:cs="Times New Roman" w:eastAsia="Times New Roman" w:hAnsi="Times New Roman"/>
                <w:sz w:val="1"/>
                <w:szCs w:val="1"/>
                <w:color w:val="auto"/>
              </w:rPr>
              <w:t>​​ ​ ​</w:t>
            </w:r>
            <w:r>
              <w:rPr>
                <w:rFonts w:ascii="Times New Roman" w:cs="Times New Roman" w:eastAsia="Times New Roman" w:hAnsi="Times New Roman"/>
                <w:sz w:val="2"/>
                <w:szCs w:val="2"/>
                <w:color w:val="auto"/>
                <w:vertAlign w:val="subscript"/>
              </w:rPr>
              <w:t>​</w:t>
            </w: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18" w:lineRule="exact"/>
              <w:rPr>
                <w:sz w:val="20"/>
                <w:szCs w:val="20"/>
                <w:color w:val="auto"/>
              </w:rPr>
            </w:pPr>
            <w:r>
              <w:rPr>
                <w:rFonts w:ascii="Times New Roman" w:cs="Times New Roman" w:eastAsia="Times New Roman" w:hAnsi="Times New Roman"/>
                <w:sz w:val="2"/>
                <w:szCs w:val="2"/>
                <w:color w:val="auto"/>
              </w:rPr>
              <w:t>—</w:t>
            </w:r>
          </w:p>
        </w:tc>
        <w:tc>
          <w:tcPr>
            <w:tcW w:w="6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b w:val="1"/>
                <w:bCs w:val="1"/>
                <w:color w:val="auto"/>
              </w:rPr>
              <w:t>​</w:t>
            </w:r>
          </w:p>
        </w:tc>
        <w:tc>
          <w:tcPr>
            <w:tcW w:w="0" w:type="dxa"/>
            <w:vAlign w:val="bottom"/>
          </w:tcPr>
          <w:p>
            <w:pPr>
              <w:spacing w:after="0" w:line="20" w:lineRule="exact"/>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3"/>
          </w:tcPr>
          <w:p>
            <w:pPr>
              <w:ind w:left="6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​2,500,000</w:t>
            </w:r>
          </w:p>
        </w:tc>
        <w:tc>
          <w:tcPr>
            <w:tcW w:w="2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22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​1.98</w:t>
            </w:r>
          </w:p>
        </w:tc>
        <w:tc>
          <w:tcPr>
            <w:tcW w:w="1220" w:type="dxa"/>
            <w:vAlign w:val="bottom"/>
            <w:gridSpan w:val="8"/>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​1/26/2032</w:t>
            </w:r>
            <w:r>
              <w:rPr>
                <w:rFonts w:ascii="Times New Roman" w:cs="Times New Roman" w:eastAsia="Times New Roman" w:hAnsi="Times New Roman"/>
                <w:sz w:val="13"/>
                <w:szCs w:val="13"/>
                <w:color w:val="auto"/>
                <w:vertAlign w:val="superscript"/>
              </w:rPr>
              <w:t>​​ ​</w:t>
            </w:r>
          </w:p>
        </w:tc>
        <w:tc>
          <w:tcPr>
            <w:tcW w:w="200" w:type="dxa"/>
            <w:vAlign w:val="bottom"/>
          </w:tcPr>
          <w:p>
            <w:pPr>
              <w:ind w:left="14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340" w:type="dxa"/>
            <w:vAlign w:val="bottom"/>
            <w:gridSpan w:val="4"/>
          </w:tcPr>
          <w:p>
            <w:pPr>
              <w:ind w:left="20"/>
              <w:spacing w:after="0" w:line="120" w:lineRule="exact"/>
              <w:rPr>
                <w:sz w:val="20"/>
                <w:szCs w:val="20"/>
                <w:color w:val="auto"/>
              </w:rPr>
            </w:pPr>
            <w:r>
              <w:rPr>
                <w:rFonts w:ascii="Times New Roman" w:cs="Times New Roman" w:eastAsia="Times New Roman" w:hAnsi="Times New Roman"/>
                <w:sz w:val="10"/>
                <w:szCs w:val="10"/>
                <w:color w:val="auto"/>
              </w:rPr>
              <w:t>​​ ​ ​</w:t>
            </w:r>
            <w:r>
              <w:rPr>
                <w:rFonts w:ascii="Times New Roman" w:cs="Times New Roman" w:eastAsia="Times New Roman" w:hAnsi="Times New Roman"/>
                <w:sz w:val="13"/>
                <w:szCs w:val="13"/>
                <w:color w:val="auto"/>
                <w:vertAlign w:val="subscript"/>
              </w:rPr>
              <w:t>​</w:t>
            </w:r>
          </w:p>
        </w:tc>
        <w:tc>
          <w:tcPr>
            <w:tcW w:w="500" w:type="dxa"/>
            <w:vAlign w:val="bottom"/>
          </w:tcPr>
          <w:p>
            <w:pPr>
              <w:spacing w:after="0"/>
              <w:rPr>
                <w:sz w:val="10"/>
                <w:szCs w:val="10"/>
                <w:color w:val="auto"/>
              </w:rPr>
            </w:pPr>
          </w:p>
        </w:tc>
        <w:tc>
          <w:tcPr>
            <w:tcW w:w="2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gridSpan w:val="3"/>
            <w:vMerge w:val="restart"/>
          </w:tcPr>
          <w:p>
            <w:pPr>
              <w:ind w:left="6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​1,230,000</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760" w:type="dxa"/>
            <w:vAlign w:val="bottom"/>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vMerge w:val="restart"/>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200" w:type="dxa"/>
            <w:vAlign w:val="bottom"/>
            <w:shd w:val="clear" w:color="auto" w:fill="CCEEFF"/>
          </w:tcPr>
          <w:p>
            <w:pPr>
              <w:spacing w:after="0" w:line="18"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shd w:val="clear" w:color="auto" w:fill="CCEEFF"/>
          </w:tcPr>
          <w:p>
            <w:pPr>
              <w:ind w:left="20"/>
              <w:spacing w:after="0" w:line="18" w:lineRule="exact"/>
              <w:rPr>
                <w:sz w:val="20"/>
                <w:szCs w:val="20"/>
                <w:color w:val="auto"/>
              </w:rPr>
            </w:pPr>
            <w:r>
              <w:rPr>
                <w:rFonts w:ascii="Times New Roman" w:cs="Times New Roman" w:eastAsia="Times New Roman" w:hAnsi="Times New Roman"/>
                <w:sz w:val="2"/>
                <w:szCs w:val="2"/>
                <w:color w:val="auto"/>
              </w:rPr>
              <w:t>​</w:t>
            </w:r>
          </w:p>
        </w:tc>
        <w:tc>
          <w:tcPr>
            <w:tcW w:w="840" w:type="dxa"/>
            <w:vAlign w:val="bottom"/>
            <w:shd w:val="clear" w:color="auto" w:fill="CCEEFF"/>
          </w:tcPr>
          <w:p>
            <w:pPr>
              <w:jc w:val="center"/>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w:t>
            </w:r>
          </w:p>
        </w:tc>
        <w:tc>
          <w:tcPr>
            <w:tcW w:w="220" w:type="dxa"/>
            <w:vAlign w:val="bottom"/>
            <w:gridSpan w:val="2"/>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600" w:type="dxa"/>
            <w:vAlign w:val="bottom"/>
            <w:shd w:val="clear" w:color="auto" w:fill="CCEEFF"/>
          </w:tcPr>
          <w:p>
            <w:pPr>
              <w:jc w:val="center"/>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​2.27</w:t>
            </w:r>
          </w:p>
        </w:tc>
        <w:tc>
          <w:tcPr>
            <w:tcW w:w="1220" w:type="dxa"/>
            <w:vAlign w:val="bottom"/>
            <w:gridSpan w:val="8"/>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​6/22/2033</w:t>
            </w:r>
            <w:r>
              <w:rPr>
                <w:rFonts w:ascii="Times New Roman" w:cs="Times New Roman" w:eastAsia="Times New Roman" w:hAnsi="Times New Roman"/>
                <w:sz w:val="2"/>
                <w:szCs w:val="2"/>
                <w:color w:val="auto"/>
                <w:vertAlign w:val="superscript"/>
              </w:rPr>
              <w:t>​​ ​</w:t>
            </w:r>
          </w:p>
        </w:tc>
        <w:tc>
          <w:tcPr>
            <w:tcW w:w="200" w:type="dxa"/>
            <w:vAlign w:val="bottom"/>
            <w:shd w:val="clear" w:color="auto" w:fill="CCEEFF"/>
          </w:tcPr>
          <w:p>
            <w:pPr>
              <w:ind w:left="14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shd w:val="clear" w:color="auto" w:fill="CCEEFF"/>
          </w:tcPr>
          <w:p>
            <w:pPr>
              <w:spacing w:after="0" w:line="20" w:lineRule="exact"/>
              <w:rPr>
                <w:sz w:val="1"/>
                <w:szCs w:val="1"/>
                <w:color w:val="auto"/>
              </w:rPr>
            </w:pPr>
          </w:p>
        </w:tc>
        <w:tc>
          <w:tcPr>
            <w:tcW w:w="340" w:type="dxa"/>
            <w:vAlign w:val="bottom"/>
            <w:gridSpan w:val="4"/>
            <w:shd w:val="clear" w:color="auto" w:fill="CCEEFF"/>
          </w:tcPr>
          <w:p>
            <w:pPr>
              <w:ind w:left="20"/>
              <w:spacing w:after="0" w:line="18" w:lineRule="exact"/>
              <w:rPr>
                <w:sz w:val="20"/>
                <w:szCs w:val="20"/>
                <w:color w:val="auto"/>
              </w:rPr>
            </w:pPr>
            <w:r>
              <w:rPr>
                <w:rFonts w:ascii="Times New Roman" w:cs="Times New Roman" w:eastAsia="Times New Roman" w:hAnsi="Times New Roman"/>
                <w:sz w:val="1"/>
                <w:szCs w:val="1"/>
                <w:color w:val="auto"/>
              </w:rPr>
              <w:t>​​ ​ ​</w:t>
            </w:r>
            <w:r>
              <w:rPr>
                <w:rFonts w:ascii="Times New Roman" w:cs="Times New Roman" w:eastAsia="Times New Roman" w:hAnsi="Times New Roman"/>
                <w:sz w:val="2"/>
                <w:szCs w:val="2"/>
                <w:color w:val="auto"/>
                <w:vertAlign w:val="subscript"/>
              </w:rPr>
              <w:t>​</w:t>
            </w:r>
          </w:p>
        </w:tc>
        <w:tc>
          <w:tcPr>
            <w:tcW w:w="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18" w:lineRule="exact"/>
              <w:rPr>
                <w:sz w:val="20"/>
                <w:szCs w:val="20"/>
                <w:color w:val="auto"/>
              </w:rPr>
            </w:pPr>
            <w:r>
              <w:rPr>
                <w:rFonts w:ascii="Times New Roman" w:cs="Times New Roman" w:eastAsia="Times New Roman" w:hAnsi="Times New Roman"/>
                <w:sz w:val="2"/>
                <w:szCs w:val="2"/>
                <w:color w:val="auto"/>
              </w:rPr>
              <w:t>—</w:t>
            </w: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700" w:type="dxa"/>
            <w:vAlign w:val="bottom"/>
          </w:tcPr>
          <w:p>
            <w:pPr>
              <w:ind w:left="120"/>
              <w:spacing w:after="0" w:line="120" w:lineRule="exact"/>
              <w:rPr>
                <w:sz w:val="20"/>
                <w:szCs w:val="20"/>
                <w:color w:val="auto"/>
              </w:rPr>
            </w:pPr>
            <w:r>
              <w:rPr>
                <w:rFonts w:ascii="Times New Roman" w:cs="Times New Roman" w:eastAsia="Times New Roman" w:hAnsi="Times New Roman"/>
                <w:sz w:val="13"/>
                <w:szCs w:val="13"/>
                <w:color w:val="auto"/>
              </w:rPr>
              <w:t>500,357</w:t>
            </w:r>
          </w:p>
        </w:tc>
        <w:tc>
          <w:tcPr>
            <w:tcW w:w="2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​3.73</w:t>
            </w:r>
          </w:p>
        </w:tc>
        <w:tc>
          <w:tcPr>
            <w:tcW w:w="1220" w:type="dxa"/>
            <w:vAlign w:val="bottom"/>
            <w:gridSpan w:val="8"/>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​10/8/2033</w:t>
            </w:r>
            <w:r>
              <w:rPr>
                <w:rFonts w:ascii="Times New Roman" w:cs="Times New Roman" w:eastAsia="Times New Roman" w:hAnsi="Times New Roman"/>
                <w:sz w:val="13"/>
                <w:szCs w:val="13"/>
                <w:color w:val="auto"/>
                <w:vertAlign w:val="superscript"/>
              </w:rPr>
              <w:t>​​ ​</w:t>
            </w:r>
          </w:p>
        </w:tc>
        <w:tc>
          <w:tcPr>
            <w:tcW w:w="200" w:type="dxa"/>
            <w:vAlign w:val="bottom"/>
            <w:shd w:val="clear" w:color="auto" w:fill="CCEEFF"/>
          </w:tcPr>
          <w:p>
            <w:pPr>
              <w:ind w:left="14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5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340" w:type="dxa"/>
            <w:vAlign w:val="bottom"/>
            <w:gridSpan w:val="4"/>
            <w:shd w:val="clear" w:color="auto" w:fill="CCEEFF"/>
          </w:tcPr>
          <w:p>
            <w:pPr>
              <w:ind w:left="20"/>
              <w:spacing w:after="0" w:line="120" w:lineRule="exact"/>
              <w:rPr>
                <w:sz w:val="20"/>
                <w:szCs w:val="20"/>
                <w:color w:val="auto"/>
              </w:rPr>
            </w:pPr>
            <w:r>
              <w:rPr>
                <w:rFonts w:ascii="Times New Roman" w:cs="Times New Roman" w:eastAsia="Times New Roman" w:hAnsi="Times New Roman"/>
                <w:sz w:val="10"/>
                <w:szCs w:val="10"/>
                <w:color w:val="auto"/>
              </w:rPr>
              <w:t>​​ ​ ​</w:t>
            </w:r>
            <w:r>
              <w:rPr>
                <w:rFonts w:ascii="Times New Roman" w:cs="Times New Roman" w:eastAsia="Times New Roman" w:hAnsi="Times New Roman"/>
                <w:sz w:val="13"/>
                <w:szCs w:val="13"/>
                <w:color w:val="auto"/>
                <w:vertAlign w:val="subscript"/>
              </w:rPr>
              <w:t>​</w:t>
            </w:r>
          </w:p>
        </w:tc>
        <w:tc>
          <w:tcPr>
            <w:tcW w:w="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gridSpan w:val="3"/>
            <w:vMerge w:val="restart"/>
          </w:tcPr>
          <w:p>
            <w:pPr>
              <w:ind w:left="200"/>
              <w:spacing w:after="0" w:line="368"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700" w:type="dxa"/>
            <w:vAlign w:val="bottom"/>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rPr>
                <w:sz w:val="8"/>
                <w:szCs w:val="8"/>
                <w:color w:val="auto"/>
              </w:rPr>
            </w:pPr>
          </w:p>
        </w:tc>
        <w:tc>
          <w:tcPr>
            <w:tcW w:w="760" w:type="dxa"/>
            <w:vAlign w:val="bottom"/>
            <w:gridSpan w:val="3"/>
            <w:shd w:val="clear" w:color="auto" w:fill="CCEEFF"/>
          </w:tcPr>
          <w:p>
            <w:pPr>
              <w:spacing w:after="0"/>
              <w:rPr>
                <w:sz w:val="8"/>
                <w:szCs w:val="8"/>
                <w:color w:val="auto"/>
              </w:rPr>
            </w:pPr>
          </w:p>
        </w:tc>
        <w:tc>
          <w:tcPr>
            <w:tcW w:w="220" w:type="dxa"/>
            <w:vAlign w:val="bottom"/>
            <w:gridSpan w:val="2"/>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Goldstein, Ph.D.</w:t>
            </w:r>
          </w:p>
        </w:tc>
        <w:tc>
          <w:tcPr>
            <w:tcW w:w="400" w:type="dxa"/>
            <w:vAlign w:val="bottom"/>
            <w:gridSpan w:val="3"/>
            <w:vMerge w:val="continue"/>
          </w:tcPr>
          <w:p>
            <w:pPr>
              <w:spacing w:after="0"/>
              <w:rPr>
                <w:sz w:val="23"/>
                <w:szCs w:val="23"/>
                <w:color w:val="auto"/>
              </w:rPr>
            </w:pPr>
          </w:p>
        </w:tc>
        <w:tc>
          <w:tcPr>
            <w:tcW w:w="900" w:type="dxa"/>
            <w:vAlign w:val="bottom"/>
            <w:gridSpan w:val="2"/>
          </w:tcPr>
          <w:p>
            <w:pPr>
              <w:ind w:left="120"/>
              <w:spacing w:after="0" w:line="265" w:lineRule="exact"/>
              <w:rPr>
                <w:sz w:val="20"/>
                <w:szCs w:val="20"/>
                <w:color w:val="auto"/>
              </w:rPr>
            </w:pPr>
            <w:r>
              <w:rPr>
                <w:rFonts w:ascii="Times New Roman" w:cs="Times New Roman" w:eastAsia="Times New Roman" w:hAnsi="Times New Roman"/>
                <w:sz w:val="16"/>
                <w:szCs w:val="16"/>
                <w:color w:val="auto"/>
              </w:rPr>
              <w:t>200,000</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vertAlign w:val="superscript"/>
              </w:rPr>
              <w:t>(9)</w:t>
            </w:r>
            <w:r>
              <w:rPr>
                <w:rFonts w:ascii="Times New Roman" w:cs="Times New Roman" w:eastAsia="Times New Roman" w:hAnsi="Times New Roman"/>
                <w:sz w:val="30"/>
                <w:szCs w:val="30"/>
                <w:color w:val="auto"/>
                <w:vertAlign w:val="superscript"/>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center"/>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​1.98</w:t>
            </w:r>
          </w:p>
        </w:tc>
        <w:tc>
          <w:tcPr>
            <w:tcW w:w="1220" w:type="dxa"/>
            <w:vAlign w:val="bottom"/>
            <w:gridSpan w:val="8"/>
          </w:tcPr>
          <w:p>
            <w:pPr>
              <w:jc w:val="right"/>
              <w:spacing w:after="0" w:line="265"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​1/26/2032</w:t>
            </w:r>
            <w:r>
              <w:rPr>
                <w:rFonts w:ascii="Times New Roman" w:cs="Times New Roman" w:eastAsia="Times New Roman" w:hAnsi="Times New Roman"/>
                <w:sz w:val="30"/>
                <w:szCs w:val="30"/>
                <w:color w:val="auto"/>
                <w:vertAlign w:val="superscript"/>
              </w:rPr>
              <w:t>​​ ​</w:t>
            </w:r>
          </w:p>
        </w:tc>
        <w:tc>
          <w:tcPr>
            <w:tcW w:w="200" w:type="dxa"/>
            <w:vAlign w:val="bottom"/>
          </w:tcPr>
          <w:p>
            <w:pPr>
              <w:ind w:left="140"/>
              <w:spacing w:after="0" w:line="265"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340" w:type="dxa"/>
            <w:vAlign w:val="bottom"/>
            <w:gridSpan w:val="4"/>
          </w:tcPr>
          <w:p>
            <w:pPr>
              <w:ind w:left="20"/>
              <w:spacing w:after="0" w:line="265"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color w:val="auto"/>
                <w:vertAlign w:val="subscript"/>
              </w:rPr>
              <w:t>​</w:t>
            </w:r>
          </w:p>
        </w:tc>
        <w:tc>
          <w:tcPr>
            <w:tcW w:w="500" w:type="dxa"/>
            <w:vAlign w:val="bottom"/>
          </w:tcPr>
          <w:p>
            <w:pPr>
              <w:spacing w:after="0"/>
              <w:rPr>
                <w:sz w:val="23"/>
                <w:szCs w:val="23"/>
                <w:color w:val="auto"/>
              </w:rPr>
            </w:pPr>
          </w:p>
        </w:tc>
        <w:tc>
          <w:tcPr>
            <w:tcW w:w="300" w:type="dxa"/>
            <w:vAlign w:val="bottom"/>
            <w:gridSpan w:val="2"/>
          </w:tcPr>
          <w:p>
            <w:pPr>
              <w:jc w:val="right"/>
              <w:spacing w:after="0" w:line="26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b w:val="1"/>
                <w:bCs w:val="1"/>
                <w:color w:val="auto"/>
                <w:vertAlign w:val="superscript"/>
              </w:rPr>
              <w:t>​</w:t>
            </w: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gridSpan w:val="2"/>
          </w:tcPr>
          <w:p>
            <w:pPr>
              <w:ind w:left="60"/>
              <w:spacing w:after="0" w:line="50"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900" w:type="dxa"/>
            <w:vAlign w:val="bottom"/>
            <w:gridSpan w:val="2"/>
          </w:tcPr>
          <w:p>
            <w:pPr>
              <w:ind w:left="120"/>
              <w:spacing w:after="0" w:line="50" w:lineRule="exact"/>
              <w:rPr>
                <w:sz w:val="20"/>
                <w:szCs w:val="20"/>
                <w:color w:val="auto"/>
              </w:rPr>
            </w:pPr>
            <w:r>
              <w:rPr>
                <w:rFonts w:ascii="Times New Roman" w:cs="Times New Roman" w:eastAsia="Times New Roman" w:hAnsi="Times New Roman"/>
                <w:sz w:val="3"/>
                <w:szCs w:val="3"/>
                <w:color w:val="auto"/>
              </w:rPr>
              <w:t>800,000</w:t>
            </w:r>
            <w:r>
              <w:rPr>
                <w:rFonts w:ascii="Times New Roman" w:cs="Times New Roman" w:eastAsia="Times New Roman" w:hAnsi="Times New Roman"/>
                <w:sz w:val="5"/>
                <w:szCs w:val="5"/>
                <w:color w:val="auto"/>
                <w:vertAlign w:val="superscript"/>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00" w:type="dxa"/>
            <w:vAlign w:val="bottom"/>
          </w:tcPr>
          <w:p>
            <w:pPr>
              <w:jc w:val="center"/>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​1.98</w:t>
            </w:r>
          </w:p>
        </w:tc>
        <w:tc>
          <w:tcPr>
            <w:tcW w:w="1220" w:type="dxa"/>
            <w:vAlign w:val="bottom"/>
            <w:gridSpan w:val="8"/>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 ​​</w:t>
            </w:r>
            <w:r>
              <w:rPr>
                <w:rFonts w:ascii="Times New Roman" w:cs="Times New Roman" w:eastAsia="Times New Roman" w:hAnsi="Times New Roman"/>
                <w:sz w:val="3"/>
                <w:szCs w:val="3"/>
                <w:color w:val="auto"/>
              </w:rPr>
              <w:t>​1/26/2032</w:t>
            </w:r>
            <w:r>
              <w:rPr>
                <w:rFonts w:ascii="Times New Roman" w:cs="Times New Roman" w:eastAsia="Times New Roman" w:hAnsi="Times New Roman"/>
                <w:sz w:val="5"/>
                <w:szCs w:val="5"/>
                <w:color w:val="auto"/>
                <w:vertAlign w:val="superscript"/>
              </w:rPr>
              <w:t>​​ ​</w:t>
            </w:r>
          </w:p>
        </w:tc>
        <w:tc>
          <w:tcPr>
            <w:tcW w:w="200" w:type="dxa"/>
            <w:vAlign w:val="bottom"/>
          </w:tcPr>
          <w:p>
            <w:pPr>
              <w:ind w:left="140"/>
              <w:spacing w:after="0" w:line="50"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4"/>
                <w:szCs w:val="4"/>
                <w:color w:val="auto"/>
              </w:rPr>
            </w:pPr>
          </w:p>
        </w:tc>
        <w:tc>
          <w:tcPr>
            <w:tcW w:w="340" w:type="dxa"/>
            <w:vAlign w:val="bottom"/>
            <w:gridSpan w:val="4"/>
          </w:tcPr>
          <w:p>
            <w:pPr>
              <w:ind w:left="20"/>
              <w:spacing w:after="0" w:line="50" w:lineRule="exact"/>
              <w:rPr>
                <w:sz w:val="20"/>
                <w:szCs w:val="20"/>
                <w:color w:val="auto"/>
              </w:rPr>
            </w:pPr>
            <w:r>
              <w:rPr>
                <w:rFonts w:ascii="Times New Roman" w:cs="Times New Roman" w:eastAsia="Times New Roman" w:hAnsi="Times New Roman"/>
                <w:sz w:val="3"/>
                <w:szCs w:val="3"/>
                <w:color w:val="auto"/>
              </w:rPr>
              <w:t>​​ ​ ​</w:t>
            </w:r>
            <w:r>
              <w:rPr>
                <w:rFonts w:ascii="Times New Roman" w:cs="Times New Roman" w:eastAsia="Times New Roman" w:hAnsi="Times New Roman"/>
                <w:sz w:val="5"/>
                <w:szCs w:val="5"/>
                <w:color w:val="auto"/>
                <w:vertAlign w:val="subscript"/>
              </w:rPr>
              <w:t>​</w:t>
            </w:r>
          </w:p>
        </w:tc>
        <w:tc>
          <w:tcPr>
            <w:tcW w:w="500" w:type="dxa"/>
            <w:vAlign w:val="bottom"/>
          </w:tcPr>
          <w:p>
            <w:pPr>
              <w:spacing w:after="0"/>
              <w:rPr>
                <w:sz w:val="4"/>
                <w:szCs w:val="4"/>
                <w:color w:val="auto"/>
              </w:rPr>
            </w:pPr>
          </w:p>
        </w:tc>
        <w:tc>
          <w:tcPr>
            <w:tcW w:w="300" w:type="dxa"/>
            <w:vAlign w:val="bottom"/>
            <w:gridSpan w:val="2"/>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bscript"/>
              </w:rPr>
              <w:t>—</w:t>
            </w:r>
            <w:r>
              <w:rPr>
                <w:rFonts w:ascii="Times New Roman" w:cs="Times New Roman" w:eastAsia="Times New Roman" w:hAnsi="Times New Roman"/>
                <w:sz w:val="3"/>
                <w:szCs w:val="3"/>
                <w:b w:val="1"/>
                <w:bCs w:val="1"/>
                <w:color w:val="auto"/>
              </w:rPr>
              <w:t xml:space="preserve"> ​</w:t>
            </w:r>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gridSpan w:val="2"/>
            <w:vMerge w:val="restart"/>
          </w:tcPr>
          <w:p>
            <w:pPr>
              <w:ind w:left="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89"/>
              </w:rPr>
              <w:t>(10)</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restart"/>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​2.27</w:t>
            </w:r>
          </w:p>
        </w:tc>
        <w:tc>
          <w:tcPr>
            <w:tcW w:w="1220" w:type="dxa"/>
            <w:vAlign w:val="bottom"/>
            <w:gridSpan w:val="8"/>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​6/22/2033</w:t>
            </w:r>
            <w:r>
              <w:rPr>
                <w:rFonts w:ascii="Times New Roman" w:cs="Times New Roman" w:eastAsia="Times New Roman" w:hAnsi="Times New Roman"/>
                <w:sz w:val="31"/>
                <w:szCs w:val="31"/>
                <w:color w:val="auto"/>
                <w:vertAlign w:val="superscript"/>
              </w:rPr>
              <w:t>​​ ​</w:t>
            </w:r>
          </w:p>
        </w:tc>
        <w:tc>
          <w:tcPr>
            <w:tcW w:w="200" w:type="dxa"/>
            <w:vAlign w:val="bottom"/>
            <w:vMerge w:val="restart"/>
          </w:tcPr>
          <w:p>
            <w:pPr>
              <w:ind w:left="1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340" w:type="dxa"/>
            <w:vAlign w:val="bottom"/>
            <w:gridSpan w:val="4"/>
            <w:vMerge w:val="restart"/>
          </w:tcPr>
          <w:p>
            <w:pPr>
              <w:ind w:left="20"/>
              <w:spacing w:after="0" w:line="269" w:lineRule="exact"/>
              <w:rPr>
                <w:sz w:val="20"/>
                <w:szCs w:val="20"/>
                <w:color w:val="auto"/>
              </w:rPr>
            </w:pPr>
            <w:r>
              <w:rPr>
                <w:rFonts w:ascii="Times New Roman" w:cs="Times New Roman" w:eastAsia="Times New Roman" w:hAnsi="Times New Roman"/>
                <w:sz w:val="17"/>
                <w:szCs w:val="17"/>
                <w:color w:val="auto"/>
              </w:rPr>
              <w:t>​​ ​ ​</w:t>
            </w:r>
            <w:r>
              <w:rPr>
                <w:rFonts w:ascii="Times New Roman" w:cs="Times New Roman" w:eastAsia="Times New Roman" w:hAnsi="Times New Roman"/>
                <w:sz w:val="31"/>
                <w:szCs w:val="31"/>
                <w:color w:val="auto"/>
                <w:vertAlign w:val="subscript"/>
              </w:rPr>
              <w:t>​</w:t>
            </w:r>
          </w:p>
        </w:tc>
        <w:tc>
          <w:tcPr>
            <w:tcW w:w="500" w:type="dxa"/>
            <w:vAlign w:val="bottom"/>
          </w:tcPr>
          <w:p>
            <w:pPr>
              <w:spacing w:after="0"/>
              <w:rPr>
                <w:sz w:val="13"/>
                <w:szCs w:val="13"/>
                <w:color w:val="auto"/>
              </w:rPr>
            </w:pPr>
          </w:p>
        </w:tc>
        <w:tc>
          <w:tcPr>
            <w:tcW w:w="300" w:type="dxa"/>
            <w:vAlign w:val="bottom"/>
            <w:gridSpan w:val="2"/>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b w:val="1"/>
                <w:bCs w:val="1"/>
                <w:color w:val="auto"/>
              </w:rPr>
              <w:t xml:space="preserve"> ​</w:t>
            </w: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900" w:type="dxa"/>
            <w:vAlign w:val="bottom"/>
            <w:gridSpan w:val="2"/>
          </w:tcPr>
          <w:p>
            <w:pPr>
              <w:jc w:val="right"/>
              <w:ind w:right="22"/>
              <w:spacing w:after="0" w:line="120" w:lineRule="exact"/>
              <w:rPr>
                <w:sz w:val="20"/>
                <w:szCs w:val="20"/>
                <w:color w:val="auto"/>
              </w:rPr>
            </w:pPr>
            <w:r>
              <w:rPr>
                <w:rFonts w:ascii="Times New Roman" w:cs="Times New Roman" w:eastAsia="Times New Roman" w:hAnsi="Times New Roman"/>
                <w:sz w:val="10"/>
                <w:szCs w:val="10"/>
                <w:color w:val="auto"/>
              </w:rPr>
              <w:t>56,000</w:t>
            </w:r>
            <w:r>
              <w:rPr>
                <w:rFonts w:ascii="Times New Roman" w:cs="Times New Roman" w:eastAsia="Times New Roman" w:hAnsi="Times New Roman"/>
                <w:sz w:val="13"/>
                <w:szCs w:val="13"/>
                <w:color w:val="auto"/>
                <w:vertAlign w:val="superscript"/>
              </w:rPr>
              <w:t>​ ​</w:t>
            </w:r>
          </w:p>
        </w:tc>
        <w:tc>
          <w:tcPr>
            <w:tcW w:w="1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220" w:type="dxa"/>
            <w:vAlign w:val="bottom"/>
            <w:gridSpan w:val="8"/>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4"/>
            <w:vMerge w:val="continue"/>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gridSpan w:val="2"/>
            <w:vMerge w:val="restart"/>
          </w:tcPr>
          <w:p>
            <w:pPr>
              <w:ind w:left="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89"/>
              </w:rPr>
              <w:t>(11)</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restart"/>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​3.73</w:t>
            </w:r>
          </w:p>
        </w:tc>
        <w:tc>
          <w:tcPr>
            <w:tcW w:w="1220" w:type="dxa"/>
            <w:vAlign w:val="bottom"/>
            <w:gridSpan w:val="8"/>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​10/8/2033</w:t>
            </w:r>
            <w:r>
              <w:rPr>
                <w:rFonts w:ascii="Times New Roman" w:cs="Times New Roman" w:eastAsia="Times New Roman" w:hAnsi="Times New Roman"/>
                <w:sz w:val="31"/>
                <w:szCs w:val="31"/>
                <w:color w:val="auto"/>
                <w:vertAlign w:val="superscript"/>
              </w:rPr>
              <w:t>​​ ​</w:t>
            </w:r>
          </w:p>
        </w:tc>
        <w:tc>
          <w:tcPr>
            <w:tcW w:w="200" w:type="dxa"/>
            <w:vAlign w:val="bottom"/>
            <w:vMerge w:val="restart"/>
          </w:tcPr>
          <w:p>
            <w:pPr>
              <w:ind w:left="1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340" w:type="dxa"/>
            <w:vAlign w:val="bottom"/>
            <w:gridSpan w:val="4"/>
            <w:vMerge w:val="restart"/>
          </w:tcPr>
          <w:p>
            <w:pPr>
              <w:ind w:left="20"/>
              <w:spacing w:after="0" w:line="269" w:lineRule="exact"/>
              <w:rPr>
                <w:sz w:val="20"/>
                <w:szCs w:val="20"/>
                <w:color w:val="auto"/>
              </w:rPr>
            </w:pPr>
            <w:r>
              <w:rPr>
                <w:rFonts w:ascii="Times New Roman" w:cs="Times New Roman" w:eastAsia="Times New Roman" w:hAnsi="Times New Roman"/>
                <w:sz w:val="17"/>
                <w:szCs w:val="17"/>
                <w:color w:val="auto"/>
              </w:rPr>
              <w:t>​​ ​ ​</w:t>
            </w:r>
            <w:r>
              <w:rPr>
                <w:rFonts w:ascii="Times New Roman" w:cs="Times New Roman" w:eastAsia="Times New Roman" w:hAnsi="Times New Roman"/>
                <w:sz w:val="31"/>
                <w:szCs w:val="31"/>
                <w:color w:val="auto"/>
                <w:vertAlign w:val="subscript"/>
              </w:rPr>
              <w:t>​</w:t>
            </w:r>
          </w:p>
        </w:tc>
        <w:tc>
          <w:tcPr>
            <w:tcW w:w="500" w:type="dxa"/>
            <w:vAlign w:val="bottom"/>
          </w:tcPr>
          <w:p>
            <w:pPr>
              <w:spacing w:after="0"/>
              <w:rPr>
                <w:sz w:val="13"/>
                <w:szCs w:val="13"/>
                <w:color w:val="auto"/>
              </w:rPr>
            </w:pPr>
          </w:p>
        </w:tc>
        <w:tc>
          <w:tcPr>
            <w:tcW w:w="300" w:type="dxa"/>
            <w:vAlign w:val="bottom"/>
            <w:gridSpan w:val="2"/>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b w:val="1"/>
                <w:bCs w:val="1"/>
                <w:color w:val="auto"/>
              </w:rPr>
              <w:t xml:space="preserve"> ​</w:t>
            </w: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900" w:type="dxa"/>
            <w:vAlign w:val="bottom"/>
            <w:gridSpan w:val="2"/>
          </w:tcPr>
          <w:p>
            <w:pPr>
              <w:ind w:left="120"/>
              <w:spacing w:after="0" w:line="120" w:lineRule="exact"/>
              <w:rPr>
                <w:sz w:val="20"/>
                <w:szCs w:val="20"/>
                <w:color w:val="auto"/>
              </w:rPr>
            </w:pPr>
            <w:r>
              <w:rPr>
                <w:rFonts w:ascii="Times New Roman" w:cs="Times New Roman" w:eastAsia="Times New Roman" w:hAnsi="Times New Roman"/>
                <w:sz w:val="10"/>
                <w:szCs w:val="10"/>
                <w:color w:val="auto"/>
              </w:rPr>
              <w:t>143,256</w:t>
            </w:r>
            <w:r>
              <w:rPr>
                <w:rFonts w:ascii="Times New Roman" w:cs="Times New Roman" w:eastAsia="Times New Roman" w:hAnsi="Times New Roman"/>
                <w:sz w:val="13"/>
                <w:szCs w:val="13"/>
                <w:color w:val="auto"/>
                <w:vertAlign w:val="superscript"/>
              </w:rPr>
              <w:t>​ ​</w:t>
            </w:r>
          </w:p>
        </w:tc>
        <w:tc>
          <w:tcPr>
            <w:tcW w:w="1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220" w:type="dxa"/>
            <w:vAlign w:val="bottom"/>
            <w:gridSpan w:val="8"/>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4"/>
            <w:vMerge w:val="continue"/>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gridSpan w:val="2"/>
            <w:vMerge w:val="restart"/>
          </w:tcPr>
          <w:p>
            <w:pPr>
              <w:ind w:left="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89"/>
              </w:rPr>
              <w:t>(12)</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restart"/>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p>
        </w:tc>
        <w:tc>
          <w:tcPr>
            <w:tcW w:w="340" w:type="dxa"/>
            <w:vAlign w:val="bottom"/>
            <w:gridSpan w:val="4"/>
            <w:vMerge w:val="restart"/>
          </w:tcPr>
          <w:p>
            <w:pPr>
              <w:ind w:left="2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bscript"/>
              </w:rPr>
              <w:t>​</w:t>
            </w:r>
          </w:p>
        </w:tc>
        <w:tc>
          <w:tcPr>
            <w:tcW w:w="480" w:type="dxa"/>
            <w:vAlign w:val="bottom"/>
          </w:tcPr>
          <w:p>
            <w:pPr>
              <w:spacing w:after="0"/>
              <w:rPr>
                <w:sz w:val="13"/>
                <w:szCs w:val="13"/>
                <w:color w:val="auto"/>
              </w:rPr>
            </w:pPr>
          </w:p>
        </w:tc>
        <w:tc>
          <w:tcPr>
            <w:tcW w:w="400" w:type="dxa"/>
            <w:vAlign w:val="bottom"/>
            <w:gridSpan w:val="3"/>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w:t>
            </w:r>
          </w:p>
        </w:tc>
        <w:tc>
          <w:tcPr>
            <w:tcW w:w="740" w:type="dxa"/>
            <w:vAlign w:val="bottom"/>
            <w:gridSpan w:val="2"/>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​437,500</w:t>
            </w:r>
          </w:p>
        </w:tc>
        <w:tc>
          <w:tcPr>
            <w:tcW w:w="120" w:type="dxa"/>
            <w:vAlign w:val="bottom"/>
          </w:tcPr>
          <w:p>
            <w:pPr>
              <w:spacing w:after="0"/>
              <w:rPr>
                <w:sz w:val="13"/>
                <w:szCs w:val="13"/>
                <w:color w:val="auto"/>
              </w:rPr>
            </w:pPr>
          </w:p>
        </w:tc>
        <w:tc>
          <w:tcPr>
            <w:tcW w:w="1140" w:type="dxa"/>
            <w:vAlign w:val="bottom"/>
            <w:gridSpan w:val="7"/>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​1,631,875 </w:t>
            </w:r>
            <w:r>
              <w:rPr>
                <w:rFonts w:ascii="Times New Roman" w:cs="Times New Roman" w:eastAsia="Times New Roman" w:hAnsi="Times New Roman"/>
                <w:sz w:val="31"/>
                <w:szCs w:val="31"/>
                <w:b w:val="1"/>
                <w:bCs w:val="1"/>
                <w:color w:val="auto"/>
                <w:vertAlign w:val="superscript"/>
              </w:rPr>
              <w:t>​</w:t>
            </w: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900" w:type="dxa"/>
            <w:vAlign w:val="bottom"/>
            <w:gridSpan w:val="2"/>
          </w:tcPr>
          <w:p>
            <w:pPr>
              <w:jc w:val="right"/>
              <w:ind w:right="22"/>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10"/>
                <w:szCs w:val="10"/>
                <w:color w:val="auto"/>
              </w:rPr>
              <w:t>​ ​</w:t>
            </w:r>
          </w:p>
        </w:tc>
        <w:tc>
          <w:tcPr>
            <w:tcW w:w="1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gridSpan w:val="4"/>
            <w:vMerge w:val="continue"/>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gridSpan w:val="3"/>
          </w:tcPr>
          <w:p>
            <w:pPr>
              <w:jc w:val="right"/>
              <w:ind w:right="19"/>
              <w:spacing w:after="0"/>
              <w:rPr>
                <w:sz w:val="20"/>
                <w:szCs w:val="20"/>
                <w:color w:val="auto"/>
              </w:rPr>
            </w:pPr>
            <w:r>
              <w:rPr>
                <w:rFonts w:ascii="Times New Roman" w:cs="Times New Roman" w:eastAsia="Times New Roman" w:hAnsi="Times New Roman"/>
                <w:sz w:val="12"/>
                <w:szCs w:val="12"/>
                <w:color w:val="auto"/>
                <w:w w:val="79"/>
              </w:rPr>
              <w:t>(13)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9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760" w:type="dxa"/>
            <w:vAlign w:val="bottom"/>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7"/>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Roy Hardiman</w:t>
            </w:r>
          </w:p>
        </w:tc>
        <w:tc>
          <w:tcPr>
            <w:tcW w:w="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60"/>
              <w:spacing w:after="0" w:line="265"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900" w:type="dxa"/>
            <w:vAlign w:val="bottom"/>
            <w:gridSpan w:val="2"/>
            <w:shd w:val="clear" w:color="auto" w:fill="CCEEFF"/>
          </w:tcPr>
          <w:p>
            <w:pPr>
              <w:ind w:left="120"/>
              <w:spacing w:after="0" w:line="265" w:lineRule="exact"/>
              <w:rPr>
                <w:sz w:val="20"/>
                <w:szCs w:val="20"/>
                <w:color w:val="auto"/>
              </w:rPr>
            </w:pPr>
            <w:r>
              <w:rPr>
                <w:rFonts w:ascii="Times New Roman" w:cs="Times New Roman" w:eastAsia="Times New Roman" w:hAnsi="Times New Roman"/>
                <w:sz w:val="16"/>
                <w:szCs w:val="16"/>
                <w:color w:val="auto"/>
              </w:rPr>
              <w:t>200,000</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vertAlign w:val="superscript"/>
              </w:rPr>
              <w:t>(14)</w:t>
            </w:r>
            <w:r>
              <w:rPr>
                <w:rFonts w:ascii="Times New Roman" w:cs="Times New Roman" w:eastAsia="Times New Roman" w:hAnsi="Times New Roman"/>
                <w:sz w:val="30"/>
                <w:szCs w:val="30"/>
                <w:color w:val="auto"/>
                <w:vertAlign w:val="superscript"/>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center"/>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​1.98</w:t>
            </w:r>
          </w:p>
        </w:tc>
        <w:tc>
          <w:tcPr>
            <w:tcW w:w="1220" w:type="dxa"/>
            <w:vAlign w:val="bottom"/>
            <w:gridSpan w:val="8"/>
            <w:shd w:val="clear" w:color="auto" w:fill="CCEEFF"/>
          </w:tcPr>
          <w:p>
            <w:pPr>
              <w:jc w:val="right"/>
              <w:spacing w:after="0" w:line="265"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​1/26/2032</w:t>
            </w:r>
            <w:r>
              <w:rPr>
                <w:rFonts w:ascii="Times New Roman" w:cs="Times New Roman" w:eastAsia="Times New Roman" w:hAnsi="Times New Roman"/>
                <w:sz w:val="30"/>
                <w:szCs w:val="30"/>
                <w:color w:val="auto"/>
                <w:vertAlign w:val="superscript"/>
              </w:rPr>
              <w:t>​​ ​</w:t>
            </w:r>
          </w:p>
        </w:tc>
        <w:tc>
          <w:tcPr>
            <w:tcW w:w="200" w:type="dxa"/>
            <w:vAlign w:val="bottom"/>
            <w:shd w:val="clear" w:color="auto" w:fill="CCEEFF"/>
          </w:tcPr>
          <w:p>
            <w:pPr>
              <w:ind w:left="140"/>
              <w:spacing w:after="0" w:line="265"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40" w:type="dxa"/>
            <w:vAlign w:val="bottom"/>
            <w:gridSpan w:val="4"/>
            <w:shd w:val="clear" w:color="auto" w:fill="CCEEFF"/>
          </w:tcPr>
          <w:p>
            <w:pPr>
              <w:ind w:left="20"/>
              <w:spacing w:after="0" w:line="265"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color w:val="auto"/>
                <w:vertAlign w:val="subscript"/>
              </w:rPr>
              <w:t>​</w:t>
            </w: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CCEEFF"/>
            </w:tcBorders>
            <w:gridSpan w:val="2"/>
          </w:tcPr>
          <w:p>
            <w:pPr>
              <w:ind w:left="6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900" w:type="dxa"/>
            <w:vAlign w:val="bottom"/>
            <w:tcBorders>
              <w:top w:val="single" w:sz="8" w:color="CCEEFF"/>
            </w:tcBorders>
            <w:gridSpan w:val="2"/>
          </w:tcPr>
          <w:p>
            <w:pPr>
              <w:ind w:left="120"/>
              <w:spacing w:after="0" w:line="18" w:lineRule="exact"/>
              <w:rPr>
                <w:sz w:val="20"/>
                <w:szCs w:val="20"/>
                <w:color w:val="auto"/>
              </w:rPr>
            </w:pPr>
            <w:r>
              <w:rPr>
                <w:rFonts w:ascii="Times New Roman" w:cs="Times New Roman" w:eastAsia="Times New Roman" w:hAnsi="Times New Roman"/>
                <w:sz w:val="1"/>
                <w:szCs w:val="1"/>
                <w:color w:val="auto"/>
              </w:rPr>
              <w:t>710,000</w:t>
            </w:r>
            <w:r>
              <w:rPr>
                <w:rFonts w:ascii="Times New Roman" w:cs="Times New Roman" w:eastAsia="Times New Roman" w:hAnsi="Times New Roman"/>
                <w:sz w:val="2"/>
                <w:szCs w:val="2"/>
                <w:color w:val="auto"/>
                <w:vertAlign w:val="superscript"/>
              </w:rPr>
              <w:t>​ ​</w:t>
            </w:r>
          </w:p>
        </w:tc>
        <w:tc>
          <w:tcPr>
            <w:tcW w:w="100" w:type="dxa"/>
            <w:vAlign w:val="bottom"/>
            <w:tcBorders>
              <w:top w:val="single" w:sz="8" w:color="CCEEFF"/>
            </w:tcBorders>
          </w:tcPr>
          <w:p>
            <w:pPr>
              <w:ind w:left="20"/>
              <w:spacing w:after="0" w:line="18" w:lineRule="exact"/>
              <w:rPr>
                <w:sz w:val="20"/>
                <w:szCs w:val="20"/>
                <w:color w:val="auto"/>
              </w:rPr>
            </w:pPr>
            <w:r>
              <w:rPr>
                <w:rFonts w:ascii="Times New Roman" w:cs="Times New Roman" w:eastAsia="Times New Roman" w:hAnsi="Times New Roman"/>
                <w:sz w:val="2"/>
                <w:szCs w:val="2"/>
                <w:color w:val="auto"/>
              </w:rPr>
              <w:t>​</w:t>
            </w:r>
          </w:p>
        </w:tc>
        <w:tc>
          <w:tcPr>
            <w:tcW w:w="840" w:type="dxa"/>
            <w:vAlign w:val="bottom"/>
            <w:tcBorders>
              <w:top w:val="single" w:sz="8" w:color="CCEEFF"/>
            </w:tcBorders>
          </w:tcPr>
          <w:p>
            <w:pPr>
              <w:jc w:val="center"/>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w:t>
            </w:r>
          </w:p>
        </w:tc>
        <w:tc>
          <w:tcPr>
            <w:tcW w:w="220" w:type="dxa"/>
            <w:vAlign w:val="bottom"/>
            <w:tcBorders>
              <w:top w:val="single" w:sz="8" w:color="CCEEFF"/>
            </w:tcBorders>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600" w:type="dxa"/>
            <w:vAlign w:val="bottom"/>
            <w:tcBorders>
              <w:top w:val="single" w:sz="8" w:color="CCEEFF"/>
            </w:tcBorders>
          </w:tcPr>
          <w:p>
            <w:pPr>
              <w:jc w:val="center"/>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​1.98</w:t>
            </w:r>
          </w:p>
        </w:tc>
        <w:tc>
          <w:tcPr>
            <w:tcW w:w="1220" w:type="dxa"/>
            <w:vAlign w:val="bottom"/>
            <w:tcBorders>
              <w:top w:val="single" w:sz="8" w:color="CCEEFF"/>
            </w:tcBorders>
            <w:gridSpan w:val="8"/>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​1/26/2032</w:t>
            </w:r>
            <w:r>
              <w:rPr>
                <w:rFonts w:ascii="Times New Roman" w:cs="Times New Roman" w:eastAsia="Times New Roman" w:hAnsi="Times New Roman"/>
                <w:sz w:val="2"/>
                <w:szCs w:val="2"/>
                <w:color w:val="auto"/>
                <w:vertAlign w:val="superscript"/>
              </w:rPr>
              <w:t>​​ ​</w:t>
            </w:r>
          </w:p>
        </w:tc>
        <w:tc>
          <w:tcPr>
            <w:tcW w:w="200" w:type="dxa"/>
            <w:vAlign w:val="bottom"/>
            <w:tcBorders>
              <w:top w:val="single" w:sz="8" w:color="CCEEFF"/>
            </w:tcBorders>
          </w:tcPr>
          <w:p>
            <w:pPr>
              <w:ind w:left="14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tcBorders>
              <w:top w:val="single" w:sz="8" w:color="CCEEFF"/>
            </w:tcBorders>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4"/>
          </w:tcPr>
          <w:p>
            <w:pPr>
              <w:ind w:left="20"/>
              <w:spacing w:after="0" w:line="18" w:lineRule="exact"/>
              <w:rPr>
                <w:sz w:val="20"/>
                <w:szCs w:val="20"/>
                <w:color w:val="auto"/>
              </w:rPr>
            </w:pPr>
            <w:r>
              <w:rPr>
                <w:rFonts w:ascii="Times New Roman" w:cs="Times New Roman" w:eastAsia="Times New Roman" w:hAnsi="Times New Roman"/>
                <w:sz w:val="1"/>
                <w:szCs w:val="1"/>
                <w:color w:val="auto"/>
              </w:rPr>
              <w:t>​​ ​ ​</w:t>
            </w:r>
            <w:r>
              <w:rPr>
                <w:rFonts w:ascii="Times New Roman" w:cs="Times New Roman" w:eastAsia="Times New Roman" w:hAnsi="Times New Roman"/>
                <w:sz w:val="2"/>
                <w:szCs w:val="2"/>
                <w:color w:val="auto"/>
                <w:vertAlign w:val="subscript"/>
              </w:rPr>
              <w:t>​</w:t>
            </w: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18" w:lineRule="exact"/>
              <w:rPr>
                <w:sz w:val="20"/>
                <w:szCs w:val="20"/>
                <w:color w:val="auto"/>
              </w:rPr>
            </w:pPr>
            <w:r>
              <w:rPr>
                <w:rFonts w:ascii="Times New Roman" w:cs="Times New Roman" w:eastAsia="Times New Roman" w:hAnsi="Times New Roman"/>
                <w:sz w:val="2"/>
                <w:szCs w:val="2"/>
                <w:color w:val="auto"/>
              </w:rPr>
              <w:t>—</w:t>
            </w:r>
          </w:p>
        </w:tc>
        <w:tc>
          <w:tcPr>
            <w:tcW w:w="6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b w:val="1"/>
                <w:bCs w:val="1"/>
                <w:color w:val="auto"/>
              </w:rPr>
              <w:t>​</w:t>
            </w:r>
          </w:p>
        </w:tc>
        <w:tc>
          <w:tcPr>
            <w:tcW w:w="0" w:type="dxa"/>
            <w:vAlign w:val="bottom"/>
          </w:tcPr>
          <w:p>
            <w:pPr>
              <w:spacing w:after="0" w:line="20" w:lineRule="exact"/>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89"/>
              </w:rPr>
              <w:t>(15)</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70,000</w:t>
            </w:r>
          </w:p>
        </w:tc>
        <w:tc>
          <w:tcPr>
            <w:tcW w:w="2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22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​2.27</w:t>
            </w:r>
          </w:p>
        </w:tc>
        <w:tc>
          <w:tcPr>
            <w:tcW w:w="1220" w:type="dxa"/>
            <w:vAlign w:val="bottom"/>
            <w:gridSpan w:val="8"/>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​6/22/2033</w:t>
            </w:r>
            <w:r>
              <w:rPr>
                <w:rFonts w:ascii="Times New Roman" w:cs="Times New Roman" w:eastAsia="Times New Roman" w:hAnsi="Times New Roman"/>
                <w:sz w:val="13"/>
                <w:szCs w:val="13"/>
                <w:color w:val="auto"/>
                <w:vertAlign w:val="superscript"/>
              </w:rPr>
              <w:t>​​ ​</w:t>
            </w:r>
          </w:p>
        </w:tc>
        <w:tc>
          <w:tcPr>
            <w:tcW w:w="200" w:type="dxa"/>
            <w:vAlign w:val="bottom"/>
          </w:tcPr>
          <w:p>
            <w:pPr>
              <w:ind w:left="14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340" w:type="dxa"/>
            <w:vAlign w:val="bottom"/>
            <w:gridSpan w:val="4"/>
          </w:tcPr>
          <w:p>
            <w:pPr>
              <w:ind w:left="20"/>
              <w:spacing w:after="0" w:line="120" w:lineRule="exact"/>
              <w:rPr>
                <w:sz w:val="20"/>
                <w:szCs w:val="20"/>
                <w:color w:val="auto"/>
              </w:rPr>
            </w:pPr>
            <w:r>
              <w:rPr>
                <w:rFonts w:ascii="Times New Roman" w:cs="Times New Roman" w:eastAsia="Times New Roman" w:hAnsi="Times New Roman"/>
                <w:sz w:val="10"/>
                <w:szCs w:val="10"/>
                <w:color w:val="auto"/>
              </w:rPr>
              <w:t>​​ ​ ​</w:t>
            </w:r>
            <w:r>
              <w:rPr>
                <w:rFonts w:ascii="Times New Roman" w:cs="Times New Roman" w:eastAsia="Times New Roman" w:hAnsi="Times New Roman"/>
                <w:sz w:val="13"/>
                <w:szCs w:val="13"/>
                <w:color w:val="auto"/>
                <w:vertAlign w:val="subscript"/>
              </w:rPr>
              <w:t>​</w:t>
            </w:r>
          </w:p>
        </w:tc>
        <w:tc>
          <w:tcPr>
            <w:tcW w:w="500" w:type="dxa"/>
            <w:vAlign w:val="bottom"/>
          </w:tcPr>
          <w:p>
            <w:pPr>
              <w:spacing w:after="0"/>
              <w:rPr>
                <w:sz w:val="10"/>
                <w:szCs w:val="10"/>
                <w:color w:val="auto"/>
              </w:rPr>
            </w:pPr>
          </w:p>
        </w:tc>
        <w:tc>
          <w:tcPr>
            <w:tcW w:w="2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89"/>
              </w:rPr>
              <w:t>(16)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gridSpan w:val="2"/>
            <w:vMerge w:val="restart"/>
          </w:tcPr>
          <w:p>
            <w:pPr>
              <w:ind w:left="6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700" w:type="dxa"/>
            <w:vAlign w:val="bottom"/>
            <w:vMerge w:val="restart"/>
          </w:tcPr>
          <w:p>
            <w:pPr>
              <w:ind w:left="120"/>
              <w:spacing w:after="0" w:line="120" w:lineRule="exact"/>
              <w:rPr>
                <w:sz w:val="20"/>
                <w:szCs w:val="20"/>
                <w:color w:val="auto"/>
              </w:rPr>
            </w:pPr>
            <w:r>
              <w:rPr>
                <w:rFonts w:ascii="Times New Roman" w:cs="Times New Roman" w:eastAsia="Times New Roman" w:hAnsi="Times New Roman"/>
                <w:sz w:val="13"/>
                <w:szCs w:val="13"/>
                <w:color w:val="auto"/>
              </w:rPr>
              <w:t>143,256</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760" w:type="dxa"/>
            <w:vAlign w:val="bottom"/>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vMerge w:val="restart"/>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200" w:type="dxa"/>
            <w:vAlign w:val="bottom"/>
            <w:shd w:val="clear" w:color="auto" w:fill="CCEEFF"/>
          </w:tcPr>
          <w:p>
            <w:pPr>
              <w:spacing w:after="0" w:line="18"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shd w:val="clear" w:color="auto" w:fill="CCEEFF"/>
          </w:tcPr>
          <w:p>
            <w:pPr>
              <w:ind w:left="20"/>
              <w:spacing w:after="0" w:line="18" w:lineRule="exact"/>
              <w:rPr>
                <w:sz w:val="20"/>
                <w:szCs w:val="20"/>
                <w:color w:val="auto"/>
              </w:rPr>
            </w:pPr>
            <w:r>
              <w:rPr>
                <w:rFonts w:ascii="Times New Roman" w:cs="Times New Roman" w:eastAsia="Times New Roman" w:hAnsi="Times New Roman"/>
                <w:sz w:val="2"/>
                <w:szCs w:val="2"/>
                <w:color w:val="auto"/>
              </w:rPr>
              <w:t>​</w:t>
            </w:r>
          </w:p>
        </w:tc>
        <w:tc>
          <w:tcPr>
            <w:tcW w:w="840" w:type="dxa"/>
            <w:vAlign w:val="bottom"/>
            <w:shd w:val="clear" w:color="auto" w:fill="CCEEFF"/>
          </w:tcPr>
          <w:p>
            <w:pPr>
              <w:jc w:val="center"/>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w:t>
            </w:r>
          </w:p>
        </w:tc>
        <w:tc>
          <w:tcPr>
            <w:tcW w:w="220" w:type="dxa"/>
            <w:vAlign w:val="bottom"/>
            <w:gridSpan w:val="2"/>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600" w:type="dxa"/>
            <w:vAlign w:val="bottom"/>
            <w:shd w:val="clear" w:color="auto" w:fill="CCEEFF"/>
          </w:tcPr>
          <w:p>
            <w:pPr>
              <w:jc w:val="center"/>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​3.73</w:t>
            </w:r>
          </w:p>
        </w:tc>
        <w:tc>
          <w:tcPr>
            <w:tcW w:w="1220" w:type="dxa"/>
            <w:vAlign w:val="bottom"/>
            <w:gridSpan w:val="8"/>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​10/8/2033</w:t>
            </w:r>
            <w:r>
              <w:rPr>
                <w:rFonts w:ascii="Times New Roman" w:cs="Times New Roman" w:eastAsia="Times New Roman" w:hAnsi="Times New Roman"/>
                <w:sz w:val="2"/>
                <w:szCs w:val="2"/>
                <w:color w:val="auto"/>
                <w:vertAlign w:val="superscript"/>
              </w:rPr>
              <w:t>​​ ​</w:t>
            </w:r>
          </w:p>
        </w:tc>
        <w:tc>
          <w:tcPr>
            <w:tcW w:w="200" w:type="dxa"/>
            <w:vAlign w:val="bottom"/>
            <w:shd w:val="clear" w:color="auto" w:fill="CCEEFF"/>
          </w:tcPr>
          <w:p>
            <w:pPr>
              <w:ind w:left="14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shd w:val="clear" w:color="auto" w:fill="CCEEFF"/>
          </w:tcPr>
          <w:p>
            <w:pPr>
              <w:spacing w:after="0" w:line="20" w:lineRule="exact"/>
              <w:rPr>
                <w:sz w:val="1"/>
                <w:szCs w:val="1"/>
                <w:color w:val="auto"/>
              </w:rPr>
            </w:pPr>
          </w:p>
        </w:tc>
        <w:tc>
          <w:tcPr>
            <w:tcW w:w="340" w:type="dxa"/>
            <w:vAlign w:val="bottom"/>
            <w:gridSpan w:val="4"/>
            <w:shd w:val="clear" w:color="auto" w:fill="CCEEFF"/>
          </w:tcPr>
          <w:p>
            <w:pPr>
              <w:ind w:left="20"/>
              <w:spacing w:after="0" w:line="18" w:lineRule="exact"/>
              <w:rPr>
                <w:sz w:val="20"/>
                <w:szCs w:val="20"/>
                <w:color w:val="auto"/>
              </w:rPr>
            </w:pPr>
            <w:r>
              <w:rPr>
                <w:rFonts w:ascii="Times New Roman" w:cs="Times New Roman" w:eastAsia="Times New Roman" w:hAnsi="Times New Roman"/>
                <w:sz w:val="1"/>
                <w:szCs w:val="1"/>
                <w:color w:val="auto"/>
              </w:rPr>
              <w:t>​​ ​ ​</w:t>
            </w:r>
            <w:r>
              <w:rPr>
                <w:rFonts w:ascii="Times New Roman" w:cs="Times New Roman" w:eastAsia="Times New Roman" w:hAnsi="Times New Roman"/>
                <w:sz w:val="2"/>
                <w:szCs w:val="2"/>
                <w:color w:val="auto"/>
                <w:vertAlign w:val="subscript"/>
              </w:rPr>
              <w:t>​</w:t>
            </w:r>
          </w:p>
        </w:tc>
        <w:tc>
          <w:tcPr>
            <w:tcW w:w="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18" w:lineRule="exact"/>
              <w:rPr>
                <w:sz w:val="20"/>
                <w:szCs w:val="20"/>
                <w:color w:val="auto"/>
              </w:rPr>
            </w:pPr>
            <w:r>
              <w:rPr>
                <w:rFonts w:ascii="Times New Roman" w:cs="Times New Roman" w:eastAsia="Times New Roman" w:hAnsi="Times New Roman"/>
                <w:sz w:val="2"/>
                <w:szCs w:val="2"/>
                <w:color w:val="auto"/>
              </w:rPr>
              <w:t>—</w:t>
            </w: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89"/>
              </w:rPr>
              <w:t>(17)</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 —</w:t>
            </w:r>
          </w:p>
        </w:tc>
        <w:tc>
          <w:tcPr>
            <w:tcW w:w="340" w:type="dxa"/>
            <w:vAlign w:val="bottom"/>
            <w:gridSpan w:val="4"/>
            <w:shd w:val="clear" w:color="auto" w:fill="CCEEFF"/>
          </w:tcPr>
          <w:p>
            <w:pPr>
              <w:ind w:left="20"/>
              <w:spacing w:after="0" w:line="120"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3"/>
                <w:szCs w:val="13"/>
                <w:color w:val="auto"/>
                <w:vertAlign w:val="subscript"/>
              </w:rPr>
              <w:t>​</w:t>
            </w:r>
          </w:p>
        </w:tc>
        <w:tc>
          <w:tcPr>
            <w:tcW w:w="480" w:type="dxa"/>
            <w:vAlign w:val="bottom"/>
            <w:shd w:val="clear" w:color="auto" w:fill="CCEEFF"/>
          </w:tcPr>
          <w:p>
            <w:pPr>
              <w:spacing w:after="0"/>
              <w:rPr>
                <w:sz w:val="10"/>
                <w:szCs w:val="10"/>
                <w:color w:val="auto"/>
              </w:rPr>
            </w:pPr>
          </w:p>
        </w:tc>
        <w:tc>
          <w:tcPr>
            <w:tcW w:w="400" w:type="dxa"/>
            <w:vAlign w:val="bottom"/>
            <w:gridSpan w:val="3"/>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10"/>
                <w:szCs w:val="10"/>
                <w:color w:val="auto"/>
              </w:rPr>
              <w:t>​​ ​</w:t>
            </w:r>
          </w:p>
        </w:tc>
        <w:tc>
          <w:tcPr>
            <w:tcW w:w="7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​437,500</w:t>
            </w:r>
          </w:p>
        </w:tc>
        <w:tc>
          <w:tcPr>
            <w:tcW w:w="120" w:type="dxa"/>
            <w:vAlign w:val="bottom"/>
            <w:shd w:val="clear" w:color="auto" w:fill="CCEEFF"/>
          </w:tcPr>
          <w:p>
            <w:pPr>
              <w:spacing w:after="0"/>
              <w:rPr>
                <w:sz w:val="10"/>
                <w:szCs w:val="10"/>
                <w:color w:val="auto"/>
              </w:rPr>
            </w:pPr>
          </w:p>
        </w:tc>
        <w:tc>
          <w:tcPr>
            <w:tcW w:w="1080" w:type="dxa"/>
            <w:vAlign w:val="bottom"/>
            <w:gridSpan w:val="6"/>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10"/>
                <w:szCs w:val="10"/>
                <w:color w:val="auto"/>
              </w:rPr>
              <w:t>​1,631,875</w:t>
            </w:r>
          </w:p>
        </w:tc>
        <w:tc>
          <w:tcPr>
            <w:tcW w:w="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79"/>
              </w:rPr>
              <w:t>(18)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-2802255</wp:posOffset>
            </wp:positionV>
            <wp:extent cx="5212080" cy="8826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2080" cy="8826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-1045210</wp:posOffset>
            </wp:positionV>
            <wp:extent cx="5212080" cy="9175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2080" cy="917575"/>
                    </a:xfrm>
                    <a:prstGeom prst="rect">
                      <a:avLst/>
                    </a:prstGeom>
                    <a:noFill/>
                  </pic:spPr>
                </pic:pic>
              </a:graphicData>
            </a:graphic>
          </wp:anchor>
        </w:drawing>
      </w:r>
    </w:p>
    <w:p>
      <w:pPr>
        <w:spacing w:after="0" w:line="65" w:lineRule="exact"/>
        <w:rPr>
          <w:sz w:val="20"/>
          <w:szCs w:val="20"/>
          <w:color w:val="auto"/>
        </w:rPr>
      </w:pPr>
    </w:p>
    <w:p>
      <w:pPr>
        <w:jc w:val="both"/>
        <w:ind w:left="1620" w:right="419" w:hanging="360"/>
        <w:spacing w:after="0" w:line="255" w:lineRule="auto"/>
        <w:tabs>
          <w:tab w:leader="none" w:pos="16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option and stock awards were granted under the 2021 Plan, the terms of which plan are described in the subsection titled “—Equity Benefit Plans—2021 Stock Plan” below. Each award covers shares of our Class A Common Stock. These awards are subject to 50% acceleration upon change in control (as defined below) and 100% acceleration upon a termination within 12 months following a change in control.</w:t>
      </w:r>
    </w:p>
    <w:p>
      <w:pPr>
        <w:spacing w:after="0" w:line="17" w:lineRule="exact"/>
        <w:rPr>
          <w:rFonts w:ascii="Times New Roman" w:cs="Times New Roman" w:eastAsia="Times New Roman" w:hAnsi="Times New Roman"/>
          <w:sz w:val="14"/>
          <w:szCs w:val="14"/>
          <w:color w:val="auto"/>
        </w:rPr>
      </w:pPr>
    </w:p>
    <w:p>
      <w:pPr>
        <w:jc w:val="both"/>
        <w:ind w:left="1620" w:right="419" w:hanging="360"/>
        <w:spacing w:after="0" w:line="261" w:lineRule="auto"/>
        <w:tabs>
          <w:tab w:leader="none" w:pos="16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Mr. Babler’s option award with an expiration date of September 14, 2031, the exercise price of each of these options was repriced to $1.89 per share in March 2024, as described in the subsection titled “—Narrative to the Summary Compensation Table—March 2024 Option Repricing”.</w:t>
      </w:r>
    </w:p>
    <w:p>
      <w:pPr>
        <w:spacing w:after="0" w:line="14" w:lineRule="exact"/>
        <w:rPr>
          <w:rFonts w:ascii="Times New Roman" w:cs="Times New Roman" w:eastAsia="Times New Roman" w:hAnsi="Times New Roman"/>
          <w:sz w:val="14"/>
          <w:szCs w:val="14"/>
          <w:color w:val="auto"/>
        </w:rPr>
      </w:pPr>
    </w:p>
    <w:p>
      <w:pPr>
        <w:ind w:left="1620" w:right="419" w:hanging="360"/>
        <w:spacing w:after="0" w:line="282" w:lineRule="auto"/>
        <w:tabs>
          <w:tab w:leader="none" w:pos="16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calculated by multiplying the number of shares shown in the table by $3.73, the fair market value of our Class A Common Stock as of December 31, 2023, as determined by our board of directors.</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620" w:right="419" w:hanging="360"/>
        <w:spacing w:after="0" w:line="256"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four years with 25% of the shares underlying the option vesting on the one year anniversary of the September 15, 2021 vesting commencement date and 1/48th of the shares underlying the option vesting on a monthly basis thereafter, subject to continued service through each vesting date. The option award includes an early exercise feature.</w:t>
      </w:r>
    </w:p>
    <w:p>
      <w:pPr>
        <w:spacing w:after="0" w:line="227" w:lineRule="exact"/>
        <w:rPr>
          <w:rFonts w:ascii="Times New Roman" w:cs="Times New Roman" w:eastAsia="Times New Roman" w:hAnsi="Times New Roman"/>
          <w:sz w:val="14"/>
          <w:szCs w:val="14"/>
          <w:color w:val="auto"/>
        </w:rPr>
      </w:pPr>
    </w:p>
    <w:p>
      <w:pPr>
        <w:jc w:val="both"/>
        <w:ind w:left="1620" w:right="419" w:hanging="360"/>
        <w:spacing w:after="0" w:line="256"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four years with 25% of the shares underlying the option vesting on the one year anniversary of the January 27, 2022 vesting commencement date and 1/48th of the shares underlying the option vesting on a monthly basis thereafter, subject to continued service through each vesting date. The option award includes an early exercise feature.</w:t>
      </w:r>
    </w:p>
    <w:p>
      <w:pPr>
        <w:spacing w:after="0" w:line="213" w:lineRule="exact"/>
        <w:rPr>
          <w:rFonts w:ascii="Times New Roman" w:cs="Times New Roman" w:eastAsia="Times New Roman" w:hAnsi="Times New Roman"/>
          <w:sz w:val="14"/>
          <w:szCs w:val="14"/>
          <w:color w:val="auto"/>
        </w:rPr>
      </w:pPr>
    </w:p>
    <w:p>
      <w:pPr>
        <w:jc w:val="both"/>
        <w:ind w:left="1620" w:right="419" w:hanging="360"/>
        <w:spacing w:after="0" w:line="256"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six years with 1/3rd of the shares underlying the option vesting on the two year anniversary of the January 27, 2022 vesting commencement date and 1/48th of the remaining shares underlying the option vesting on a monthly basis thereafter, subject to continued service through each vesting date. The option award includes an early exercise feature.</w:t>
      </w:r>
    </w:p>
    <w:p>
      <w:pPr>
        <w:spacing w:after="0" w:line="227" w:lineRule="exact"/>
        <w:rPr>
          <w:rFonts w:ascii="Times New Roman" w:cs="Times New Roman" w:eastAsia="Times New Roman" w:hAnsi="Times New Roman"/>
          <w:sz w:val="14"/>
          <w:szCs w:val="14"/>
          <w:color w:val="auto"/>
        </w:rPr>
      </w:pPr>
    </w:p>
    <w:p>
      <w:pPr>
        <w:jc w:val="both"/>
        <w:ind w:left="1620" w:right="419" w:hanging="360"/>
        <w:spacing w:after="0" w:line="261"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four years with 25% of the shares underlying the option vesting on the one year anniversary of the May 22, 2023 vesting commencement date and 1/48th of the shares underlying the option vesting on a monthly basis thereafter, subject to continued service through each vesting date. The option award includes an early exercise feature.</w:t>
      </w:r>
    </w:p>
    <w:p>
      <w:pPr>
        <w:spacing w:after="0" w:line="41" w:lineRule="exact"/>
        <w:rPr>
          <w:rFonts w:ascii="Times New Roman" w:cs="Times New Roman" w:eastAsia="Times New Roman" w:hAnsi="Times New Roman"/>
          <w:sz w:val="14"/>
          <w:szCs w:val="14"/>
          <w:color w:val="auto"/>
        </w:rPr>
      </w:pPr>
    </w:p>
    <w:p>
      <w:pPr>
        <w:jc w:val="both"/>
        <w:ind w:left="1620" w:right="419" w:hanging="360"/>
        <w:spacing w:after="0" w:line="256"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four years with 25% of the shares underlying the option vesting on the one year anniversary of the October 9, 2023 vesting commencement date and 1/48th of the shares underlying the option vesting on a monthly basis thereafter, subject to continued service through each vesting date. The option award includes an early exercise feature.</w:t>
      </w:r>
    </w:p>
    <w:p>
      <w:pPr>
        <w:spacing w:after="0" w:line="227" w:lineRule="exact"/>
        <w:rPr>
          <w:rFonts w:ascii="Times New Roman" w:cs="Times New Roman" w:eastAsia="Times New Roman" w:hAnsi="Times New Roman"/>
          <w:sz w:val="14"/>
          <w:szCs w:val="14"/>
          <w:color w:val="auto"/>
        </w:rPr>
      </w:pPr>
    </w:p>
    <w:p>
      <w:pPr>
        <w:jc w:val="both"/>
        <w:ind w:left="1620" w:right="419" w:hanging="360"/>
        <w:spacing w:after="0" w:line="256"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four years with 25% of the shares underlying the option vesting on the one year anniversary of the January 27, 2022 vesting commencement date and 1/48th of the shares underlying the option vesting on a monthly basis thereafter, subject to continued service through each vesting date. The option award includes an early exercise feature.</w:t>
      </w:r>
    </w:p>
    <w:p>
      <w:pPr>
        <w:spacing w:after="0" w:line="213" w:lineRule="exact"/>
        <w:rPr>
          <w:rFonts w:ascii="Times New Roman" w:cs="Times New Roman" w:eastAsia="Times New Roman" w:hAnsi="Times New Roman"/>
          <w:sz w:val="14"/>
          <w:szCs w:val="14"/>
          <w:color w:val="auto"/>
        </w:rPr>
      </w:pPr>
    </w:p>
    <w:p>
      <w:pPr>
        <w:jc w:val="both"/>
        <w:ind w:left="1620" w:right="419" w:hanging="360"/>
        <w:spacing w:after="0" w:line="256"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six years with 1/3rd of the shares underlying the option vesting on the two year anniversary of the January 27, 2022 vesting commencement date and 1/48th of the remaining shares underlying the option vesting on a monthly basis thereafter, subject to continued service through each vesting date. The option award includes an early exercise feature.</w:t>
      </w:r>
    </w:p>
    <w:p>
      <w:pPr>
        <w:spacing w:after="0" w:line="227" w:lineRule="exact"/>
        <w:rPr>
          <w:rFonts w:ascii="Times New Roman" w:cs="Times New Roman" w:eastAsia="Times New Roman" w:hAnsi="Times New Roman"/>
          <w:sz w:val="14"/>
          <w:szCs w:val="14"/>
          <w:color w:val="auto"/>
        </w:rPr>
      </w:pPr>
    </w:p>
    <w:p>
      <w:pPr>
        <w:jc w:val="both"/>
        <w:ind w:left="1620" w:right="419" w:hanging="360"/>
        <w:spacing w:after="0" w:line="261"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four years with 25% of the shares underlying the option vesting on the one year anniversary of the May 22, 2023 vesting commencement date and 1/48th of the shares underlying the option vesting on a monthly basis thereafter, subject to continued service through each vesting date. The option award includes an early exercise feature.</w:t>
      </w:r>
    </w:p>
    <w:p>
      <w:pPr>
        <w:spacing w:after="0" w:line="55" w:lineRule="exact"/>
        <w:rPr>
          <w:rFonts w:ascii="Times New Roman" w:cs="Times New Roman" w:eastAsia="Times New Roman" w:hAnsi="Times New Roman"/>
          <w:sz w:val="14"/>
          <w:szCs w:val="14"/>
          <w:color w:val="auto"/>
        </w:rPr>
      </w:pPr>
    </w:p>
    <w:p>
      <w:pPr>
        <w:jc w:val="both"/>
        <w:ind w:left="1620" w:right="419" w:hanging="360"/>
        <w:spacing w:after="0" w:line="256"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four years with 25% of the shares underlying the option vesting on the one year anniversary of the October 9, 2023 vesting commencement date and 1/48th of the shares underlying the option vesting on a monthly basis thereafter, subject to continued service through each vesting date. The option award includes an early exercise feature.</w:t>
      </w:r>
    </w:p>
    <w:p>
      <w:pPr>
        <w:spacing w:after="0" w:line="213" w:lineRule="exact"/>
        <w:rPr>
          <w:rFonts w:ascii="Times New Roman" w:cs="Times New Roman" w:eastAsia="Times New Roman" w:hAnsi="Times New Roman"/>
          <w:sz w:val="14"/>
          <w:szCs w:val="14"/>
          <w:color w:val="auto"/>
        </w:rPr>
      </w:pPr>
    </w:p>
    <w:p>
      <w:pPr>
        <w:jc w:val="both"/>
        <w:ind w:left="1620" w:right="419" w:hanging="360"/>
        <w:spacing w:after="0" w:line="256"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stock obtained on October 22, 2021 upon exercise of an early exercise option. Twenty-five percent of the shares subject to the option vested on September 15, 2022, and 1/36th of the remaining shares subject to the award shall vest monthly in equal installments on the 15th of each month, through September 15, 2025, subject to continued service through each vesting date.</w:t>
      </w:r>
    </w:p>
    <w:p>
      <w:pPr>
        <w:spacing w:after="0" w:line="227" w:lineRule="exact"/>
        <w:rPr>
          <w:rFonts w:ascii="Times New Roman" w:cs="Times New Roman" w:eastAsia="Times New Roman" w:hAnsi="Times New Roman"/>
          <w:sz w:val="14"/>
          <w:szCs w:val="14"/>
          <w:color w:val="auto"/>
        </w:rPr>
      </w:pPr>
    </w:p>
    <w:p>
      <w:pPr>
        <w:jc w:val="both"/>
        <w:ind w:left="1620" w:right="419" w:hanging="360"/>
        <w:spacing w:after="0" w:line="256"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four years with 25% of the shares underlying the option vesting on the one year anniversary of the January 27, 2022 vesting commencement date and 1/48th of the shares underlying the option vesting on a monthly basis thereafter, subject to continued service through each vesting date. The option award includes an early exercise feature.</w:t>
      </w:r>
    </w:p>
    <w:p>
      <w:pPr>
        <w:spacing w:after="0" w:line="213" w:lineRule="exact"/>
        <w:rPr>
          <w:rFonts w:ascii="Times New Roman" w:cs="Times New Roman" w:eastAsia="Times New Roman" w:hAnsi="Times New Roman"/>
          <w:sz w:val="14"/>
          <w:szCs w:val="14"/>
          <w:color w:val="auto"/>
        </w:rPr>
      </w:pPr>
    </w:p>
    <w:p>
      <w:pPr>
        <w:jc w:val="both"/>
        <w:ind w:left="1620" w:right="419" w:hanging="360"/>
        <w:spacing w:after="0" w:line="256"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six years with 1/3rd of the shares underlying the option vesting on the two year anniversary of the January 27, 2022 vesting commencement date and 1/48th of the remaining shares underlying the option vesting on a monthly basis thereafter, subject to continued service through each vesting date. The option award includes an early exercise feature.</w:t>
      </w:r>
    </w:p>
    <w:p>
      <w:pPr>
        <w:spacing w:after="0" w:line="227" w:lineRule="exact"/>
        <w:rPr>
          <w:rFonts w:ascii="Times New Roman" w:cs="Times New Roman" w:eastAsia="Times New Roman" w:hAnsi="Times New Roman"/>
          <w:sz w:val="14"/>
          <w:szCs w:val="14"/>
          <w:color w:val="auto"/>
        </w:rPr>
      </w:pPr>
    </w:p>
    <w:p>
      <w:pPr>
        <w:jc w:val="both"/>
        <w:ind w:left="1620" w:right="419" w:hanging="360"/>
        <w:spacing w:after="0" w:line="261"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four years with 25% of the shares underlying the option vesting on the one year anniversary of the May 22, 2023 vesting commencement date and 1/48th of the shares underlying the option vesting on a monthly basis thereafter, subject to continued service through each vesting date. The option award includes an early exercise feature.</w:t>
      </w:r>
    </w:p>
    <w:p>
      <w:pPr>
        <w:spacing w:after="0" w:line="55" w:lineRule="exact"/>
        <w:rPr>
          <w:rFonts w:ascii="Times New Roman" w:cs="Times New Roman" w:eastAsia="Times New Roman" w:hAnsi="Times New Roman"/>
          <w:sz w:val="14"/>
          <w:szCs w:val="14"/>
          <w:color w:val="auto"/>
        </w:rPr>
      </w:pPr>
    </w:p>
    <w:p>
      <w:pPr>
        <w:jc w:val="both"/>
        <w:ind w:left="1620" w:right="419" w:hanging="360"/>
        <w:spacing w:after="0" w:line="256"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over a period of four years with 25% of the shares underlying the option vesting on the one year anniversary of the October 9, 2023 vesting commencement date and 1/48th of the shares underlying the option vesting on a monthly basis thereafter, subject to continued service through each vesting date. The option award includes an early exercise feature.</w:t>
      </w:r>
    </w:p>
    <w:p>
      <w:pPr>
        <w:spacing w:after="0" w:line="213" w:lineRule="exact"/>
        <w:rPr>
          <w:rFonts w:ascii="Times New Roman" w:cs="Times New Roman" w:eastAsia="Times New Roman" w:hAnsi="Times New Roman"/>
          <w:sz w:val="14"/>
          <w:szCs w:val="14"/>
          <w:color w:val="auto"/>
        </w:rPr>
      </w:pPr>
    </w:p>
    <w:p>
      <w:pPr>
        <w:jc w:val="both"/>
        <w:ind w:left="1620" w:right="419" w:hanging="360"/>
        <w:spacing w:after="0" w:line="256" w:lineRule="auto"/>
        <w:tabs>
          <w:tab w:leader="none" w:pos="1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stock obtained on October 20, 2021 upon exercise of an early exercise option. Twenty-five percent of the shares subject to the option vested on September 15, 2022, and 1/36th of the remaining shares subject to the award shall vest monthly in equal installments on the 15th of each month, through September 15, 2025, subject to continued service through each vesting date.</w:t>
      </w:r>
    </w:p>
    <w:p>
      <w:pPr>
        <w:spacing w:after="0" w:line="2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did not modify any outstanding equity awards held by our named executive officers in 2023.</w:t>
      </w:r>
    </w:p>
    <w:p>
      <w:pPr>
        <w:spacing w:after="0" w:line="15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Awards held by our named executive officers may be eligible for accelerated vesting under specified circumstances, as described in more detail below under the subsection titled “—Potential Payments and Benefits upon Termination or Change in Control.”</w:t>
      </w:r>
    </w:p>
    <w:p>
      <w:pPr>
        <w:spacing w:after="0" w:line="9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2024 Plan, the terms of which are described below under the subsection titled “— Equity Benefit Plans—2024 Equity Incentive Plan.”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the year ended December 31, 2023.</w:t>
      </w:r>
    </w:p>
    <w:p>
      <w:pPr>
        <w:sectPr>
          <w:pgSz w:w="11900" w:h="16838" w:orient="portrait"/>
          <w:cols w:equalWidth="0" w:num="1">
            <w:col w:w="9879"/>
          </w:cols>
          <w:pgMar w:left="580" w:top="97" w:right="1440" w:bottom="1095"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095"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named executive officers did not participate in, or earn any benefits under, a non-qualified deferred compensation plan sponsored by us during the year ended December 31, 2023.</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Below are descriptions of our offer letters with our named executive officers. For a discussion of the severance pay and other benefits to be provided in connection with a termination of employment and/or a change in control under the arrangements with our named executive officers, please see the subsection titled “—Potential Payments and Benefits upon Termination or Change in Control” below. Each of our named executive officers is employed at-will.</w:t>
      </w:r>
    </w:p>
    <w:p>
      <w:pPr>
        <w:spacing w:after="0" w:line="10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i w:val="1"/>
          <w:iCs w:val="1"/>
          <w:color w:val="auto"/>
        </w:rPr>
        <w:t>Mr. Babler</w:t>
      </w:r>
      <w:r>
        <w:rPr>
          <w:rFonts w:ascii="Times New Roman" w:cs="Times New Roman" w:eastAsia="Times New Roman" w:hAnsi="Times New Roman"/>
          <w:sz w:val="18"/>
          <w:szCs w:val="18"/>
          <w:color w:val="auto"/>
        </w:rPr>
        <w:t>. In September 2021, we and Mr. Babler entered into an offer letter that governs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Babler’s employment with us. Pursuant to the agreement, Mr. Babler is entitled to an initial annual base salary of $500,000, is eligible to receive an annual performance bonus with a target achievement of 40% of his base salary, as determined by our board of directors, and was granted an option exercisable for 3,000,000 shares of our Class A common stock in September 2021. Mr. Babler’s employment is at-will. Mr. Babler is also entitled to certain severance benefits, the terms of which are described below under the subsection titled “—Potential Payments and Benefits upon Termination or Change in Control.”</w:t>
      </w:r>
    </w:p>
    <w:p>
      <w:pPr>
        <w:spacing w:after="0" w:line="114"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i w:val="1"/>
          <w:iCs w:val="1"/>
          <w:color w:val="auto"/>
        </w:rPr>
        <w:t>Dr. Goldstein</w:t>
      </w:r>
      <w:r>
        <w:rPr>
          <w:rFonts w:ascii="Times New Roman" w:cs="Times New Roman" w:eastAsia="Times New Roman" w:hAnsi="Times New Roman"/>
          <w:sz w:val="18"/>
          <w:szCs w:val="18"/>
          <w:color w:val="auto"/>
        </w:rPr>
        <w:t>. In September 2021, we and Dr. Goldstein entered into an offer letter that governs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Goldstein’s employment with us. Pursuant to the agreement, Dr. Goldstein is entitled to an initial annual base salary of $360,000, is eligible to receive an annual performance bonus with a target achievement of 35% of his base salary, as determined by our board of directors, and was granted an option exercisable for 1,000,000 shares of our Class A common stock in September 2021. Dr. Goldstein’s employment is at-will. Dr. Goldstein is also entitled to certain severance benefits, the terms of which are described below under the subsection titled “—Potential Payments and Benefits upon Termination or Change in Control.”</w:t>
      </w:r>
    </w:p>
    <w:p>
      <w:pPr>
        <w:spacing w:after="0" w:line="10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i w:val="1"/>
          <w:iCs w:val="1"/>
          <w:color w:val="auto"/>
        </w:rPr>
        <w:t>Mr. Hardiman</w:t>
      </w:r>
      <w:r>
        <w:rPr>
          <w:rFonts w:ascii="Times New Roman" w:cs="Times New Roman" w:eastAsia="Times New Roman" w:hAnsi="Times New Roman"/>
          <w:sz w:val="18"/>
          <w:szCs w:val="18"/>
          <w:color w:val="auto"/>
        </w:rPr>
        <w:t>. In September 2021, we and Mr. Hardiman entered into an offer letter that governs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Mr. Hardiman’s employment with us. Pursuant to the agreement, Mr. Hardiman is entitled to an initial annual base salary of $360,000, is eligible to receive an annual performance bonus with a target achievement of 35% of his base salary, as determined by our board of directors, and was granted an option exercisable for 1,000,000 shares of our Class A common stock in September 2021. Mr. Hardiman’s employment is at-will. Mr. Hardiman is also entitled to certain severance benefits, the terms of which are described below under the subsection titled “—Potential Payments and Benefits upon Termination or Change in Control.”</w:t>
      </w:r>
    </w:p>
    <w:p>
      <w:pPr>
        <w:spacing w:after="0" w:line="32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intend to enter into new executive employment agreements with our named executive officers prior to the completion of this offering, the details of which have not yet been determined.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and Benefits upon Termination or Change in Control</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Regardless of the manner in which a named executive officer’s service terminates, each named executive officer is entitled to receive unpaid salary earned during his term of service.</w:t>
      </w:r>
    </w:p>
    <w:p>
      <w:pPr>
        <w:spacing w:after="0" w:line="93"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i w:val="1"/>
          <w:iCs w:val="1"/>
          <w:color w:val="auto"/>
        </w:rPr>
        <w:t>Mr. Babler</w:t>
      </w:r>
      <w:r>
        <w:rPr>
          <w:rFonts w:ascii="Times New Roman" w:cs="Times New Roman" w:eastAsia="Times New Roman" w:hAnsi="Times New Roman"/>
          <w:sz w:val="18"/>
          <w:szCs w:val="18"/>
          <w:color w:val="auto"/>
        </w:rPr>
        <w:t>. Pursuant to Mr. Babler’s offer letter, if (a) his employment is terminated without cause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below) or (b) in the event of his constructive termination (as defined below), then Mr. Babler will be entitled to receive severance in the form of (i) continued payments of his then base salary for 12 months, subject to applicable taxes and withholding, (ii) reimbursement for expenses in continuing medical insurance benefits (excluding life insurance) for Mr. Babler and his dependents for up to 12 months and</w:t>
      </w:r>
    </w:p>
    <w:p>
      <w:pPr>
        <w:spacing w:after="0" w:line="1" w:lineRule="exact"/>
        <w:rPr>
          <w:sz w:val="20"/>
          <w:szCs w:val="20"/>
          <w:color w:val="auto"/>
        </w:rPr>
      </w:pPr>
    </w:p>
    <w:p>
      <w:pPr>
        <w:jc w:val="both"/>
        <w:ind w:left="1260" w:right="419"/>
        <w:spacing w:after="0"/>
        <w:tabs>
          <w:tab w:leader="none" w:pos="161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his then-unvested equity grants as to the number of shares underlying such grants that would have been vested as of the first anniversary of the date of his termination, with such acceleration to be effective immediately prior to Mr. Babler’s termination. These severance benefits are conditioned upon Mr. Babler’s delivery of a general release of claims in favor of the company. Further, in the event of a change of control (as defined below), other than an excluded change of control (as defined below), 50% of Mr. Babler’s then-unvested option award for 3,000,000 shares of our Class A common stock granted in September 2021 shall accelerate and become vested as of immediately prior to the closing of such change of control, provided he is still providing services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to us at such time. In addition, if, following a change of control, including an excluded change of control, Mr. Babler is subject to a termination without cause or a constructive termination within 12 months following such change of control, then 100% of his then-unvested option award for 3,000,000 shares of our Class A common stock granted in September 2021 shall accelerate and become fully vested as of the termination date, conditioned upon Mr. Babler’s delivery of a general release of claims in favor of the company.</w:t>
      </w:r>
    </w:p>
    <w:p>
      <w:pPr>
        <w:spacing w:after="0" w:line="323"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i w:val="1"/>
          <w:iCs w:val="1"/>
          <w:color w:val="auto"/>
        </w:rPr>
        <w:t>Dr. Goldstein</w:t>
      </w:r>
      <w:r>
        <w:rPr>
          <w:rFonts w:ascii="Times New Roman" w:cs="Times New Roman" w:eastAsia="Times New Roman" w:hAnsi="Times New Roman"/>
          <w:sz w:val="18"/>
          <w:szCs w:val="18"/>
          <w:color w:val="auto"/>
        </w:rPr>
        <w:t>. Pursuant to Dr. Goldstein’s offer letter, if (a) his employment is terminated involuntarily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cause (as defined below) or (b) in the event of his constructive termination (as defined below), then Dr. Goldstein will be entitled to receive severance in the form of (i) continued payments of his then base salary for 9 months, subject to applicable taxes and withholding, (ii) reimbursement for expenses in continuing medical insurance benefits (excluding life insurance) for Dr. Goldstein and his dependents for up to 9 months and (iii) acceleration of his then- unvested equity grants as to the number of shares underlying such grants that would have been vested as of the first anniversary of the date of his termination, with such acceleration to be effective immediately prior to Dr. Goldstein’s termination. These severance benefits are conditioned upon Dr. Goldstein’s delivery of a general release of claims in favor of the company. Further, in the event of a change of control (as defined below), other than an excluded change of control (as defined below), 50% of Dr. Goldstein’s then-unvested option award for 1,000,000 shares of our Class A common stock granted in September 2021 shall accelerate and become vested as of immediately prior to the closing of such change of control, provided he is still providing services to us at such time. In addition, if, following a change of control, including an excluded change of control, Dr. Goldstein is subject to a termination without cause or a constructive termination within 12 months following such change of control, then 100% of his then -unvested option award for 1,000,000 shares of our Class A common stock granted in September 2021 shall accelerate and become fully vested as of the termination date, conditioned upon Dr. Goldstein’s delivery of a general release of claims in favor of the company.</w:t>
      </w:r>
    </w:p>
    <w:p>
      <w:pPr>
        <w:spacing w:after="0" w:line="326"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Mr. Hardiman </w:t>
      </w:r>
      <w:r>
        <w:rPr>
          <w:rFonts w:ascii="Times New Roman" w:cs="Times New Roman" w:eastAsia="Times New Roman" w:hAnsi="Times New Roman"/>
          <w:sz w:val="18"/>
          <w:szCs w:val="18"/>
          <w:color w:val="auto"/>
        </w:rPr>
        <w:t>. Pursuant to Mr. Hardiman’s offer letter, if (a) his employment is terminated involuntarily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cause (as defined below) or (b) in the event of his constructive termination (as defined below), then Mr. Hardiman will be entitled to receive severance in the form of (i) continued payments of his then base salary for 9 months, subject to applicable taxes and withholding, (ii) reimbursement for expenses in continuing medical insurance benefits (excluding life insurance) for Mr. Hardiman and his dependents for up to 9 months and (iii) acceleration of his then-unvested equity grants as to the number of shares underlying such grants that would have been vested as of the first anniversary of the date of his termination, with such acceleration to be effective immediately prior to Mr. Hardiman’s termination. These severance benefits are conditioned upon Mr. Hardiman’s delivery of a general release of claims in favor of the company. Further, in the event of a change of control (as defined below), other than an excluded change of control (as defined below), 50% of Mr. Hardiman’s then-unvested option award for 1,000,000 shares of our Class A common stock granted in September 2021 shall accelerate and become vested as of immediately prior to the closing of such change of control, provided he is still providing services to us at such time. In addition, if, following a change of control, including an excluded change of control, Mr. Hardiman is subject to a termination without cause or a constructive termination within 12 months following such change of control, then 100% of his then-unvested option award for 1,000,000 shares of our Class A common stock granted in September 2021 shall accelerate and become fully vested as of the termination date, conditioned upon Mr. Hardiman’s delivery of a general release of claims in favor of the company.</w:t>
      </w:r>
    </w:p>
    <w:p>
      <w:pPr>
        <w:spacing w:after="0" w:line="33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addition to the above, upon a change in control (as defined below) 50% of the then-unvested options held by each of Mr. Babler, Dr. Goldstein, and Mr. Hardiman will accelerate, and 100% of the then-unvested and outstanding options will accelerate upon a termination within 12 months following a change in control (see “—Outstanding Equity Awards as of December 31, 2023”).</w:t>
      </w:r>
    </w:p>
    <w:p>
      <w:pPr>
        <w:spacing w:after="0" w:line="11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For the purposes of Mr. Babler’s, Dr. Goldstein’s and Mr. Hardiman’s severance benefits, the following definitions apply:</w:t>
      </w:r>
    </w:p>
    <w:p>
      <w:pPr>
        <w:spacing w:after="0" w:line="68" w:lineRule="exact"/>
        <w:rPr>
          <w:sz w:val="20"/>
          <w:szCs w:val="20"/>
          <w:color w:val="auto"/>
        </w:rPr>
      </w:pPr>
    </w:p>
    <w:p>
      <w:pPr>
        <w:jc w:val="both"/>
        <w:ind w:left="1800" w:right="419" w:hanging="180"/>
        <w:spacing w:after="0" w:line="25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the officer’s separation by us for any of the following reasons: (i) the officer’s willful or gross neglect and material failure to perform his or her duties and responsibilities to us, including but not limited to a failure to cooperate with us in any investigation or formal proceeding; (ii) the officer’s commission of any act of fraud, embezzlement, dishonesty or any other intentional misconduct in connection with the officer’s responsibilities as an employee that is materially injurious to us; (iii) the unauthorized use or disclosure by the officer of any of our proprietary information or trade secrets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43" w:lineRule="auto"/>
        <w:rPr>
          <w:sz w:val="20"/>
          <w:szCs w:val="20"/>
          <w:color w:val="auto"/>
        </w:rPr>
      </w:pPr>
      <w:r>
        <w:rPr>
          <w:rFonts w:ascii="Times New Roman" w:cs="Times New Roman" w:eastAsia="Times New Roman" w:hAnsi="Times New Roman"/>
          <w:sz w:val="18"/>
          <w:szCs w:val="18"/>
          <w:color w:val="auto"/>
        </w:rPr>
        <w:t>any other party to whom the officer owes an obligation of nondisclosure as a result of the officer’s relationship with us; (iv) the officer is convicted of, or enters a no contest plea to, a felony; or (v) the officer’s breach of any of the officer’s material obligations under any policy, written agreement or covenant with us (including the officer’s offer letter). A termination of employment under subparts (i), (iii) and (v) shall not be deemed cause unless the officer has first been given specific written notice of subpart and facts relied upon and thirty days to cure. The determination as to whether the officer is being terminated for cause, and whether the officer has cured any such actions or inactions during any thirty day cure period with respect to subparts (i), (iii) and (v) and with respect to subpart</w:t>
      </w:r>
    </w:p>
    <w:p>
      <w:pPr>
        <w:spacing w:after="0" w:line="4" w:lineRule="exact"/>
        <w:rPr>
          <w:sz w:val="20"/>
          <w:szCs w:val="20"/>
          <w:color w:val="auto"/>
        </w:rPr>
      </w:pPr>
    </w:p>
    <w:p>
      <w:pPr>
        <w:ind w:left="1800" w:right="419"/>
        <w:spacing w:after="0" w:line="241" w:lineRule="auto"/>
        <w:tabs>
          <w:tab w:leader="none" w:pos="209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breach is capable of being cured, shall be made in good faith by our board of directors.</w:t>
      </w:r>
    </w:p>
    <w:p>
      <w:pPr>
        <w:spacing w:after="0" w:line="285"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(i) the date any non-affiliated “person” (as​ such term is used in Sections 13(d) and 14(d) of the Exchange Act) becomes the “beneficial owner” (as​ defined in Rule 13d-3 under the Exchange Act), directly or indirectly, of our securities representing 50% or more of the total voting power represented by our then outstanding voting securities, other than pursuant to a sale by us of our securities in a transaction or series of related transactions the primary purpose of which is to raise capital for us; (ii) the date of the consummation of our merger or consolidation with any other corporation that has been approved by our stockholders, other than a merger or consolidation which would result in our voting securities outstanding immediately prior thereto continuing to represent (either by remaining outstanding or by being converted into voting securities of the surviving entity) more than fifty percent (50%) of the total voting power represented by our voting securities or such surviving entity outstanding immediately after such merger or consolidation; or (iii) the date of the consummation of our sale or disposition of all or substantially all of our assets.</w:t>
      </w:r>
    </w:p>
    <w:p>
      <w:pPr>
        <w:spacing w:after="0" w:line="297"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“constructive termination” means the officer’s separation as the result of resignation for any of the following, except as otherwise agreed in writing by the officer: (i) a material reduction in the officer’s job duties, position and responsibilities, taken as a whole, other than in connection with an excluded change of control; (ii) we require the officer to relocate to a facility or location more than 35 miles from the primary location at which the officer was working for us immediately before the required change of location; (iii) any reduction of the officer’s base salary in effect immediately prior to such reduction (other than as part of an across-the-board, proportional reduction), or (iv) we materially breach the terms of the officer’s offer letter. In the event of the occurrence of a condition listed above, the officer must provide notice to us within 60 days of the occurrence of a condition listed above and allow us 30 days after the officer’s delivery of notice to cure such condition. Additionally, in the event we fail to cure the condition within the cure period provided, the officer must terminate employment with us within 10 days of the end of the cure period.</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change of control” means (i) a change of control involving any transaction with Aclaris Therapeutics Inc. or (ii) a change of control with a special purpose acquisition company formed by, or affiliated with, Foresite Capital Management or its affiliated funds within 12 months of the officer’s start date.</w:t>
      </w:r>
    </w:p>
    <w:p>
      <w:pPr>
        <w:spacing w:after="0" w:line="9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Our named executive officers’ option awards granted prior to the execution of the underwriting agreement for this offering are subject to the terms of the 2021 Plan or our 2024 Performance Option Plan (2024 POP), as applicable; a description of each of the 2021 Plan and 2024 POP and options granted thereunder is provided in the subsection titled “—Equity Benefit Plans” below.</w:t>
      </w:r>
    </w:p>
    <w:p>
      <w:pPr>
        <w:spacing w:after="0" w:line="11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intend to adopt a severance program covering our named executive officers in connection with this offering and will provide a description of such program once it is finalized.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 and Benefits</w:t>
      </w:r>
    </w:p>
    <w:p>
      <w:pPr>
        <w:spacing w:after="0" w:line="14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 each case on the same basis as all of our other employees. These employee benefit plans include medical, dental, vision, disability, employee assistance, life, accidental death and dismemberment insurance plans. We pay the premiums for the medical, dental, vision, life, and accidental death and dismemberment insurance for all of our employees, including our named executive officers. We generally do not provide perquisites or personal benefits to our named executive officers. In addition, we provide the opportunity to participate in a 401(k) plan to our employees, including each of our named executive officers, as discussed in the subsection titled “—401(k) Plan” below.</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defined contribution retirement plan that provides eligible employees with an opportunity to save for retirement on a tax advantaged basis. Eligible employees may elect to defer up to 15% of their eligible compensation into the plan on a pretax or after tax basis, up to annual limits prescribed by the Internal Revenue Code of 1986, as amended (the Code).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intend to adopt a compensation recovery policy that is compliant with the Nasdaq Listing Rules, as required by the Dodd-Frank Act, to be effective upon the consummation of this offering.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Benefit Plans</w:t>
      </w:r>
    </w:p>
    <w:p>
      <w:pPr>
        <w:spacing w:after="0" w:line="14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 which are filed as exhibits to the registration statement of which this prospectus forms a part.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 2024, our board of directors adopted, and our stockholders approved, our 2024 Plan. We expect our 2024 Plan will become effective upon the execution of the underwriting agreement for this offering. Our 2024 Plan came into existence upon its adoption by our board of directors, but no grants will be made under our 2024 Plan prior to its effectiveness. Our 2024 Plan is a successor to and continuation of our 2021 Plan (referred to in the 2024 Plan as our Prior Plan). Once our 2024 Plan becomes effective, no further grants will be made under our 2021 Plan.</w:t>
      </w:r>
    </w:p>
    <w:p>
      <w:pPr>
        <w:spacing w:after="0" w:line="118"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2024 Plan provides for the grant of incentive stock options (ISOs)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our affiliates.</w:t>
      </w:r>
    </w:p>
    <w:p>
      <w:pPr>
        <w:spacing w:after="0" w:line="31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Initially, the maximum number of shares of our common stock that may be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our 2024 Plan after it becomes effective will not exceed             shares, which is the sum of (i)         new shares, plus (ii) an additional number of shares not to exceed             , consisting of (a)          </w:t>
      </w:r>
    </w:p>
    <w:p>
      <w:pPr>
        <w:spacing w:after="0" w:line="1"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shares that remain available for the issuance of awards under our 2021 Plan as of immediately prior to the effectiveness of our 2024 Plan and (b)             shares of our common stock that are subject to outstanding stock options or other stock awards granted under our 2021 Plan that, on or after the 2024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common stock reserved for issuance under our 2024 Plan will automatically increase on January 1 of each calendar year, starting on January 1, 2025 (assuming the 2024 Plan becomes effective in 2024) through January 1, 2034, in an amount equal to        % of the total number of shares of our capital stock outstanding on the last day of the calendar month before the date of each automatic increase, or a lesser number of shares determined by our board of directors. The maximum number of shares of our common stock that may be issued on the exercise of ISOs under our 2024 Plan is            .</w:t>
      </w:r>
    </w:p>
    <w:p>
      <w:pPr>
        <w:spacing w:after="0" w:line="34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Shares subject to stock awards granted under our 2024 Plan that expire or terminate without being exercised in full, or that are paid out in cash rather than in shares, do not reduce the number of shares available for issuance under our 2024 Plan. Additionally, shares become available for future grant under our 2024 Plan if</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they were issued stock awards under our 2024 Plan and we repurchase them or they are forfeited. This includes shares used to pay the exercise price of a stock award or to satisfy the tax withholding obligations related to a stock award.</w:t>
      </w:r>
    </w:p>
    <w:p>
      <w:pPr>
        <w:spacing w:after="0" w:line="10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of directors,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 our 2024 Plan. Our board of directors may delegate concurrent authority to administer our 2024 Plan to our compensation committee under the terms of our compensation committee’s charter. We sometimes refer to our board of directors, or the applicable committee with the power to administer our equity incentive plans, as the administrator. The administrator may also delegate to one or more persons or bodies the authority to (i) designate employees (other than officers) to receive specified awards, and</w:t>
      </w:r>
    </w:p>
    <w:p>
      <w:pPr>
        <w:spacing w:after="0" w:line="1" w:lineRule="exact"/>
        <w:rPr>
          <w:sz w:val="20"/>
          <w:szCs w:val="20"/>
          <w:color w:val="auto"/>
        </w:rPr>
      </w:pPr>
    </w:p>
    <w:p>
      <w:pPr>
        <w:jc w:val="both"/>
        <w:ind w:left="1260" w:right="419"/>
        <w:spacing w:after="0" w:line="242" w:lineRule="auto"/>
        <w:tabs>
          <w:tab w:leader="none" w:pos="15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subject to such awards. Such persons or bodies may not grant a stock award to themselves and neither our board nor any committee may delegate authority to any person or body (who is not a member of our board or such body that is not comprised solely of members of our board) the authority to determine the fair market value of our common stock for purposes of the 2024 Plan.</w:t>
      </w:r>
    </w:p>
    <w:p>
      <w:pPr>
        <w:spacing w:after="0" w:line="117"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2024 Plan.</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addition, subject to the terms of the 2024 Plan, the administrator also has the power to modify outstanding awards under our 2024 Plan, including the authority to reprice any outstanding option or stock appreciation right, cancel and re -grant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94"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under stock option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administrator determines the exercise price for stock options, within the terms and conditions of the 2024 Plan, provided that the exercise price of a stock option generally cannot be less than 100% of the fair market value of our common stock on the date of grant. Options granted under the 2024 Plan vest at the rate specified in the stock option agreement as determined by the administrator.</w:t>
      </w:r>
    </w:p>
    <w:p>
      <w:pPr>
        <w:spacing w:after="0" w:line="106"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 respect to ISOs that 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w:t>
      </w:r>
    </w:p>
    <w:p>
      <w:pPr>
        <w:spacing w:after="0" w:line="32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units are granted under restricted stock unit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adopted by the administrator. Restricted stock units may be granted in consideration for any form of legal consideration that may be acceptable to our board of directors and permissible under applicable law. A restricted stock unit may be settled by cash, delivery of stock, a combination of cash and stock as deemed appropriate by the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321"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under restricted stock award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by the administrator. A restricted stock award may be awarded in consideration for cash, check, bank draft or money order, past services to us, or any other form of legal consideration that may be acceptable to our board of directors and permissible under applicable law. The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under stock appreciation grant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by the administrator. The administrator determines the purchase price or strike price for a stock appreciation right, which generally cannot be less than 100% of the fair market value of our common stock on the date of grant. A stock appreciation right granted under the 2024 Plan vests at the rate specified in the stock appreciation right agreement as determined by the administrator.</w:t>
      </w:r>
    </w:p>
    <w:p>
      <w:pPr>
        <w:spacing w:after="0" w:line="116"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2024 Plan permits the grant of performance-based stock and cash awards.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structure awards 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share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administrator.</w:t>
      </w:r>
    </w:p>
    <w:p>
      <w:pPr>
        <w:spacing w:after="0" w:line="356"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reduce or eliminate the compensation or economic benefit due upon attainment of the goals. The performance goals may differ from participant to participant and from award to award.</w:t>
      </w:r>
    </w:p>
    <w:p>
      <w:pPr>
        <w:spacing w:after="0" w:line="339"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The administrator may grant other awards based in whole or in part by reference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The administrator will set the number of shares under the stock award and all other terms and conditions of such awards.</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non-employee director with respect to any calendar year beginning in               , including stock awards granted and cash fees paid by us to such non-employee director, will not exceed $            in total value, or in the event such non-employee director is first appointed or elected to the board during such calendar year, $            in total value (in each case, calculating the value of any such stock awards based on the grant date fair value of such stock awards for financial reporting purposes).</w:t>
      </w:r>
    </w:p>
    <w:p>
      <w:pPr>
        <w:spacing w:after="0" w:line="115"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there is a specified type of change in our capital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stock split, reverse stock split, or recapitalization, appropriate adjustments will be made to (i) the class and maximum number of shares reserved for issuance under the 2024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w:t>
      </w:r>
    </w:p>
    <w:p>
      <w:pPr>
        <w:spacing w:after="0" w:line="115"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following applies to stock awards under the 2024 Plan in the event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transaction, unless otherwise provided in a participant’s stock award agreement or other written agreement with us or one of our affiliates or unless otherwise expressly provided by the administrator at the time of grant.</w:t>
      </w:r>
    </w:p>
    <w:p>
      <w:pPr>
        <w:spacing w:after="0" w:line="31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2024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administrator is not obligated to treat all stock awards or portions of stock awards in the same manner and is not obligated to take the same actions with respect to all participants.</w:t>
      </w:r>
    </w:p>
    <w:p>
      <w:pPr>
        <w:spacing w:after="0" w:line="3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the event a stock award will terminate if not exercised prior to the effective time of a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w:t>
      </w:r>
    </w:p>
    <w:p>
      <w:pPr>
        <w:spacing w:after="0" w:line="116"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Under our 2024 Plan, a corporate transaction is defined to include the consummation, in a single transaction or in a series of related transactions, of any one or more of the following events: (i) a sale or disposition of all or substantially all of our assets; (ii) a sale or disposition of more than 50% of our outstanding securities;</w:t>
      </w:r>
    </w:p>
    <w:p>
      <w:pPr>
        <w:spacing w:after="0" w:line="1" w:lineRule="exact"/>
        <w:rPr>
          <w:sz w:val="20"/>
          <w:szCs w:val="20"/>
          <w:color w:val="auto"/>
        </w:rPr>
      </w:pPr>
    </w:p>
    <w:p>
      <w:pPr>
        <w:jc w:val="both"/>
        <w:ind w:left="1260" w:right="419"/>
        <w:spacing w:after="0" w:line="253" w:lineRule="auto"/>
        <w:tabs>
          <w:tab w:leader="none" w:pos="163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where we do not survive the transaction; and (iv)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w:t>
      </w:r>
    </w:p>
    <w:p>
      <w:pPr>
        <w:spacing w:after="0" w:line="322"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as defined under our 2024 Plan, awards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2024 Plan will not receive automatic acceleration of vesting and exercisability, although this treatment may be provided for in an award agreement.</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Under the 2024 Plan, a change in control is defined to include: (i) the acquisition by any person or company of more than 50% of the combined voting power of our then outstanding stock; (ii) a consummated merger, consolidation or similar transaction in which our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our assets other than to an entity more than 50% of the combined voting power of which is owned by our stockholders; and (iv) an unapproved change in the majority of the board of directors.</w:t>
      </w:r>
    </w:p>
    <w:p>
      <w:pPr>
        <w:spacing w:after="0" w:line="322"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stock awards under our 2024 Plan other than by will,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of descent and distribution, or as otherwise provided under our 2024 Plan.</w:t>
      </w:r>
    </w:p>
    <w:p>
      <w:pPr>
        <w:spacing w:after="0" w:line="91" w:lineRule="exact"/>
        <w:rPr>
          <w:sz w:val="20"/>
          <w:szCs w:val="20"/>
          <w:color w:val="auto"/>
        </w:rPr>
      </w:pPr>
    </w:p>
    <w:p>
      <w:pPr>
        <w:jc w:val="both"/>
        <w:ind w:left="1260" w:right="419"/>
        <w:spacing w:after="0" w:line="248"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of directors has the authority to amend, suspend, or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2024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2024 Plan. No stock awards may be granted under our 2024 Plan while it is suspended or after it is terminated.</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2024 Performance Option Plan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board of directors adopted our 2024 POP in May 2024, and our stockholders approved our 2024 POP in May 2024.</w:t>
      </w:r>
    </w:p>
    <w:p>
      <w:pPr>
        <w:spacing w:after="0" w:line="93"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Subject to certain capitalization adjustments, the aggregate number of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that may be issued pursuant to awards under our 2024 POP is 8,792,390 shares (the “Share Reserve”). As of May 15, 2024, stock options covering 8,792,390 shares of our common stock with a weighted-average exercise price of $2.18 per share were outstanding and no shares of our common stock remained available for the future grant of awards under our 2024 POP. In addition, the aggregate maximum number of shares of our common stock that may be issued pursuant to the exercise of ISOs is equal to the Share Reserve multiplied by three. Unissued shares of our common stock underlying awards that expire or are cancelled or shares otherwise issuable under our 2024 POP that are withheld by us for payment of the purchase price, exercise price or withholding taxes in respect of an award will remain available for issuance under our 2024 POP. Shares issued under our 2024 POP that are forfeited to or repurchased by us due to failure to vest are currently added back to the shares of common stock available for issuance under our 2024 POP. Shares issued under our 2024 POP that are settled in cash rather than in shares will not reduce the number of shares remaining available for issuance under our 2024 POP.</w:t>
      </w:r>
    </w:p>
    <w:p>
      <w:pPr>
        <w:spacing w:after="0" w:line="12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Our 2024 POP permits the grant of ISOs, NSOs and, restricted stock awards. ISOs may be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to our employees and to any of our parent or subsidiary corporations’ employees. All other awards may be granted to employees, directors and consultants of ours and to any of our parent or subsidiary corporations’ employees or consultants.</w:t>
      </w:r>
    </w:p>
    <w:p>
      <w:pPr>
        <w:spacing w:after="0" w:line="9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or an officer delegated by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administers our 2024 POP. Subject to the terms of our 2024 POP, the administrator has the power to, among other things, select the persons to whom awards may be granted, determine the type of award to be granted to any person, determine the number and type of shares to be covered by each award, establish the terms and conditions of each award agreement, determine whether and under what circumstances an option may be exercised without a payment of cash, and determine whether and to what extent and under what circumstances shares and other amounts payable with respect to an award may be deferred either automatically or at the election of the participant.</w:t>
      </w:r>
    </w:p>
    <w:p>
      <w:pPr>
        <w:spacing w:after="0" w:line="117"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Stock option awards are granted pursuant to a stock option agreement adopted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The administrator determines the exercise price for a stock option, provided that the exercise price of a stock option generally cannot be less than 100% of the fair market value of our common stock on the date of grant. Options granted under our 2024 POP vest at the rate and upon achievement of certain performance conditions specified by the administrator. The administrator determines the term of stock options granted under our 2024 POP, up to a maximum of 10 years. Unless the terms of a participant’s stock option agreement provide otherwise, if a participant’s service relationship with us, or any of our affiliates,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ceases for any reason other than disability, death or cause, the participant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Additionally, unless the terms of a participant’s stock option agreement provide otherwise, if a participant’s service relationship with us or any of our affiliates ceases due to disability or death, or a participant dies within a certain period following cessation of service, the participant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 Acceptable consideration for the purchase of our common stock issued upon the exercise of a stock option will be determined by the administrator and may include (1) cash, check, bank draft, electronic funds transfer or money order, (2) a broker-assisted cashless exercise, (3) the tender of shares of our common stock previously owned by the participant, (4) a net exercise of the option if it is an NSO, (5) deferred payment or a similar arrangement with the participant and (6) other legal consideration approved by the administrator.</w:t>
      </w:r>
    </w:p>
    <w:p>
      <w:pPr>
        <w:spacing w:after="0" w:line="33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Tax Limitations on ISOs. </w:t>
      </w:r>
      <w:r>
        <w:rPr>
          <w:rFonts w:ascii="Times New Roman" w:cs="Times New Roman" w:eastAsia="Times New Roman" w:hAnsi="Times New Roman"/>
          <w:sz w:val="18"/>
          <w:szCs w:val="18"/>
          <w:color w:val="auto"/>
        </w:rPr>
        <w:t>The aggregate fair market value, determined at the time of grant,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 respect to ISOs that are exercisable for the first time by a participant during any calendar year under all of our stock plans may not exceed $ 100,000.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ISO does not exceed five years from the date of grant.</w:t>
      </w:r>
    </w:p>
    <w:p>
      <w:pPr>
        <w:spacing w:after="0" w:line="32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Restricted stock may be issued pursuant to restricted stock award agreements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adopt or upon the early exercise of options by participants. Restricted stock may be granted in consideration for (1) cash, check, bank draft or money order, (2) services rendered to us or our affiliates or (3) any other form of legal consideration approved by the administrator.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w:t>
      </w:r>
    </w:p>
    <w:p>
      <w:pPr>
        <w:spacing w:after="0" w:line="11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there is a specified type of change in our capital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stock dividend, stock split or reverse stock split, appropriate adjustments will be made to (1) the number of shares available for issuance under our 2024 POP, (2) the number of shares covered by and, as applicable, the exercise price of each outstanding award granted under our 2024 POP and (3) the number of shares that may be issued as ISOs under the 2024 POP.</w:t>
      </w:r>
    </w:p>
    <w:p>
      <w:pPr>
        <w:spacing w:after="0" w:line="10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If we are a party to a merger or consolidation, or in the event of a sale of all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our stock or assets, outstanding awards under our 2024 POP will be treated in the manner set forth in the definitive transaction agreement (or, if the transaction does not involve such an agreement, in the manner determined by our board of directors), which agreement or determination need not treat all outstanding awards in an identical manner, and may include one or more of the following treatments with respect to each outstanding award: (i) continuation, assumption or substitution of the award by the surviving corporation (or its parent); (ii) cancellation of the award in exchange for a payment with respect to each share subject to the portion of the award that is vested as of the transaction date equal to the excess of (a) the value of the property (including cash) received by the holder of a share of our common stock as a result of the transaction over (b) the per share exercise price (if any) of the award; (iii) cancellation of the stock option for no consideration; however, the participant will be notified of such treatment and given an opportunity to exercise the option (to the extent it is vested or it becomes vested as of the effective date of the transaction) during a period that will generally be not less than five business days preceding the effective date of the transaction; (iv) suspension of the right to exercise the stock option for a limited period preceding the closing of the transaction if administratively necessary to permit the closing of the transaction; or (v) termination of any right to exercise shares subject to the stock option prior to vesting so that the stock option may only be exercised for vested shares after the closing of the transaction. Our board of directors has discretion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accelerate, in whole or part, the vesting and exercisability of an award in connection with a corporate transaction described above. Our board of directors need not take the same action or actions with respect to all stock awards or portions thereof or with respect to all participants or with respect to the vested or unvested portion of such stock awards. In addition, a stock award may provide for additional acceleration of vesting and exercisability upon or following a “change in control” ​(as defined in the 2024 POP) as may be provided in the award agreement evidencing such stock award or in any other written agreement with the holder thereof, but in the absence of such agreement, no such acceleration will occur.</w:t>
      </w:r>
    </w:p>
    <w:p>
      <w:pPr>
        <w:spacing w:after="0" w:line="11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Plan Amendment or Termination. </w:t>
      </w:r>
      <w:r>
        <w:rPr>
          <w:rFonts w:ascii="Times New Roman" w:cs="Times New Roman" w:eastAsia="Times New Roman" w:hAnsi="Times New Roman"/>
          <w:sz w:val="18"/>
          <w:szCs w:val="18"/>
          <w:color w:val="auto"/>
        </w:rPr>
        <w:t>Our board of directors may amend, modify, suspend or terminate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POP at any time. Unless terminated sooner by our board of directors, our 2024 POP will automatically terminate on the day before the tenth anniversary of the earlier of (1) the date our 2024 POP was approved by our board of directors, or (2) the date our 2024 POP was approved by our stockholders. No awards may be granted under the POP while it is suspended or after it is terminated. We will terminate our 2024 POP prior to the completion of this offering and no new awards will be granted thereunder following such termination.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2021 Stock Plan</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Our board of directors adopted, and our stockholders approved, our 2021 Plan on February 2, 2021. Our 2021 Plan was most recently amended by our board of directors and our stockholders on March 1, 2024. No further awards will be granted under our 2021 Plan on or after the effectiveness of our 2024 Plan; however, awards outstanding under our 2021 Plan will continue to be governed by their existing terms.</w:t>
      </w:r>
    </w:p>
    <w:p>
      <w:pPr>
        <w:spacing w:after="0" w:line="108"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Our 2021 Plan provides for the direct award or sale of shares and for the grant of ISOs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of Section 422 of the Code, NSOs, stock awards and RSU awards. ISOs may only be granted to our employees. All other awards may be granted to our employees, non-employee members of our board of directors and consultants and any of our subsidiary corporations’ employees and consultants.</w:t>
      </w:r>
    </w:p>
    <w:p>
      <w:pPr>
        <w:spacing w:after="0" w:line="106"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As of March 31, 2024, we had reserved 34,229,147 shares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issuance under our 2021 Plan, all of which could be issued on the exercise of ISOs. As of March 31, 2024, options to purchase 26,019,851 shares of our common stock were outstanding under our 2021 Plan, and 2,954,063 shares of our common stock remained available for issuance under our 2021 Plan. Unissued shares of our common stock underlying awards that expire or are canceled, or shares otherwise issuable under our 2021 Plan that are withheld by us for payment of the purchase price, exercise price or withholding taxes in respect of an award will remain available for issuance under our 2021 Plan. Shares issued under our 2021 Plan that are forfeited to or repurchased by us due to failure to vest are currently added back to the shares of common stock available for issuance under our 2021 Plan. Shares issued under our 2021 Plan that are settled in cash rather than in shares will not reduce the number of shares remaining available for issuance under our 2021 Plan. Upon the effectiveness of our 2024 Plan, shares available for issuance under our 2021 Plan will be added to the shares available for issuance under our 2024 Plan and no additional awards will be granted under the 2021 Plan. In addition, upon the effectiveness of our 2024 Plan, shares subject to awards granted under the 2021 Plan that expire, lapse or are terminated, exchanged for cash, surrendered, repurchased, or forfeited following the effective date of the 2024 Plan will be available for issuance under the 2024 Plan in accordance with its terms.</w:t>
      </w:r>
    </w:p>
    <w:p>
      <w:pPr>
        <w:spacing w:after="0" w:line="32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 Our board of directors or one or more committees appointed by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administer our 2021 Plan. We sometimes refer to our board of directors, or the applicable committee appointed by our board of directors, as the administrator. Subject to the terms of our 2021 Plan, the administrator has full authority and discretion to take any actions it deems necessary or advisable for the plan administration of our 2021 Plan. With respect to the terms and conditions of awards granted to participants outside the United States, our board of directors may vary from the provisions of our 2021 Plan that do not require stockholder approval to the extent it determines it necessary and appropriate to do so.</w:t>
      </w:r>
    </w:p>
    <w:p>
      <w:pPr>
        <w:spacing w:after="0" w:line="116"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Within the limitations of our 2021 Plan, the administrator also has the authority to modify, reprice, extend or assume outstanding options and to accept the cancellation of outstanding options (whether granted by us or another issuer) in return for the grant of new options or a different type of award for the same or a different number of shares of our common stock and at the same or a different exercise price. However, no modification of an option may impair the participant’s rights or increase the participant’s obligations under the option without the consent of the participant (except as otherwise provided in the 2021 Plan).</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Stock options have been granted under our 2021 Plan.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2021 Plan, the administrator determines the terms and conditions of stock options, including, but not limited to, the number of shares subject to the stock option, the exercise price of the stock option, the term of the stock option and the time(s) at which the stock option may become exercisable. The exercise price of stock options granted under our 2021 Plan generally cannot be less than 100% of the fair market value of a share of our common stock on the grant date. The term of a stock option may not exceed ten years from the grant date. With respect to any participant who owns more than 10% of the voting power of all classes of our (or any of our parent’s or subsidiary’s) outstanding stock, the term of an ISO granted to such participant must not exceed five years from the grant date and the per share exercise price cannot be less than 110% of the fair market value of a share of our common stock on the grant date. The exercise price of a stock option may be paid by cash or cash equivalents, or by one or any combination of other payment methods permitted by the administrator, which may include (without limitation): (i) in consideration of services rendered,</w:t>
      </w:r>
    </w:p>
    <w:p>
      <w:pPr>
        <w:spacing w:after="0" w:line="1" w:lineRule="exact"/>
        <w:rPr>
          <w:sz w:val="20"/>
          <w:szCs w:val="20"/>
          <w:color w:val="auto"/>
        </w:rPr>
      </w:pPr>
    </w:p>
    <w:p>
      <w:pPr>
        <w:jc w:val="both"/>
        <w:ind w:left="1260" w:right="419"/>
        <w:spacing w:after="0" w:line="241" w:lineRule="auto"/>
        <w:tabs>
          <w:tab w:leader="none" w:pos="157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a promissory note by the participant, (iii) the tender of shares of our common stock previously owned by the participant, (iv) “same day sale” or “cashless exercise” procedure, (v) “net exercise” or (vi) other legal consideration permitted by applicable law. Unless otherwise provided in a participant’s option agreement, if a participant’s service terminates, the participant’s then-vested stock options granted under our 2021 Plan will remain exercisable following termination for a period of three months if the termination is for any reason other than death or disability (as defined in our 2021 Plan), for a period of six months if the termination is due to disability, for a period of 12 months if the termination is due to death, or such longer or shorter period as the administrator may determine. In no event may a stock option be exercised later than the expiration of its term.</w:t>
      </w:r>
    </w:p>
    <w:p>
      <w:pPr>
        <w:spacing w:after="0" w:line="327"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RSU Awards. </w:t>
      </w:r>
      <w:r>
        <w:rPr>
          <w:rFonts w:ascii="Times New Roman" w:cs="Times New Roman" w:eastAsia="Times New Roman" w:hAnsi="Times New Roman"/>
          <w:sz w:val="18"/>
          <w:szCs w:val="18"/>
          <w:color w:val="auto"/>
        </w:rPr>
        <w:t>RSU awards may be granted in consideration for any form of legal consideration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acceptable to our board of directors and permissible under applicable law. A RSU award may be settled by cash, delivery of stock, a combination of cash and stock as deemed appropriate by the administrator. Additionally, dividend equivalents may be credited in respect of shares covered by RSU awards.</w:t>
      </w:r>
    </w:p>
    <w:p>
      <w:pPr>
        <w:spacing w:after="0" w:line="106"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Stock awards may be awarded in consideration for cash, check, bank draft or money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past services to us, or any other form of legal consideration that may be acceptable to our board of directors and permissible under applicable law. The administrator determines the terms and conditions of stock awards, including vesting and forfeiture terms.</w:t>
      </w:r>
    </w:p>
    <w:p>
      <w:pPr>
        <w:spacing w:after="0" w:line="106"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Our 2021 Plan generally does not allow for the transfer of awards except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beneficiary designation, a will or the laws of descent and distribution, and an ISO may be exercised during the lifetime of the participant only by the participant or the participant’s guardian or legal representative.</w:t>
      </w:r>
    </w:p>
    <w:p>
      <w:pPr>
        <w:spacing w:after="0" w:line="107"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i w:val="1"/>
          <w:iCs w:val="1"/>
          <w:color w:val="auto"/>
        </w:rPr>
        <w:t>Changes in Capitalization</w:t>
      </w:r>
      <w:r>
        <w:rPr>
          <w:rFonts w:ascii="Times New Roman" w:cs="Times New Roman" w:eastAsia="Times New Roman" w:hAnsi="Times New Roman"/>
          <w:sz w:val="18"/>
          <w:szCs w:val="18"/>
          <w:color w:val="auto"/>
        </w:rPr>
        <w:t>. In the event of a subdivision of our outstanding common stock, a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a combination or consolidation of our outstanding common stock into a lesser number of shares, a reclassification or any other increase or decrease in the number of issued shares of our common stock effected without receipt of consideration by us, proportionate adjustments will automatically be made in each of (i) the number and kind of shares available for issuance under our 2021 Plan, (ii) the number and kind of shares covered by each outstanding award and any outstanding and unexercised right to purchase shares that has not yet expired, (iii) the exercise price or purchase price, if any, applicable to each outstanding award, and (iv) any repurchase price applicable to shares granted under our 2021 Plan. In the event of an extraordinary dividend payable in a form other than shares of our common stock in an amount that has a material effect on the fair market value of our common stock, a recapitalization, spin-off, or other similar occurrence, the administrator at its sole discretion may make appropriate adjustments to one or more of the items described above.</w:t>
      </w:r>
    </w:p>
    <w:p>
      <w:pPr>
        <w:spacing w:after="0" w:line="327"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If we are a party to a merger or consolidation, or in the event of a sale of all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our stock or assets, outstanding awards under our 2021 Plan will be treated in the manner set forth in the definitive transaction agreement (or, if the transaction does not involve such an agreement, in the manner determined by our board of directors), which agreement or determination need not treat all outstanding awards in an identical manner, and may include one or more of the following treatments with respect to each outstanding award: (i) continuation, assumption or substitution of the award by the surviving corporation (or its parent); (ii) cancellation of the award in exchange for a payment with respect to each share subject to the portion of the award that is vested as of the transaction date equal to the excess of</w:t>
      </w:r>
    </w:p>
    <w:p>
      <w:pPr>
        <w:spacing w:after="0" w:line="4" w:lineRule="exact"/>
        <w:rPr>
          <w:sz w:val="20"/>
          <w:szCs w:val="20"/>
          <w:color w:val="auto"/>
        </w:rPr>
      </w:pPr>
    </w:p>
    <w:p>
      <w:pPr>
        <w:jc w:val="both"/>
        <w:ind w:left="1260" w:right="419"/>
        <w:spacing w:after="0"/>
        <w:tabs>
          <w:tab w:leader="none" w:pos="15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property (including cash) received by the holder of a share of our common stock as a result of the transaction over (b) the per share exercise price (if any) of the award; (iii) cancellation of the stock option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no consideration; however, the participant will be notified of such treatment and given an opportunity to exercise the option (to the extent it is vested or it becomes vested as of the effective date of the transaction) during a period that will generally be not less than five business days preceding the effective date of the transaction; (iv) suspension of the right to exercise the stock option for a limited period preceding the closing of the transaction if administratively necessary to permit the closing of the transaction; or</w:t>
      </w:r>
    </w:p>
    <w:p>
      <w:pPr>
        <w:spacing w:after="0" w:line="3" w:lineRule="exact"/>
        <w:rPr>
          <w:sz w:val="20"/>
          <w:szCs w:val="20"/>
          <w:color w:val="auto"/>
        </w:rPr>
      </w:pPr>
    </w:p>
    <w:p>
      <w:pPr>
        <w:jc w:val="both"/>
        <w:ind w:left="1260" w:right="419"/>
        <w:spacing w:after="0" w:line="253" w:lineRule="auto"/>
        <w:tabs>
          <w:tab w:leader="none" w:pos="154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any right to exercise shares subject to the stock option prior to vesting so that the stock option may only be exercised for vested shares after the closing of the transaction. Our board of directors has discretion to accelerate, in whole or part, the vesting and exercisability of an award in connection with a corporate transaction described above.</w:t>
      </w:r>
    </w:p>
    <w:p>
      <w:pPr>
        <w:spacing w:after="0" w:line="11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board of directors may amend, suspend or terminate our 2021 Plan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and for any reason, subject to stockholder approval where such approval is required by applicable law. No termination or amendment of our 2021 Plan may adversely affect any then-outstanding award without the consent of the affected participant. As noted above, no further awards will be granted under our 2021 Plan on or after the effectiveness of our 2024 Plan; however, awards outstanding under our 2021 Plan will continue to be governed by their existing terms.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Our board of directors adopted, and our stockholders approved, our 2024 Employee Stock Purchase Plan, (ESPP) in             2024. The ESPP will become effective immediately prior to the execution of the underwriting agreement for this offering. The purpose of the ESPP is to secure and retain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ordinary shares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w:t>
      </w:r>
    </w:p>
    <w:p>
      <w:pPr>
        <w:spacing w:after="0" w:line="11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Following this offering, the ESPP authorizes the issuance of shares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purchase rights granted to our employees or to employees of any of our designated affiliates. The number of shares of our common stock reserved for issuance will automatically increase on January 1 of each calendar year, beginning on January 1, 2025 (assuming the ESPP becomes effective in 2024) through January 1, 2034, by the lesser of (i)        % of the total number of shares of our capital stock outstanding on the last day of the calendar month before the date of the automatic increase, and (ii)             shares; provided that before the date of any such increase, our board of directors may determine that such increase will be less than the amount set forth in clauses (i) and (ii). As of the date hereof, no shares of our common stock have been purchased under the ESPP.</w:t>
      </w:r>
    </w:p>
    <w:p>
      <w:pPr>
        <w:spacing w:after="0" w:line="340"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of directors, or a duly authorized committee thereof, will administer our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may delegate concurrent authority to administer the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117"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Generally, all regular employees, including executive officers, employed by us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our designated affiliates, may participate in the ESPP and may contribute, normally through payroll deductions, up to        % of their earnings (as defined in the ESPP) for the purchase of our common stock under the ESPP. Unless otherwise determined by our board of directors, common stock will be purchased for the accounts of employees participating in the ESPP at a price per share that is at least the lesser of</w:t>
      </w:r>
    </w:p>
    <w:p>
      <w:pPr>
        <w:spacing w:after="0" w:line="1" w:lineRule="exact"/>
        <w:rPr>
          <w:sz w:val="20"/>
          <w:szCs w:val="20"/>
          <w:color w:val="auto"/>
        </w:rPr>
      </w:pPr>
    </w:p>
    <w:p>
      <w:pPr>
        <w:ind w:left="1260" w:right="419"/>
        <w:spacing w:after="0" w:line="260" w:lineRule="auto"/>
        <w:tabs>
          <w:tab w:leader="none" w:pos="14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fair market value of a share of our common stock on the first date of an offering; or (ii) 85% of the fair market value of a share of our common stock on the date of purchase.</w:t>
      </w: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i w:val="1"/>
          <w:iCs w:val="1"/>
          <w:color w:val="auto"/>
        </w:rPr>
        <w:t>Limitations</w:t>
      </w:r>
      <w:r>
        <w:rPr>
          <w:rFonts w:ascii="Times New Roman" w:cs="Times New Roman" w:eastAsia="Times New Roman" w:hAnsi="Times New Roman"/>
          <w:sz w:val="18"/>
          <w:szCs w:val="18"/>
          <w:color w:val="auto"/>
        </w:rPr>
        <w:t>. Employees may have to satisfy one or more of the following service requirements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in the ESPP, as determined by our board of directors, including: (i) customary employment with us or one of our affiliates for more than 20 hours per week and more than five months per calendar year; or (ii) continuous employment with us or one of our affiliates for a minimum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32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that there occurs a change in our capital structure through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ESPP; (ii) the maximum number of shares by which the share reserve may increase automatically each year; (iii) the number of shares and purchase price of all outstanding purchase rights; and (iv) the number of shares that are subject to purchase limits under ongoing offerings.</w:t>
      </w:r>
    </w:p>
    <w:p>
      <w:pPr>
        <w:spacing w:after="0" w:line="11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of certain significant corporate transactions,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in a single transaction or in a series of related transactions, of any one or more of the following events: (i) a sale of all or substantially all of our assets; (ii) a sale or disposition of more than 50% of our outstanding securities; (iii) a merger or consolidation where we do not survive the transaction; and</w:t>
      </w:r>
    </w:p>
    <w:p>
      <w:pPr>
        <w:jc w:val="both"/>
        <w:ind w:left="1260" w:right="419"/>
        <w:spacing w:after="0"/>
        <w:tabs>
          <w:tab w:leader="none" w:pos="160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 after such purchase.</w:t>
      </w:r>
    </w:p>
    <w:p>
      <w:pPr>
        <w:spacing w:after="0" w:line="118"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ESPP Amendment or Termination</w:t>
      </w:r>
      <w:r>
        <w:rPr>
          <w:rFonts w:ascii="Times New Roman" w:cs="Times New Roman" w:eastAsia="Times New Roman" w:hAnsi="Times New Roman"/>
          <w:sz w:val="18"/>
          <w:szCs w:val="18"/>
          <w:color w:val="auto"/>
        </w:rPr>
        <w:t>. Our board of directors has the authority to amend or terminate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provided that except in certain 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Our amended and restated certificate of incorporation, which will become effective immediately prior to the closing of this offering, will contain provisions that limit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w:t>
      </w:r>
    </w:p>
    <w:p>
      <w:pPr>
        <w:spacing w:after="0" w:line="73" w:lineRule="exact"/>
        <w:rPr>
          <w:sz w:val="20"/>
          <w:szCs w:val="20"/>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the corporation or its stockholders;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director, unlawful payments of dividends or unlawful stock repurchases or redemptions;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officer, derivative claims brought on behalf of the corporation by a stockholder;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15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95"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authorize us to indemnify our directors, officers, employees and other agents to the fullest extent permitted by Delaware law. Our amended and restated bylaws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w:t>
      </w:r>
    </w:p>
    <w:p>
      <w:pPr>
        <w:spacing w:after="0" w:line="12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0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32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 During the first 180 days from this offering, the sale of any shares under such plan would be subject to the lock-up agreement that the director or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following includes a summary of transactions since our inception and any currently proposed transactions to which we have been or are to be a party in which the amount involved exceeded or will exceed the lesser of $120,000 and 1% of our total assets,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the sections titled “Executive Compensation” and “Management—Non-Employee Director Compensation.” We also describe below certain other transactions with our directors, executive officers and stockholders.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Foresite Labs Asset Acquisition</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February 2021, we agreed to assume the simple agreements for future equity (SAFEs) of FL2020-003, Inc., an entity affiliated with Foresite Capital Management, a holder of more than 5% of our outstanding capital stock, in exchange for the intellectual property rights for an analytics platform in development, as well as prepaid assets and cash. The SAFEs immediately converted into 1,880,001 shares of our Series Seed redeemable convertible preferred stock. The transaction was measured based on the $1.9 million fair value of the Series Seed redeemable convertible preferred stock issued.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Foresite Labs Services Agreement</w:t>
      </w:r>
    </w:p>
    <w:p>
      <w:pPr>
        <w:spacing w:after="0" w:line="14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In January 2021, we entered into a services agreement with Foresite Labs, an entity affiliated with Foresite Capital Management, a holder of more than 5% of our outstanding capital stock, which was amended on August 24, 2021 and further amended on December 22, 2023, and expires in December 2026, unless terminated earlier by the parties, pursuant to which Foresite Labs provides us with data and analytics services and other scientific support. Foresite Labs invoices us for the services quarterly in advance based on a mutually-agreed service fee estimate, which is reconciled at the end of each quarter. During the years ended December 31, 2022 and 2023, we recognized $1.6 million and $1.5 million as research and development expenses under the service agreement, respectively. General and administrative expenses under the service agreement were immaterial. Accrued expenses under the service agreement were $0 and less than $0.1 million as of December 31, 2022 and 2023, respectively.</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Seed Redeemable Convertible Preferred Stock Financing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February 2021, we issued and sold an aggregate of 10,500,000 shares of our Series Seed Preferred convertible preferred stock, including 1,880,001 shares converted from simple agreements for future equity (SAFEs) held by Foresite Capital Fund V, L.P. and Labs Co-Invest V, LLC, both entities affiliated with Foresite Capital Management, a holder of more than 5% of our outstanding capital stock, at a purchase price of $1.00 per share for aggregate proceeds of $10.5 million, resulting in gross proceeds of $8.6 million.</w:t>
      </w:r>
    </w:p>
    <w:p>
      <w:pPr>
        <w:spacing w:after="0" w:line="11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Series Seed redeemable convertible preferred stock purchased by holders of more than 5% of our capital stock and entities affiliated with our executive officers and members of our board of directors.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of Series Seed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Preferred Stock Purchased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Aggregate Proceeds</w:t>
            </w:r>
          </w:p>
        </w:tc>
        <w:tc>
          <w:tcPr>
            <w:tcW w:w="60" w:type="dxa"/>
            <w:vAlign w:val="bottom"/>
          </w:tcPr>
          <w:p>
            <w:pPr>
              <w:spacing w:after="0"/>
              <w:rPr>
                <w:sz w:val="14"/>
                <w:szCs w:val="14"/>
                <w:color w:val="auto"/>
              </w:rPr>
            </w:pPr>
          </w:p>
        </w:tc>
      </w:tr>
      <w:tr>
        <w:trPr>
          <w:trHeight w:val="187"/>
        </w:trPr>
        <w:tc>
          <w:tcPr>
            <w:tcW w:w="4560" w:type="dxa"/>
            <w:vAlign w:val="bottom"/>
            <w:gridSpan w:val="2"/>
          </w:tcPr>
          <w:p>
            <w:pPr>
              <w:spacing w:after="0" w:line="187" w:lineRule="exact"/>
              <w:rPr>
                <w:sz w:val="20"/>
                <w:szCs w:val="20"/>
                <w:color w:val="auto"/>
              </w:rPr>
            </w:pPr>
            <w:r>
              <w:rPr>
                <w:rFonts w:ascii="Times New Roman" w:cs="Times New Roman" w:eastAsia="Times New Roman" w:hAnsi="Times New Roman"/>
                <w:sz w:val="14"/>
                <w:szCs w:val="14"/>
                <w:b w:val="1"/>
                <w:bCs w:val="1"/>
                <w:color w:val="auto"/>
              </w:rPr>
              <w:t>Participants</w:t>
            </w:r>
            <w:r>
              <w:rPr>
                <w:rFonts w:ascii="Times New Roman" w:cs="Times New Roman" w:eastAsia="Times New Roman" w:hAnsi="Times New Roman"/>
                <w:sz w:val="17"/>
                <w:szCs w:val="17"/>
                <w:b w:val="1"/>
                <w:bCs w:val="1"/>
                <w:color w:val="auto"/>
                <w:vertAlign w:val="superscript"/>
              </w:rPr>
              <w:t>(1)</w:t>
            </w:r>
          </w:p>
        </w:tc>
        <w:tc>
          <w:tcPr>
            <w:tcW w:w="6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 ​</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56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Entities affiliated with Foresite Capital Management</w:t>
            </w:r>
            <w:r>
              <w:rPr>
                <w:rFonts w:ascii="Times New Roman" w:cs="Times New Roman" w:eastAsia="Times New Roman" w:hAnsi="Times New Roman"/>
                <w:sz w:val="23"/>
                <w:szCs w:val="23"/>
                <w:color w:val="auto"/>
                <w:vertAlign w:val="superscript"/>
              </w:rPr>
              <w:t>(2)</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54864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95" w:lineRule="exact"/>
        <w:rPr>
          <w:sz w:val="20"/>
          <w:szCs w:val="20"/>
          <w:color w:val="auto"/>
        </w:rPr>
      </w:pPr>
    </w:p>
    <w:p>
      <w:pPr>
        <w:ind w:left="1620" w:right="419" w:hanging="360"/>
        <w:spacing w:after="0" w:line="282" w:lineRule="auto"/>
        <w:tabs>
          <w:tab w:leader="none" w:pos="16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these stockholders and their equity holdings are included in this prospectus under the section titled “Principal Stockholders.”</w:t>
      </w:r>
    </w:p>
    <w:p>
      <w:pPr>
        <w:spacing w:after="0" w:line="13" w:lineRule="exact"/>
        <w:rPr>
          <w:rFonts w:ascii="Times New Roman" w:cs="Times New Roman" w:eastAsia="Times New Roman" w:hAnsi="Times New Roman"/>
          <w:sz w:val="14"/>
          <w:szCs w:val="14"/>
          <w:color w:val="auto"/>
        </w:rPr>
      </w:pPr>
    </w:p>
    <w:p>
      <w:pPr>
        <w:jc w:val="both"/>
        <w:ind w:left="1620" w:right="419" w:hanging="360"/>
        <w:spacing w:after="0" w:line="248" w:lineRule="auto"/>
        <w:tabs>
          <w:tab w:leader="none" w:pos="16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$7,381,810.80 new cash investment by Foresite Capital Fund V, L.P. and the cancellation of $1,709,089.20 in SAFEs held by Foresite Capital Fund V, L.P. converted in connection with the financing, and (ii) $738,189.20 new cash investment by Labs Co-Invest V, LLC and the cancellation of $170,910.80 in SAFEs held by Labs Co-Invest V, LLC converted in connection with the financing. Entities affiliated with Foresite Capital Management collectively beneficially own more than 5% of our outstanding capital stock. James B. Tananbaum, M.D., a member of our board of directors, is President, Chief Executive Officer and a director of Foresite Capital Management. Immediately prior to the closing of this offering, all shares of our Series Seed redeemable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20" w:right="419"/>
        <w:spacing w:after="0" w:line="302" w:lineRule="auto"/>
        <w:rPr>
          <w:sz w:val="20"/>
          <w:szCs w:val="20"/>
          <w:color w:val="auto"/>
        </w:rPr>
      </w:pPr>
      <w:r>
        <w:rPr>
          <w:rFonts w:ascii="Times New Roman" w:cs="Times New Roman" w:eastAsia="Times New Roman" w:hAnsi="Times New Roman"/>
          <w:sz w:val="14"/>
          <w:szCs w:val="14"/>
          <w:color w:val="auto"/>
        </w:rPr>
        <w:t>convertible preferred stock held by entities affiliated with Foresite Capital Management will convert into               shares of our common stock and               shares of non-voting common stock.</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Redeemable Convertible Preferred Stock Financing</w:t>
      </w:r>
    </w:p>
    <w:p>
      <w:pPr>
        <w:spacing w:after="0" w:line="148" w:lineRule="exact"/>
        <w:rPr>
          <w:sz w:val="20"/>
          <w:szCs w:val="20"/>
          <w:color w:val="auto"/>
        </w:rPr>
      </w:pPr>
    </w:p>
    <w:p>
      <w:pPr>
        <w:jc w:val="both"/>
        <w:ind w:left="1260" w:right="419"/>
        <w:spacing w:after="0" w:line="297" w:lineRule="auto"/>
        <w:rPr>
          <w:sz w:val="20"/>
          <w:szCs w:val="20"/>
          <w:color w:val="auto"/>
        </w:rPr>
      </w:pPr>
      <w:r>
        <w:rPr>
          <w:rFonts w:ascii="Times New Roman" w:cs="Times New Roman" w:eastAsia="Times New Roman" w:hAnsi="Times New Roman"/>
          <w:sz w:val="18"/>
          <w:szCs w:val="18"/>
          <w:color w:val="auto"/>
        </w:rPr>
        <w:t>In March 2021, we issued and sold an aggregate of 7,500,000 shares of our Series A redeemable convertible preferred stock at a purchase price of $4.00 per share for aggregate proceeds of $30.0 million.</w:t>
      </w:r>
    </w:p>
    <w:p>
      <w:pPr>
        <w:spacing w:after="0" w:line="82"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Series A redeemable convertible preferred stock purchased by holders of more than 5% of our capital stock and entities affiliated with our executive officers and members of our board of directors.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Series A</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Convertible Preferred Stock</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Participants</w:t>
            </w:r>
            <w:r>
              <w:rPr>
                <w:rFonts w:ascii="Times New Roman" w:cs="Times New Roman" w:eastAsia="Times New Roman" w:hAnsi="Times New Roman"/>
                <w:sz w:val="17"/>
                <w:szCs w:val="17"/>
                <w:b w:val="1"/>
                <w:bCs w:val="1"/>
                <w:color w:val="auto"/>
                <w:vertAlign w:val="superscript"/>
              </w:rPr>
              <w:t>(1)</w:t>
            </w:r>
          </w:p>
        </w:tc>
        <w:tc>
          <w:tcPr>
            <w:tcW w:w="5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Aggregate Proceeds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560" w:type="dxa"/>
            <w:vAlign w:val="bottom"/>
          </w:tcPr>
          <w:p>
            <w:pPr>
              <w:ind w:left="400"/>
              <w:spacing w:after="0" w:line="153" w:lineRule="exact"/>
              <w:rPr>
                <w:sz w:val="20"/>
                <w:szCs w:val="20"/>
                <w:color w:val="auto"/>
              </w:rPr>
            </w:pPr>
            <w:r>
              <w:rPr>
                <w:rFonts w:ascii="Times New Roman" w:cs="Times New Roman" w:eastAsia="Times New Roman" w:hAnsi="Times New Roman"/>
                <w:sz w:val="14"/>
                <w:szCs w:val="14"/>
                <w:b w:val="1"/>
                <w:bCs w:val="1"/>
                <w:color w:val="auto"/>
              </w:rPr>
              <w:t>​ ​</w:t>
            </w:r>
          </w:p>
        </w:tc>
        <w:tc>
          <w:tcPr>
            <w:tcW w:w="16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2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
        </w:trPr>
        <w:tc>
          <w:tcPr>
            <w:tcW w:w="82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Foresite Capital Management</w:t>
            </w:r>
            <w:r>
              <w:rPr>
                <w:rFonts w:ascii="Times New Roman" w:cs="Times New Roman" w:eastAsia="Times New Roman" w:hAnsi="Times New Roman"/>
                <w:sz w:val="23"/>
                <w:szCs w:val="23"/>
                <w:color w:val="auto"/>
                <w:vertAlign w:val="superscript"/>
              </w:rPr>
              <w:t>(2)</w:t>
            </w:r>
          </w:p>
        </w:tc>
        <w:tc>
          <w:tcPr>
            <w:tcW w:w="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​30,000,000.00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5486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22" w:lineRule="exact"/>
        <w:rPr>
          <w:sz w:val="20"/>
          <w:szCs w:val="20"/>
          <w:color w:val="auto"/>
        </w:rPr>
      </w:pPr>
    </w:p>
    <w:p>
      <w:pPr>
        <w:ind w:left="1620" w:right="419" w:hanging="360"/>
        <w:spacing w:after="0" w:line="282" w:lineRule="auto"/>
        <w:tabs>
          <w:tab w:leader="none" w:pos="16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these stockholders and their equity holdings are included in this prospectus under the section titled “Principal Stockholders.”</w:t>
      </w:r>
    </w:p>
    <w:p>
      <w:pPr>
        <w:spacing w:after="0" w:line="40"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5,250,000 shares of Series A redeemable convertible preferred stock issued to Foresite Capital Fund V, L.P. and</w:t>
      </w:r>
    </w:p>
    <w:p>
      <w:pPr>
        <w:spacing w:after="0" w:line="17" w:lineRule="exact"/>
        <w:rPr>
          <w:rFonts w:ascii="Times New Roman" w:cs="Times New Roman" w:eastAsia="Times New Roman" w:hAnsi="Times New Roman"/>
          <w:sz w:val="14"/>
          <w:szCs w:val="14"/>
          <w:color w:val="auto"/>
        </w:rPr>
      </w:pPr>
    </w:p>
    <w:p>
      <w:pPr>
        <w:jc w:val="both"/>
        <w:ind w:left="1620" w:right="419"/>
        <w:spacing w:after="0" w:line="241" w:lineRule="auto"/>
        <w:tabs>
          <w:tab w:leader="none" w:pos="1868"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2,250,000 shares of Series A redeemable convertible preferred stock issued to Foresite Capital Opportunity Fund V, L.P. Entities affiliated with Foresite Capital Management beneficially own more than 5% of our outstanding capital stock. James B. Tananbaum, M.D., a member of our board of directors, is President, Chief Executive Officer and a director of Foresite Capital</w:t>
      </w:r>
    </w:p>
    <w:p>
      <w:pPr>
        <w:spacing w:after="0" w:line="1" w:lineRule="exact"/>
        <w:rPr>
          <w:sz w:val="20"/>
          <w:szCs w:val="20"/>
          <w:color w:val="auto"/>
        </w:rPr>
      </w:pPr>
    </w:p>
    <w:p>
      <w:pPr>
        <w:jc w:val="both"/>
        <w:ind w:left="1620" w:right="419"/>
        <w:spacing w:after="0" w:line="249" w:lineRule="auto"/>
        <w:rPr>
          <w:sz w:val="20"/>
          <w:szCs w:val="20"/>
          <w:color w:val="auto"/>
        </w:rPr>
      </w:pPr>
      <w:r>
        <w:rPr>
          <w:rFonts w:ascii="Times New Roman" w:cs="Times New Roman" w:eastAsia="Times New Roman" w:hAnsi="Times New Roman"/>
          <w:sz w:val="14"/>
          <w:szCs w:val="14"/>
          <w:color w:val="auto"/>
        </w:rPr>
        <w:t>Management. Immediately prior to the closing of this offering, all shares of our Series A redeemable convertible preferred stock held by entities affiliated with Foresite Capital Management will convert into              shares of our common stock and              shares of our non-voting common stock.</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In March 2021, we issued convertible promissory notes to entities affiliated with Foresight Capital Management, a holder of more than 5% of our outstanding capital stock,with a total principal amount of $30.0 million in exchange for $30.0 million in cash. In August 2021, we issued additional convertible promissory notes to entities affiliated with Foresight Capital Management with a total principal amount of $1.5 million in exchange for $1.5 million in cash. In September 2021, we amended and restated all outstanding convertible promissory notes and issued an additional convertible promissory note to an entity affiliated with Foresight Capital Management with a total principal amount of $6.0 million in exchange for $6.0 million in cash. Pursuant to the terms of such notes, the outstanding indebtedness was cancelled, and the convertible promissory notes converted into 9,760,088 shares of Series B-1 redeemable convertible preferred stock in connection with the Series B and Series B-1 redeemable convertible preferred stock financing, as described below under the subsection titled “—Series B and Series B-1 Redeemable Convertible Preferred Stock Financing.” All of the convertible promissory notes bore interest at a rate of 6% per year, compounded annually and could not be prepaid without written consent from the holders.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B and Series B-1 Redeemable Convertible Preferred Stock Financing</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multiple closings between December 2021 and January 2022, we issued and sold an aggregate of 40,200,000 shares of our Series B redeemable convertible preferred stock at a purchase price of $5.00 per share, resulting in aggregate gross proceeds of $201.0 million. In December 2021, upon the occurrence of a qualified financing, the convertible notes automatically converted into 9,760,088 shares of our Series B-1 redeemable convertible preferred stock at a conversion price of $4.00 per share, which was equal to 80% of the cash issuance price of our Series B redeemable convertible preferred stock, resulting in the cancelation of indebtedness of $39.0 million.</w:t>
      </w:r>
    </w:p>
    <w:p>
      <w:pPr>
        <w:spacing w:after="0" w:line="338"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Series B and Series B-1 redeemable convertible preferred stock purchased by holders of more than 5% of our capital stock and entities affiliated with our executive officers and members of our board of directors.</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6"/>
              </w:rPr>
              <w:t>Series B-1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6"/>
              </w:rPr>
              <w:t>Convertible</w:t>
            </w: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Aggregate Proceeds</w:t>
            </w:r>
          </w:p>
        </w:tc>
        <w:tc>
          <w:tcPr>
            <w:tcW w:w="60" w:type="dxa"/>
            <w:vAlign w:val="bottom"/>
          </w:tcPr>
          <w:p>
            <w:pPr>
              <w:spacing w:after="0"/>
              <w:rPr>
                <w:sz w:val="14"/>
                <w:szCs w:val="14"/>
                <w:color w:val="auto"/>
              </w:rPr>
            </w:pPr>
          </w:p>
        </w:tc>
      </w:tr>
      <w:tr>
        <w:trPr>
          <w:trHeight w:val="187"/>
        </w:trPr>
        <w:tc>
          <w:tcPr>
            <w:tcW w:w="4280" w:type="dxa"/>
            <w:vAlign w:val="bottom"/>
            <w:gridSpan w:val="2"/>
          </w:tcPr>
          <w:p>
            <w:pPr>
              <w:spacing w:after="0" w:line="187" w:lineRule="exact"/>
              <w:rPr>
                <w:sz w:val="20"/>
                <w:szCs w:val="20"/>
                <w:color w:val="auto"/>
              </w:rPr>
            </w:pPr>
            <w:r>
              <w:rPr>
                <w:rFonts w:ascii="Times New Roman" w:cs="Times New Roman" w:eastAsia="Times New Roman" w:hAnsi="Times New Roman"/>
                <w:sz w:val="14"/>
                <w:szCs w:val="14"/>
                <w:b w:val="1"/>
                <w:bCs w:val="1"/>
                <w:color w:val="auto"/>
              </w:rPr>
              <w:t>Participants</w:t>
            </w:r>
            <w:r>
              <w:rPr>
                <w:rFonts w:ascii="Times New Roman" w:cs="Times New Roman" w:eastAsia="Times New Roman" w:hAnsi="Times New Roman"/>
                <w:sz w:val="17"/>
                <w:szCs w:val="17"/>
                <w:b w:val="1"/>
                <w:bCs w:val="1"/>
                <w:color w:val="auto"/>
                <w:vertAlign w:val="superscript"/>
              </w:rPr>
              <w:t>(1)</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6"/>
                <w:szCs w:val="16"/>
                <w:color w:val="auto"/>
              </w:rPr>
            </w:pPr>
          </w:p>
        </w:tc>
        <w:tc>
          <w:tcPr>
            <w:tcW w:w="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28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AyurMaya Capital Management Fund, LP</w:t>
            </w:r>
            <w:r>
              <w:rPr>
                <w:rFonts w:ascii="Times New Roman" w:cs="Times New Roman" w:eastAsia="Times New Roman" w:hAnsi="Times New Roman"/>
                <w:sz w:val="23"/>
                <w:szCs w:val="23"/>
                <w:color w:val="auto"/>
                <w:vertAlign w:val="superscript"/>
              </w:rPr>
              <w:t>(2)</w:t>
            </w:r>
          </w:p>
        </w:tc>
        <w:tc>
          <w:tcPr>
            <w:tcW w:w="1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20,000,000 ​​ ​</w:t>
            </w:r>
          </w:p>
        </w:tc>
        <w:tc>
          <w:tcPr>
            <w:tcW w:w="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​100,000,000.00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BBA</w:t>
            </w:r>
            <w:r>
              <w:rPr>
                <w:rFonts w:ascii="Times New Roman" w:cs="Times New Roman" w:eastAsia="Times New Roman" w:hAnsi="Times New Roman"/>
                <w:sz w:val="23"/>
                <w:szCs w:val="23"/>
                <w:color w:val="auto"/>
                <w:vertAlign w:val="superscript"/>
              </w:rPr>
              <w:t>(3)</w:t>
            </w:r>
          </w:p>
        </w:tc>
        <w:tc>
          <w:tcPr>
            <w:tcW w:w="1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20,000,000 ​​ ​</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​100,000,000.00 </w:t>
            </w:r>
            <w:r>
              <w:rPr>
                <w:rFonts w:ascii="Times New Roman" w:cs="Times New Roman" w:eastAsia="Times New Roman" w:hAnsi="Times New Roman"/>
                <w:sz w:val="18"/>
                <w:szCs w:val="18"/>
                <w:b w:val="1"/>
                <w:bCs w:val="1"/>
                <w:color w:val="auto"/>
              </w:rPr>
              <w:t>​</w:t>
            </w:r>
          </w:p>
        </w:tc>
      </w:tr>
      <w:tr>
        <w:trPr>
          <w:trHeight w:val="28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Foresite Capital Management</w:t>
            </w:r>
            <w:r>
              <w:rPr>
                <w:rFonts w:ascii="Times New Roman" w:cs="Times New Roman" w:eastAsia="Times New Roman" w:hAnsi="Times New Roman"/>
                <w:sz w:val="23"/>
                <w:szCs w:val="23"/>
                <w:color w:val="auto"/>
                <w:vertAlign w:val="superscript"/>
              </w:rPr>
              <w:t>(4)</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​9,760,088</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39,040,356.18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54864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08" w:lineRule="exact"/>
        <w:rPr>
          <w:sz w:val="20"/>
          <w:szCs w:val="20"/>
          <w:color w:val="auto"/>
        </w:rPr>
      </w:pPr>
    </w:p>
    <w:p>
      <w:pPr>
        <w:ind w:left="1620" w:right="419" w:hanging="360"/>
        <w:spacing w:after="0" w:line="282" w:lineRule="auto"/>
        <w:tabs>
          <w:tab w:leader="none" w:pos="16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these stockholders and their equity holdings are included in this prospectus under the section titled “Principal Stockholders.”</w:t>
      </w:r>
    </w:p>
    <w:p>
      <w:pPr>
        <w:spacing w:after="0" w:line="13" w:lineRule="exact"/>
        <w:rPr>
          <w:rFonts w:ascii="Times New Roman" w:cs="Times New Roman" w:eastAsia="Times New Roman" w:hAnsi="Times New Roman"/>
          <w:sz w:val="14"/>
          <w:szCs w:val="14"/>
          <w:color w:val="auto"/>
        </w:rPr>
      </w:pPr>
    </w:p>
    <w:p>
      <w:pPr>
        <w:jc w:val="both"/>
        <w:ind w:left="1620" w:right="419" w:hanging="360"/>
        <w:spacing w:after="0" w:line="252" w:lineRule="auto"/>
        <w:tabs>
          <w:tab w:leader="none" w:pos="16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Alan Colowick, M.D., M.P.H., a member of our board of directors, is Managing Director of Matrix Capital Management Company, an affiliate of AyurMaya Capital Management Fund LP, a holder of greater than 5% of our capital stock. Immediately prior to the closing of this offering, all shares of our Series B redeemable convertible preferred stock held by AyurMaya Capital Management Fund, LP will convert into             shares of our common stock and             shares of our non-voting common stock.</w:t>
      </w:r>
    </w:p>
    <w:p>
      <w:pPr>
        <w:spacing w:after="0" w:line="214" w:lineRule="exact"/>
        <w:rPr>
          <w:rFonts w:ascii="Times New Roman" w:cs="Times New Roman" w:eastAsia="Times New Roman" w:hAnsi="Times New Roman"/>
          <w:sz w:val="14"/>
          <w:szCs w:val="14"/>
          <w:color w:val="auto"/>
        </w:rPr>
      </w:pPr>
    </w:p>
    <w:p>
      <w:pPr>
        <w:jc w:val="both"/>
        <w:ind w:left="1620" w:right="419" w:hanging="360"/>
        <w:spacing w:after="0" w:line="248" w:lineRule="auto"/>
        <w:tabs>
          <w:tab w:leader="none" w:pos="16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18,506,264 shares of Series B redeemable convertible preferred stock issued to Baker Brothers Life Sciences, L.P. (BBA) and (ii) 1,493,736 shares of Series B redeemable convertible preferred stock issued to 667, L.P. (together with BBA, the BBA Funds). Julian C. Baker, a former member of our board of directors who resigned from our board of directors in June 2024, is a Managing Partner of BBA, the management company and investment adviser to the BBA Funds. The BBA Funds beneficially own more than 5% of our outstanding capital stock. Immediately prior to the closing of this offering, all shares of our Series B redeemable convertible preferred stock held by the BBA Funds will convert into             shares of our common stock and             shares of our non-voting common stock.</w:t>
      </w:r>
    </w:p>
    <w:p>
      <w:pPr>
        <w:spacing w:after="0" w:line="203"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2,618,356 shares of Series B-1 redeemable convertible preferred stock issued to Foresite Capital Fund V, L.P.,</w:t>
      </w:r>
    </w:p>
    <w:p>
      <w:pPr>
        <w:spacing w:after="0" w:line="17" w:lineRule="exact"/>
        <w:rPr>
          <w:rFonts w:ascii="Times New Roman" w:cs="Times New Roman" w:eastAsia="Times New Roman" w:hAnsi="Times New Roman"/>
          <w:sz w:val="14"/>
          <w:szCs w:val="14"/>
          <w:color w:val="auto"/>
        </w:rPr>
      </w:pPr>
    </w:p>
    <w:p>
      <w:pPr>
        <w:jc w:val="both"/>
        <w:ind w:left="1620" w:right="419"/>
        <w:spacing w:after="0" w:line="241" w:lineRule="auto"/>
        <w:tabs>
          <w:tab w:leader="none" w:pos="1858"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2,618,356 shares of Series B-1 redeemable convertible preferred stock issued to Foresite Capital Opportunity Fund V, L.P., and (iii) 4,523,376 shares of Series B-1 redeemable convertible preferred stock issued to Foresite Labs Fund I, L.P. Entities affiliated with Foresite Capital Management beneficially own more than 5% of our outstanding capital stock. James B.</w:t>
      </w:r>
    </w:p>
    <w:p>
      <w:pPr>
        <w:spacing w:after="0" w:line="1" w:lineRule="exact"/>
        <w:rPr>
          <w:sz w:val="20"/>
          <w:szCs w:val="20"/>
          <w:color w:val="auto"/>
        </w:rPr>
      </w:pPr>
    </w:p>
    <w:p>
      <w:pPr>
        <w:jc w:val="both"/>
        <w:ind w:left="1620" w:right="419"/>
        <w:spacing w:after="0" w:line="247" w:lineRule="auto"/>
        <w:rPr>
          <w:sz w:val="20"/>
          <w:szCs w:val="20"/>
          <w:color w:val="auto"/>
        </w:rPr>
      </w:pPr>
      <w:r>
        <w:rPr>
          <w:rFonts w:ascii="Times New Roman" w:cs="Times New Roman" w:eastAsia="Times New Roman" w:hAnsi="Times New Roman"/>
          <w:sz w:val="14"/>
          <w:szCs w:val="14"/>
          <w:color w:val="auto"/>
        </w:rPr>
        <w:t>Tananbaum, M.D., a member of our board of directors, is President, Chief Executive Officer and a director of Foresite Capital Management. Immediately prior to the closing of this offering, all shares of our Series B-1 redeemable convertible preferred stock held by entities affiliated with Foresite Capital Management will convert into               shares of our common stock and             shares of our non-voting common stock.</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B-2 and Series B-2A Convertible Preferred Stock Financing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May 2023 and October 2023, we issued and sold an aggregate of 14,943,510 shares of our Series B-2 redeemable convertible preferred stock at a purchase price of $5.00 per share. We also sold an aggregate of 3,056,490 shares of our Series B-2A redeemable convertible preferred stock at a price of $5.00 per share. The aggregate proceeds for the Series B-2 and Series B-2A redeemable convertible preferred shares were $90,000,000.00.</w:t>
      </w:r>
    </w:p>
    <w:p>
      <w:pPr>
        <w:spacing w:after="0" w:line="11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Series B-2 and Series B-2A convertible preferred stock purchased by holders of more than 5% of our capital stock and entities affiliated with our executive officers and members of our board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u w:val="single" w:color="auto"/>
          <w:color w:val="auto"/>
        </w:rPr>
        <w:t>Participants</w:t>
      </w:r>
      <w:r>
        <w:rPr>
          <w:rFonts w:ascii="Times New Roman" w:cs="Times New Roman" w:eastAsia="Times New Roman" w:hAnsi="Times New Roman"/>
          <w:sz w:val="17"/>
          <w:szCs w:val="17"/>
          <w:b w:val="1"/>
          <w:bCs w:val="1"/>
          <w:u w:val="single" w:color="auto"/>
          <w:color w:val="auto"/>
          <w:vertAlign w:val="superscript"/>
        </w:rPr>
        <w:t>(1)</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AyurMaya Capital Management Fund, LP</w:t>
      </w:r>
      <w:r>
        <w:rPr>
          <w:rFonts w:ascii="Times New Roman" w:cs="Times New Roman" w:eastAsia="Times New Roman" w:hAnsi="Times New Roman"/>
          <w:sz w:val="23"/>
          <w:szCs w:val="23"/>
          <w:color w:val="auto"/>
          <w:vertAlign w:val="superscript"/>
        </w:rPr>
        <w:t>(2)</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Entities affiliated with BBA</w:t>
      </w:r>
      <w:r>
        <w:rPr>
          <w:rFonts w:ascii="Times New Roman" w:cs="Times New Roman" w:eastAsia="Times New Roman" w:hAnsi="Times New Roman"/>
          <w:sz w:val="23"/>
          <w:szCs w:val="23"/>
          <w:color w:val="auto"/>
          <w:vertAlign w:val="superscript"/>
        </w:rPr>
        <w:t>(3)</w:t>
      </w:r>
    </w:p>
    <w:p>
      <w:pPr>
        <w:spacing w:after="0" w:line="30" w:lineRule="exact"/>
        <w:rPr>
          <w:sz w:val="20"/>
          <w:szCs w:val="20"/>
          <w:color w:val="auto"/>
        </w:rPr>
      </w:pPr>
    </w:p>
    <w:p>
      <w:pPr>
        <w:ind w:left="1440" w:right="360" w:hanging="179"/>
        <w:spacing w:after="0" w:line="253" w:lineRule="auto"/>
        <w:rPr>
          <w:sz w:val="20"/>
          <w:szCs w:val="20"/>
          <w:color w:val="auto"/>
        </w:rPr>
      </w:pPr>
      <w:r>
        <w:rPr>
          <w:rFonts w:ascii="Times New Roman" w:cs="Times New Roman" w:eastAsia="Times New Roman" w:hAnsi="Times New Roman"/>
          <w:sz w:val="18"/>
          <w:szCs w:val="18"/>
          <w:color w:val="auto"/>
        </w:rPr>
        <w:t>Entities affiliated with Foresite Capital Management</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112395</wp:posOffset>
            </wp:positionV>
            <wp:extent cx="5486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of Series B-2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of Series B-2A</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Convertible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Aggregate Proceeds</w:t>
            </w: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​4,058,829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​1,277,660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​26,682,445.00</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​3,557,659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​1,778,830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​26,682,445.00</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7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​7,273,658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​36,368,290.00</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-676910</wp:posOffset>
            </wp:positionV>
            <wp:extent cx="5212080" cy="179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-2425065</wp:posOffset>
            </wp:positionH>
            <wp:positionV relativeFrom="paragraph">
              <wp:posOffset>-316865</wp:posOffset>
            </wp:positionV>
            <wp:extent cx="5212080" cy="3168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2080" cy="31686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4560" w:space="520"/>
            <w:col w:w="4799"/>
          </w:cols>
          <w:pgMar w:left="580" w:top="97" w:right="1440" w:bottom="1440" w:gutter="0" w:footer="0" w:header="0"/>
          <w:type w:val="continuous"/>
        </w:sectPr>
      </w:pPr>
    </w:p>
    <w:p>
      <w:pPr>
        <w:spacing w:after="0" w:line="89" w:lineRule="exact"/>
        <w:rPr>
          <w:sz w:val="20"/>
          <w:szCs w:val="20"/>
          <w:color w:val="auto"/>
        </w:rPr>
      </w:pPr>
    </w:p>
    <w:p>
      <w:pPr>
        <w:ind w:left="1620" w:right="419" w:hanging="360"/>
        <w:spacing w:after="0" w:line="282" w:lineRule="auto"/>
        <w:tabs>
          <w:tab w:leader="none" w:pos="16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these stockholders and their equity holdings are included in this prospectus under the section titled “Principal Stockholders.”</w:t>
      </w:r>
    </w:p>
    <w:p>
      <w:pPr>
        <w:spacing w:after="0" w:line="13" w:lineRule="exact"/>
        <w:rPr>
          <w:rFonts w:ascii="Times New Roman" w:cs="Times New Roman" w:eastAsia="Times New Roman" w:hAnsi="Times New Roman"/>
          <w:sz w:val="14"/>
          <w:szCs w:val="14"/>
          <w:color w:val="auto"/>
        </w:rPr>
      </w:pPr>
    </w:p>
    <w:p>
      <w:pPr>
        <w:jc w:val="both"/>
        <w:ind w:left="1620" w:right="419" w:hanging="360"/>
        <w:spacing w:after="0" w:line="246" w:lineRule="auto"/>
        <w:tabs>
          <w:tab w:leader="none" w:pos="16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Alan Colowick, M.D., M.P.H., a member of our board of directors, is Managing Director of Matrix Capital Management Company, an affiliate of AyurMaya Capital Management Fund LP, a holder of greater than 5% of our capital stock. Note that AyurMaya Capital Management Fund, LP later converted its Series B-2A redeemable convertible preferred stock into Series B-2 redeemable convertible preferred stock in July 2023. Immediately prior to the closing of this offering, all shares of our Series B-2 and Series B-2A redeemable convertible preferred stock held by AyurMaya Capital Management Fund, LP will convert into</w:t>
      </w:r>
    </w:p>
    <w:p>
      <w:pPr>
        <w:ind w:left="1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shares of our common stock and             shares of our non-voting common stock.</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620" w:right="419" w:hanging="360"/>
        <w:spacing w:after="0" w:line="244" w:lineRule="auto"/>
        <w:tabs>
          <w:tab w:leader="none" w:pos="16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Consists of (i) 3,263,415 shares of our Series B-2 redeemable convertible preferred stock and 1,631,708 shares of our Series B-2A redeemable convertible preferred stock issued to BBA and (ii) 294,244 shares of our Series B-2 redeemable convertible preferred stock and 147,122 shares of our Series B-2A redeemable convertible preferred stock issued to 667, L.P. Julian C. Baker, a former member of our board of directors who resigned from our board of directors in June 2024, is a Managing Partner of BBA, the management company and investment adviser to the BBA Funds. The BBA Funds beneficially own more than 5% of our outstanding capital stock. Immediately prior to the closing of this offering, all shares of our Series B-2 and Series B-2A redeemable convertible preferred stock held by the BBA Funds will convert into             shares of our common stock and            </w:t>
      </w:r>
    </w:p>
    <w:p>
      <w:pPr>
        <w:spacing w:after="0" w:line="4" w:lineRule="exact"/>
        <w:rPr>
          <w:rFonts w:ascii="Times New Roman" w:cs="Times New Roman" w:eastAsia="Times New Roman" w:hAnsi="Times New Roman"/>
          <w:sz w:val="14"/>
          <w:szCs w:val="14"/>
          <w:color w:val="auto"/>
        </w:rPr>
      </w:pPr>
    </w:p>
    <w:p>
      <w:pPr>
        <w:ind w:left="1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non-voting common stock.</w:t>
      </w:r>
    </w:p>
    <w:p>
      <w:pPr>
        <w:spacing w:after="0" w:line="79"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2,909,464 shares of our Series B-2 redeemable convertible preferred stock issued to Foresite Capital Fund V, L.P.,</w:t>
      </w:r>
    </w:p>
    <w:p>
      <w:pPr>
        <w:spacing w:after="0" w:line="17" w:lineRule="exact"/>
        <w:rPr>
          <w:rFonts w:ascii="Times New Roman" w:cs="Times New Roman" w:eastAsia="Times New Roman" w:hAnsi="Times New Roman"/>
          <w:sz w:val="14"/>
          <w:szCs w:val="14"/>
          <w:color w:val="auto"/>
        </w:rPr>
      </w:pPr>
    </w:p>
    <w:p>
      <w:pPr>
        <w:jc w:val="both"/>
        <w:ind w:left="1620" w:right="419"/>
        <w:spacing w:after="0" w:line="241" w:lineRule="auto"/>
        <w:tabs>
          <w:tab w:leader="none" w:pos="1862"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1,454,731 shares of our Series B-2 redeemable convertible preferred stock issued to Foresite Capital Opportunity Fund V, L.P., (iii) 1,454,732 shares of our Series B-2 redeemable convertible preferred stock issued to Foresite Labs Fund I, L.P., and</w:t>
      </w:r>
    </w:p>
    <w:p>
      <w:pPr>
        <w:jc w:val="both"/>
        <w:ind w:left="1620" w:right="419"/>
        <w:spacing w:after="0" w:line="241" w:lineRule="auto"/>
        <w:tabs>
          <w:tab w:leader="none" w:pos="1887"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1,454,731 shares of our Series B-2 redeemable convertible preferred stock issued to Foresite Capital Fund VI, L.P. Entities affiliated with Foresite Capital Management beneficially own more than 5% of our outstanding capital stock. James B.</w:t>
      </w:r>
    </w:p>
    <w:p>
      <w:pPr>
        <w:spacing w:after="0" w:line="1" w:lineRule="exact"/>
        <w:rPr>
          <w:sz w:val="20"/>
          <w:szCs w:val="20"/>
          <w:color w:val="auto"/>
        </w:rPr>
      </w:pPr>
    </w:p>
    <w:p>
      <w:pPr>
        <w:jc w:val="both"/>
        <w:ind w:left="1620" w:right="419"/>
        <w:spacing w:after="0" w:line="247" w:lineRule="auto"/>
        <w:rPr>
          <w:sz w:val="20"/>
          <w:szCs w:val="20"/>
          <w:color w:val="auto"/>
        </w:rPr>
      </w:pPr>
      <w:r>
        <w:rPr>
          <w:rFonts w:ascii="Times New Roman" w:cs="Times New Roman" w:eastAsia="Times New Roman" w:hAnsi="Times New Roman"/>
          <w:sz w:val="14"/>
          <w:szCs w:val="14"/>
          <w:color w:val="auto"/>
        </w:rPr>
        <w:t>Tananbaum, M.D., a member of our board of directors, is President, Chief Executive Officer and a director of Foresite Capital Management. Immediately prior to the closing of this offering, all shares of our Series B-2 redeemable convertible preferred stock held by entities affiliated with Foresite Capital Management will convert into             shares of our common stock and             shares of our non-voting common stock.</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C and Series C-1 Convertible Preferred Stock Financing</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March and May 2024, we issued and sold an aggregate of 82,529,783 shares of our Series C redeemable convertible preferred stock at a purchase price of $3.13826 per share. The aggregate proceeds for the Series C redeemable convertible preferred shares were $258,999,917.04.</w:t>
      </w:r>
    </w:p>
    <w:p>
      <w:pPr>
        <w:spacing w:after="0" w:line="9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Series C and Series C-1 convertible preferred stock purchased by holders of more than 5% of our capital stock and entities affiliated with our executive officers and members of our board of directors.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Series C</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of Series C-1</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Aggregate Proceeds</w:t>
            </w:r>
          </w:p>
        </w:tc>
        <w:tc>
          <w:tcPr>
            <w:tcW w:w="40" w:type="dxa"/>
            <w:vAlign w:val="bottom"/>
          </w:tcPr>
          <w:p>
            <w:pPr>
              <w:spacing w:after="0"/>
              <w:rPr>
                <w:sz w:val="14"/>
                <w:szCs w:val="14"/>
                <w:color w:val="auto"/>
              </w:rPr>
            </w:pPr>
          </w:p>
        </w:tc>
      </w:tr>
      <w:tr>
        <w:trPr>
          <w:trHeight w:val="187"/>
        </w:trPr>
        <w:tc>
          <w:tcPr>
            <w:tcW w:w="820" w:type="dxa"/>
            <w:vAlign w:val="bottom"/>
            <w:tcBorders>
              <w:bottom w:val="single" w:sz="8" w:color="auto"/>
            </w:tcBorders>
          </w:tcPr>
          <w:p>
            <w:pPr>
              <w:spacing w:after="0" w:line="187" w:lineRule="exact"/>
              <w:rPr>
                <w:sz w:val="20"/>
                <w:szCs w:val="20"/>
                <w:color w:val="auto"/>
              </w:rPr>
            </w:pPr>
            <w:r>
              <w:rPr>
                <w:rFonts w:ascii="Times New Roman" w:cs="Times New Roman" w:eastAsia="Times New Roman" w:hAnsi="Times New Roman"/>
                <w:sz w:val="14"/>
                <w:szCs w:val="14"/>
                <w:b w:val="1"/>
                <w:bCs w:val="1"/>
                <w:color w:val="auto"/>
                <w:w w:val="92"/>
              </w:rPr>
              <w:t>Participants</w:t>
            </w:r>
            <w:r>
              <w:rPr>
                <w:rFonts w:ascii="Times New Roman" w:cs="Times New Roman" w:eastAsia="Times New Roman" w:hAnsi="Times New Roman"/>
                <w:sz w:val="17"/>
                <w:szCs w:val="17"/>
                <w:b w:val="1"/>
                <w:bCs w:val="1"/>
                <w:color w:val="auto"/>
                <w:w w:val="92"/>
                <w:vertAlign w:val="superscript"/>
              </w:rPr>
              <w:t>(1)</w:t>
            </w:r>
          </w:p>
        </w:tc>
        <w:tc>
          <w:tcPr>
            <w:tcW w:w="3400" w:type="dxa"/>
            <w:vAlign w:val="bottom"/>
          </w:tcPr>
          <w:p>
            <w:pPr>
              <w:ind w:left="3240"/>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97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AyurMaya Capital Management Fund, LP</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Entities affiliated with BBA</w:t>
      </w:r>
      <w:r>
        <w:rPr>
          <w:rFonts w:ascii="Times New Roman" w:cs="Times New Roman" w:eastAsia="Times New Roman" w:hAnsi="Times New Roman"/>
          <w:sz w:val="23"/>
          <w:szCs w:val="23"/>
          <w:color w:val="auto"/>
          <w:vertAlign w:val="superscript"/>
        </w:rPr>
        <w:t>(3)</w:t>
      </w:r>
    </w:p>
    <w:p>
      <w:pPr>
        <w:spacing w:after="0" w:line="17" w:lineRule="exact"/>
        <w:rPr>
          <w:sz w:val="20"/>
          <w:szCs w:val="20"/>
          <w:color w:val="auto"/>
        </w:rPr>
      </w:pPr>
    </w:p>
    <w:p>
      <w:pPr>
        <w:ind w:left="1440" w:right="400" w:hanging="179"/>
        <w:spacing w:after="0" w:line="248" w:lineRule="auto"/>
        <w:rPr>
          <w:sz w:val="20"/>
          <w:szCs w:val="20"/>
          <w:color w:val="auto"/>
        </w:rPr>
      </w:pPr>
      <w:r>
        <w:rPr>
          <w:rFonts w:ascii="Times New Roman" w:cs="Times New Roman" w:eastAsia="Times New Roman" w:hAnsi="Times New Roman"/>
          <w:sz w:val="18"/>
          <w:szCs w:val="18"/>
          <w:color w:val="auto"/>
        </w:rPr>
        <w:t>Entities affiliated with Foresite Capital Management</w:t>
      </w:r>
      <w:r>
        <w:rPr>
          <w:rFonts w:ascii="Times New Roman" w:cs="Times New Roman" w:eastAsia="Times New Roman" w:hAnsi="Times New Roman"/>
          <w:sz w:val="23"/>
          <w:szCs w:val="23"/>
          <w:color w:val="auto"/>
          <w:vertAlign w:val="superscript"/>
        </w:rPr>
        <w:t>(4)</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Samsara BioCapital, LP</w:t>
      </w:r>
      <w:r>
        <w:rPr>
          <w:rFonts w:ascii="Times New Roman" w:cs="Times New Roman" w:eastAsia="Times New Roman" w:hAnsi="Times New Roman"/>
          <w:sz w:val="23"/>
          <w:szCs w:val="23"/>
          <w:color w:val="auto"/>
          <w:vertAlign w:val="superscript"/>
        </w:rPr>
        <w:t>(5)</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venBio Global Strategic Fund IV, L.P.</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121285</wp:posOffset>
            </wp:positionV>
            <wp:extent cx="54864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12,745,916</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​39,999,998.36 </w:t>
            </w:r>
            <w:r>
              <w:rPr>
                <w:rFonts w:ascii="Times New Roman" w:cs="Times New Roman" w:eastAsia="Times New Roman" w:hAnsi="Times New Roman"/>
                <w:sz w:val="18"/>
                <w:szCs w:val="18"/>
                <w:b w:val="1"/>
                <w:bCs w:val="1"/>
                <w:color w:val="auto"/>
              </w:rPr>
              <w:t>​</w:t>
            </w:r>
          </w:p>
        </w:tc>
      </w:tr>
      <w:tr>
        <w:trPr>
          <w:trHeight w:val="28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8,252,980</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​25,899,997.04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19,118,870</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59,999,985.00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7,966,196</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​24,999,994.26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9,559,436</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​29,999,995.64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-685165</wp:posOffset>
            </wp:positionV>
            <wp:extent cx="5212080" cy="3086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-196850</wp:posOffset>
            </wp:positionV>
            <wp:extent cx="5212080" cy="179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4559"/>
          </w:cols>
          <w:pgMar w:left="580" w:top="97" w:right="1440" w:bottom="1440" w:gutter="0" w:footer="0" w:header="0"/>
          <w:type w:val="continuous"/>
        </w:sectPr>
      </w:pPr>
    </w:p>
    <w:p>
      <w:pPr>
        <w:spacing w:after="0" w:line="115" w:lineRule="exact"/>
        <w:rPr>
          <w:sz w:val="20"/>
          <w:szCs w:val="20"/>
          <w:color w:val="auto"/>
        </w:rPr>
      </w:pPr>
    </w:p>
    <w:p>
      <w:pPr>
        <w:ind w:left="1620" w:right="419" w:hanging="360"/>
        <w:spacing w:after="0" w:line="282" w:lineRule="auto"/>
        <w:tabs>
          <w:tab w:leader="none" w:pos="16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these stockholders and their equity holdings are included in this prospectus under the section titled “Principal Stockholders.”</w:t>
      </w:r>
    </w:p>
    <w:p>
      <w:pPr>
        <w:spacing w:after="0" w:line="26" w:lineRule="exact"/>
        <w:rPr>
          <w:rFonts w:ascii="Times New Roman" w:cs="Times New Roman" w:eastAsia="Times New Roman" w:hAnsi="Times New Roman"/>
          <w:sz w:val="14"/>
          <w:szCs w:val="14"/>
          <w:color w:val="auto"/>
        </w:rPr>
      </w:pPr>
    </w:p>
    <w:p>
      <w:pPr>
        <w:jc w:val="both"/>
        <w:ind w:left="1620" w:right="419" w:hanging="360"/>
        <w:spacing w:after="0" w:line="252" w:lineRule="auto"/>
        <w:tabs>
          <w:tab w:leader="none" w:pos="16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Alan Colowick, M.D., M.P.H., a member of our board of directors, is Managing Director of Matrix Capital Management Company, an affiliate of AyurMaya Capital Management Fund LP, a holder of greater than 5% of our capital stock. Immediately prior to the closing of this offering, all shares of our Series C redeemable convertible preferred stock held by AyurMaya Capital Management Fund, LP will convert into             shares of our common stock and             shares of our non-voting common stock.</w:t>
      </w:r>
    </w:p>
    <w:p>
      <w:pPr>
        <w:spacing w:after="0" w:line="228" w:lineRule="exact"/>
        <w:rPr>
          <w:rFonts w:ascii="Times New Roman" w:cs="Times New Roman" w:eastAsia="Times New Roman" w:hAnsi="Times New Roman"/>
          <w:sz w:val="14"/>
          <w:szCs w:val="14"/>
          <w:color w:val="auto"/>
        </w:rPr>
      </w:pPr>
    </w:p>
    <w:p>
      <w:pPr>
        <w:jc w:val="both"/>
        <w:ind w:left="1620" w:right="419" w:hanging="360"/>
        <w:spacing w:after="0" w:line="252" w:lineRule="auto"/>
        <w:tabs>
          <w:tab w:leader="none" w:pos="16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7,573,328 shares of our Series C redeemable convertible preferred stock issued to BBA and (ii) 679,652 shares of our Series C redeemable convertible preferred stock issued to 667, L.P. The BBA Funds beneficially own more than 5% of our outstanding capital stock. Immediately prior to the closing of this offering, all shares of our Series C redeemable convertible preferred stock held by entities affiliated with BBA will convert into             shares of our common stock and             shares of our non-voting common stock.</w:t>
      </w:r>
    </w:p>
    <w:p>
      <w:pPr>
        <w:spacing w:after="0" w:line="228"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4,779,718 shares of our Series C redeemable convertible preferred stock issued to Foresite Capital Fund V, L.P.,</w:t>
      </w:r>
    </w:p>
    <w:p>
      <w:pPr>
        <w:spacing w:after="0" w:line="17" w:lineRule="exact"/>
        <w:rPr>
          <w:rFonts w:ascii="Times New Roman" w:cs="Times New Roman" w:eastAsia="Times New Roman" w:hAnsi="Times New Roman"/>
          <w:sz w:val="14"/>
          <w:szCs w:val="14"/>
          <w:color w:val="auto"/>
        </w:rPr>
      </w:pPr>
    </w:p>
    <w:p>
      <w:pPr>
        <w:ind w:left="1860" w:hanging="240"/>
        <w:spacing w:after="0"/>
        <w:tabs>
          <w:tab w:leader="none" w:pos="1860"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3,186,478 shares of our Series C redeemable convertible preferred stock issued to Foresite Capital Opportunity Fund V, L.P.,</w:t>
      </w:r>
    </w:p>
    <w:p>
      <w:pPr>
        <w:spacing w:after="0" w:line="1" w:lineRule="exact"/>
        <w:rPr>
          <w:rFonts w:ascii="Times New Roman" w:cs="Times New Roman" w:eastAsia="Times New Roman" w:hAnsi="Times New Roman"/>
          <w:sz w:val="14"/>
          <w:szCs w:val="14"/>
          <w:color w:val="auto"/>
        </w:rPr>
      </w:pPr>
    </w:p>
    <w:p>
      <w:pPr>
        <w:ind w:left="1940" w:hanging="320"/>
        <w:spacing w:after="0"/>
        <w:tabs>
          <w:tab w:leader="none" w:pos="1940"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3,186,478 shares of our Series C redeemable convertible preferred stock issued to Foresite Labs Fund I, L.P., and</w:t>
      </w:r>
    </w:p>
    <w:p>
      <w:pPr>
        <w:spacing w:after="0" w:line="1" w:lineRule="exact"/>
        <w:rPr>
          <w:rFonts w:ascii="Times New Roman" w:cs="Times New Roman" w:eastAsia="Times New Roman" w:hAnsi="Times New Roman"/>
          <w:sz w:val="14"/>
          <w:szCs w:val="14"/>
          <w:color w:val="auto"/>
        </w:rPr>
      </w:pPr>
    </w:p>
    <w:p>
      <w:pPr>
        <w:jc w:val="both"/>
        <w:ind w:left="1620" w:right="419"/>
        <w:spacing w:after="0" w:line="241" w:lineRule="auto"/>
        <w:tabs>
          <w:tab w:leader="none" w:pos="1895"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7,966,196 shares of our Series C redeemable convertible preferred stock issued to Foresite Capital Fund VI, L.P. Entities affiliated with Foresite Capital Management beneficially own more than 5% of our outstanding capital stock. James B. Tananbaum, M.D., a member of our board of directors, is President, Chief Executive Officer and a director of Foresite Capital Management. Immediately prior to the closing of this offering, all shares of our Series C redeemable convertible preferred stock held by entities affiliated with Foresite Capital Management will convert into             shares of our common stock and            </w:t>
      </w:r>
    </w:p>
    <w:p>
      <w:pPr>
        <w:spacing w:after="0" w:line="1" w:lineRule="exact"/>
        <w:rPr>
          <w:rFonts w:ascii="Times New Roman" w:cs="Times New Roman" w:eastAsia="Times New Roman" w:hAnsi="Times New Roman"/>
          <w:sz w:val="14"/>
          <w:szCs w:val="14"/>
          <w:color w:val="auto"/>
        </w:rPr>
      </w:pPr>
    </w:p>
    <w:p>
      <w:pPr>
        <w:ind w:left="1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non-voting common stock.</w:t>
      </w:r>
    </w:p>
    <w:p>
      <w:pPr>
        <w:spacing w:after="0" w:line="66" w:lineRule="exact"/>
        <w:rPr>
          <w:rFonts w:ascii="Times New Roman" w:cs="Times New Roman" w:eastAsia="Times New Roman" w:hAnsi="Times New Roman"/>
          <w:sz w:val="14"/>
          <w:szCs w:val="14"/>
          <w:color w:val="auto"/>
        </w:rPr>
      </w:pPr>
    </w:p>
    <w:p>
      <w:pPr>
        <w:jc w:val="both"/>
        <w:ind w:left="1620" w:right="419" w:hanging="360"/>
        <w:spacing w:after="0" w:line="261" w:lineRule="auto"/>
        <w:tabs>
          <w:tab w:leader="none" w:pos="16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Srinivas Akkaraju, M.D., Ph.D., one of our directors, is the managing member of Samsara BioCapital, LP. Immediately prior to the closing of this offering, all shares of our Series C redeemable convertible preferred stock held by Samsara BioCapital, LP will convert into             shares of our common stock and             shares of our non-voting common stock.</w:t>
      </w:r>
    </w:p>
    <w:p>
      <w:pPr>
        <w:sectPr>
          <w:pgSz w:w="11900" w:h="16838" w:orient="portrait"/>
          <w:cols w:equalWidth="0" w:num="1">
            <w:col w:w="9879"/>
          </w:cols>
          <w:pgMar w:left="580" w:top="97" w:right="1440" w:bottom="1440" w:gutter="0" w:footer="0" w:header="0"/>
          <w:type w:val="continuous"/>
        </w:sect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620" w:right="419" w:hanging="360"/>
        <w:spacing w:after="0" w:line="255" w:lineRule="auto"/>
        <w:tabs>
          <w:tab w:leader="none" w:pos="16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Richard Gaster, M.D., Ph.D., a former member of our board of directors who resigned from our board of directors in June 2024, is a managing partner of venBio Partners LLC. Immediately prior to the closing of this offering, all shares of our Series C redeemable convertible preferred stock held by venBio Global Strategic Fund IV, L.P. will convert into             shares of our common stock and               shares of our non-voting common stock.</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 and Stock Option Grants to Directors and Executive Officers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named executive officers, and granted stock options to our named executive officers and certain of our directors, as more fully described in the sections titled “Executive Compensation” and “Management—Non-Employee Director Compensation.”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Agreements</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connection with our redeemable convertible preferred stock financings, we entered into investor rights, voting and right of first refusal agreements containing registration rights, information rights, voting rights, board representation rights, indemnification provisions and rights of first refusal, among other things, with certain holders of our redeemable convertible preferred stock and certain holders of our common stock, including AyurMaya Capital Management Fund LP, which is affiliated with our director Alan Colowick, M.D., M.P.H., entities affiliated with Foresite Capital Management, which are affiliated with our director, James B. Tananbaum, M.D., entities affiliated with BBA, which are affiliated with our former director Julian C. Baker who resigned from our board of directors in June 2024, Martin Babler, our Chief Executive Officer, each of which hold greater than 5% of our outstanding capital stock, Samsara BioCapital, LP, which is affiliated with our director Srinivas Akkaraju, M.D., Ph.D., and venBio Partners LLC, which is affiliated with our former director Richard Gaster M.D., Ph.D. who resigned from our board of directors in June 2024.</w:t>
      </w:r>
    </w:p>
    <w:p>
      <w:pPr>
        <w:spacing w:after="0" w:line="12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Stockholders” for additional information regarding beneficial ownership of our capital stock.</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In connection with the sale of our Series B redeemable convertible preferred stock, we agreed to offer the BBA Funds, upon their election, the option to enter into a registration rights agreement, pursuant to which, among other things, we would provide the BBA Funds certain “resale” registration rights and related “piggyback” rights. The BBA Funds have not elected to enter into such a registration rights agreement as of the date of this prospectus.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Agreements</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contain provisions limiting the liability of directors,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the board. In addition, we have entered into or intend to enter into an indemnification agreement with each of our directors and executive officers, which will require us to indemnify them. For more information regarding these agreements, see the section titled “Executive Compensation—Limitations on Liability and Indemnification.”</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48"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Prior to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capital stock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21, 2024 by:</w:t>
      </w:r>
    </w:p>
    <w:p>
      <w:pPr>
        <w:spacing w:after="0" w:line="99" w:lineRule="exact"/>
        <w:rPr>
          <w:sz w:val="20"/>
          <w:szCs w:val="20"/>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our of named executive officers;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5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02"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Applicable percentage ownership before the offering is based on             shares of our common stock and nonvoting common stock (including             shares of unvested restricted common stock subject to repurchase as of such date) outstanding as of March 21, 2024, after giving effect to (i) the issuance of</w:t>
      </w:r>
    </w:p>
    <w:p>
      <w:pPr>
        <w:spacing w:after="0" w:line="1" w:lineRule="exact"/>
        <w:rPr>
          <w:sz w:val="20"/>
          <w:szCs w:val="20"/>
          <w:color w:val="auto"/>
        </w:rPr>
      </w:pPr>
    </w:p>
    <w:p>
      <w:pPr>
        <w:jc w:val="both"/>
        <w:ind w:left="1260" w:right="419"/>
        <w:spacing w:after="0" w:line="260" w:lineRule="auto"/>
        <w:tabs>
          <w:tab w:leader="none" w:pos="135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Series C redeemable convertible preferred stock in                     2024, and (ii) the Preferred Stock Conversion and the Common Stock Reclassification (as if each had occurred as of March 31, 2024).</w:t>
      </w:r>
    </w:p>
    <w:p>
      <w:pPr>
        <w:spacing w:after="0" w:line="330"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Applicable percentage ownership after the offering is based on             shares of our common stock and nonvoting common stock (including             shares of unvested restricted common stock subject to repurchase as of such date) outstanding immediately after the closing of this offering (assuming no exercise of the underwriters’ over-allotment option), after giving effect to (i) the issuance of             shares of Series C redeemable convertible preferred stock in                     2024, and (ii) the Preferred Stock Conversion and the Common Stock Reclassification (as if each had occurred as of March 31, 2024), and includes             shares of common stock subject to repurchase. In computing the number of shares beneficially owned by a person and the percentage ownership of such person, we divided the number of shares held by the sum of (1) the number of shares of common stock outstanding as of March 21, 2024 and</w:t>
      </w:r>
    </w:p>
    <w:p>
      <w:pPr>
        <w:spacing w:after="0" w:line="6" w:lineRule="exact"/>
        <w:rPr>
          <w:sz w:val="20"/>
          <w:szCs w:val="20"/>
          <w:color w:val="auto"/>
        </w:rPr>
      </w:pPr>
    </w:p>
    <w:p>
      <w:pPr>
        <w:jc w:val="both"/>
        <w:ind w:left="1260" w:right="419"/>
        <w:spacing w:after="0" w:line="255" w:lineRule="auto"/>
        <w:tabs>
          <w:tab w:leader="none" w:pos="153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that a person has the right to acquire within 60 days after the date of this table (which includes the number of shares of non-voting common stock owned by such person to the extent they can be converted to common stock within 60 days after the date of this table).</w:t>
      </w:r>
    </w:p>
    <w:p>
      <w:pPr>
        <w:spacing w:after="0" w:line="118"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Alumis Inc., 280 East Grand Avenue, South San Francisco, CA 94080.</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9"/>
                <w:szCs w:val="19"/>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9"/>
                <w:szCs w:val="19"/>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2"/>
              </w:rPr>
              <w:t>After Offering</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Non-Voting</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Non-Voting</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6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Total Voting</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Total Voting</w:t>
            </w:r>
          </w:p>
        </w:tc>
        <w:tc>
          <w:tcPr>
            <w:tcW w:w="6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Power Before</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Beneficially</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Power After</w:t>
            </w:r>
          </w:p>
        </w:tc>
        <w:tc>
          <w:tcPr>
            <w:tcW w:w="60" w:type="dxa"/>
            <w:vAlign w:val="bottom"/>
          </w:tcPr>
          <w:p>
            <w:pPr>
              <w:spacing w:after="0"/>
              <w:rPr>
                <w:sz w:val="14"/>
                <w:szCs w:val="14"/>
                <w:color w:val="auto"/>
              </w:rPr>
            </w:pPr>
          </w:p>
        </w:tc>
      </w:tr>
      <w:tr>
        <w:trPr>
          <w:trHeight w:val="214"/>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9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the Offering</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98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the Offering </w:t>
            </w:r>
            <w:r>
              <w:rPr>
                <w:rFonts w:ascii="Times New Roman" w:cs="Times New Roman" w:eastAsia="Times New Roman" w:hAnsi="Times New Roman"/>
                <w:sz w:val="24"/>
                <w:szCs w:val="24"/>
                <w:b w:val="1"/>
                <w:bCs w:val="1"/>
                <w:color w:val="auto"/>
                <w:vertAlign w:val="subscript"/>
              </w:rPr>
              <w:t>​</w:t>
            </w:r>
          </w:p>
        </w:tc>
      </w:tr>
      <w:tr>
        <w:trPr>
          <w:trHeight w:val="20"/>
        </w:trPr>
        <w:tc>
          <w:tcPr>
            <w:tcW w:w="31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Holders:</w:t>
            </w: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AyurMaya Capital Management Fund,</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5"/>
        </w:trPr>
        <w:tc>
          <w:tcPr>
            <w:tcW w:w="3160" w:type="dxa"/>
            <w:vAlign w:val="bottom"/>
          </w:tcPr>
          <w:p>
            <w:pPr>
              <w:ind w:left="180"/>
              <w:spacing w:after="0" w:line="265" w:lineRule="exact"/>
              <w:rPr>
                <w:sz w:val="20"/>
                <w:szCs w:val="20"/>
                <w:color w:val="auto"/>
              </w:rPr>
            </w:pPr>
            <w:r>
              <w:rPr>
                <w:rFonts w:ascii="Times New Roman" w:cs="Times New Roman" w:eastAsia="Times New Roman" w:hAnsi="Times New Roman"/>
                <w:sz w:val="30"/>
                <w:szCs w:val="30"/>
                <w:color w:val="auto"/>
                <w:vertAlign w:val="subscript"/>
              </w:rPr>
              <w:t>LP</w:t>
            </w:r>
            <w:r>
              <w:rPr>
                <w:rFonts w:ascii="Times New Roman" w:cs="Times New Roman" w:eastAsia="Times New Roman" w:hAnsi="Times New Roman"/>
                <w:sz w:val="11"/>
                <w:szCs w:val="11"/>
                <w:color w:val="auto"/>
              </w:rPr>
              <w:t>(1)</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Baker Brothers</w:t>
            </w:r>
          </w:p>
        </w:tc>
        <w:tc>
          <w:tcPr>
            <w:tcW w:w="100" w:type="dxa"/>
            <w:vAlign w:val="bottom"/>
            <w:tcBorders>
              <w:lef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5"/>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Sciences, L.P.</w:t>
            </w:r>
            <w:r>
              <w:rPr>
                <w:rFonts w:ascii="Times New Roman" w:cs="Times New Roman" w:eastAsia="Times New Roman" w:hAnsi="Times New Roman"/>
                <w:sz w:val="23"/>
                <w:szCs w:val="23"/>
                <w:color w:val="auto"/>
                <w:vertAlign w:val="superscript"/>
              </w:rPr>
              <w:t>(2)</w:t>
            </w: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Foresite Capital</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5"/>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w:t>
            </w:r>
            <w:r>
              <w:rPr>
                <w:rFonts w:ascii="Times New Roman" w:cs="Times New Roman" w:eastAsia="Times New Roman" w:hAnsi="Times New Roman"/>
                <w:sz w:val="23"/>
                <w:szCs w:val="23"/>
                <w:color w:val="auto"/>
                <w:vertAlign w:val="superscript"/>
              </w:rPr>
              <w:t>(3)</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Directors and Named Executive Officers:</w:t>
            </w: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5"/>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Martin Babler</w:t>
            </w:r>
            <w:r>
              <w:rPr>
                <w:rFonts w:ascii="Times New Roman" w:cs="Times New Roman" w:eastAsia="Times New Roman" w:hAnsi="Times New Roman"/>
                <w:sz w:val="23"/>
                <w:szCs w:val="23"/>
                <w:color w:val="auto"/>
                <w:vertAlign w:val="superscript"/>
              </w:rPr>
              <w:t>(4)</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-1449070</wp:posOffset>
            </wp:positionV>
            <wp:extent cx="51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-1449070</wp:posOffset>
            </wp:positionV>
            <wp:extent cx="514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-1449070</wp:posOffset>
            </wp:positionV>
            <wp:extent cx="514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-1449070</wp:posOffset>
            </wp:positionV>
            <wp:extent cx="514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-1449070</wp:posOffset>
            </wp:positionV>
            <wp:extent cx="514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-1449070</wp:posOffset>
            </wp:positionV>
            <wp:extent cx="342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9"/>
                <w:szCs w:val="19"/>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Non-Voting</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Non-Voting</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Total Voting</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Total Voting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Beneficially</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Power Before</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Beneficially</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Power After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9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the Offering</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98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the Offering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Goldstein, Ph.D.</w:t>
            </w:r>
            <w:r>
              <w:rPr>
                <w:rFonts w:ascii="Times New Roman" w:cs="Times New Roman" w:eastAsia="Times New Roman" w:hAnsi="Times New Roman"/>
                <w:sz w:val="23"/>
                <w:szCs w:val="23"/>
                <w:color w:val="auto"/>
                <w:vertAlign w:val="superscript"/>
              </w:rPr>
              <w:t>(5)</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Roy Hardiman</w:t>
            </w:r>
            <w:r>
              <w:rPr>
                <w:rFonts w:ascii="Times New Roman" w:cs="Times New Roman" w:eastAsia="Times New Roman" w:hAnsi="Times New Roman"/>
                <w:sz w:val="23"/>
                <w:szCs w:val="23"/>
                <w:color w:val="auto"/>
                <w:vertAlign w:val="superscript"/>
              </w:rPr>
              <w:t>(6)</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Colowick, M.D., M.P.H.</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Sapna Srivastava, Ph.D.</w:t>
            </w:r>
            <w:r>
              <w:rPr>
                <w:rFonts w:ascii="Times New Roman" w:cs="Times New Roman" w:eastAsia="Times New Roman" w:hAnsi="Times New Roman"/>
                <w:sz w:val="23"/>
                <w:szCs w:val="23"/>
                <w:color w:val="auto"/>
                <w:vertAlign w:val="superscript"/>
              </w:rPr>
              <w:t>(7)</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 Tananbaum, M.D.</w:t>
            </w:r>
            <w:r>
              <w:rPr>
                <w:rFonts w:ascii="Times New Roman" w:cs="Times New Roman" w:eastAsia="Times New Roman" w:hAnsi="Times New Roman"/>
                <w:sz w:val="23"/>
                <w:szCs w:val="23"/>
                <w:color w:val="auto"/>
                <w:vertAlign w:val="superscript"/>
              </w:rPr>
              <w:t>(3)</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Zhengbin Yao, Ph.D.</w:t>
            </w:r>
            <w:r>
              <w:rPr>
                <w:rFonts w:ascii="Times New Roman" w:cs="Times New Roman" w:eastAsia="Times New Roman" w:hAnsi="Times New Roman"/>
                <w:sz w:val="23"/>
                <w:szCs w:val="23"/>
                <w:color w:val="auto"/>
                <w:vertAlign w:val="superscript"/>
              </w:rPr>
              <w:t>(8)</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Srinivas Akkaraju, M.D., Ph.D.</w:t>
            </w:r>
            <w:r>
              <w:rPr>
                <w:rFonts w:ascii="Times New Roman" w:cs="Times New Roman" w:eastAsia="Times New Roman" w:hAnsi="Times New Roman"/>
                <w:sz w:val="23"/>
                <w:szCs w:val="23"/>
                <w:color w:val="auto"/>
                <w:vertAlign w:val="superscript"/>
              </w:rPr>
              <w:t>(9)</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140" w:type="dxa"/>
            <w:vAlign w:val="bottom"/>
          </w:tcPr>
          <w:p>
            <w:pPr>
              <w:ind w:left="180"/>
              <w:spacing w:after="0" w:line="184" w:lineRule="exact"/>
              <w:rPr>
                <w:sz w:val="20"/>
                <w:szCs w:val="20"/>
                <w:color w:val="auto"/>
              </w:rPr>
            </w:pPr>
            <w:r>
              <w:rPr>
                <w:rFonts w:ascii="Times New Roman" w:cs="Times New Roman" w:eastAsia="Times New Roman" w:hAnsi="Times New Roman"/>
                <w:sz w:val="17"/>
                <w:szCs w:val="17"/>
                <w:color w:val="auto"/>
              </w:rPr>
              <w:t>group (13 persons)</w:t>
            </w:r>
            <w:r>
              <w:rPr>
                <w:rFonts w:ascii="Times New Roman" w:cs="Times New Roman" w:eastAsia="Times New Roman" w:hAnsi="Times New Roman"/>
                <w:sz w:val="21"/>
                <w:szCs w:val="21"/>
                <w:color w:val="auto"/>
                <w:vertAlign w:val="superscript"/>
              </w:rPr>
              <w:t>(10)</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00"/>
              <w:spacing w:after="0" w:line="183"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00"/>
              <w:spacing w:after="0" w:line="18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314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-1657350</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-1657350</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-1657350</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-1657350</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-1657350</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-1657350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5486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40" w:lineRule="exact"/>
        <w:rPr>
          <w:sz w:val="20"/>
          <w:szCs w:val="20"/>
          <w:color w:val="auto"/>
        </w:rPr>
      </w:pPr>
    </w:p>
    <w:p>
      <w:pPr>
        <w:ind w:left="1620" w:hanging="360"/>
        <w:spacing w:after="0"/>
        <w:tabs>
          <w:tab w:leader="none" w:pos="16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69" w:lineRule="exact"/>
        <w:rPr>
          <w:sz w:val="20"/>
          <w:szCs w:val="20"/>
          <w:color w:val="auto"/>
        </w:rPr>
      </w:pPr>
    </w:p>
    <w:p>
      <w:pPr>
        <w:jc w:val="both"/>
        <w:ind w:left="1620" w:right="419" w:hanging="360"/>
        <w:spacing w:after="0" w:line="246" w:lineRule="auto"/>
        <w:tabs>
          <w:tab w:leader="none" w:pos="16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shares of common stock issuable upon conversion of Series B Preferred Stock, (ii)             shares of common stock issuable upon conversion of Series B-2 Preferred Stock and (iii)             shares of common stock issuable upon conversion of Series C Preferred Stock, in each case directly held by AyurMaya Capital Management Fund, LP (the AyurMaya Fund). AyurMaya Capital Management Company, LP (the Investment Manager), a Delaware limited partnership, serves as the investment advisor to the AyurMaya Fund with respect to the securities directly held by the AyurMaya Fund. David E. Goel (Mr. Goel) serves as the Managing Member of AyurMaya Capital Management Company GP, LLC, the general partner of the Investment Manager, and may be deemed to hold voting and dispositive power with respect to the securities directly held by the AyurMaya Fund. The business address for each of the AyurMaya Fund, the Investment Manager and Mr. Goel is c/o AyurMaya Capital Managemen LP, Bay Colony Corporate Center, 1000 Winter St., Suite 4500, Waltham, MA 02451.</w:t>
      </w:r>
    </w:p>
    <w:p>
      <w:pPr>
        <w:spacing w:after="0" w:line="53" w:lineRule="exact"/>
        <w:rPr>
          <w:rFonts w:ascii="Times New Roman" w:cs="Times New Roman" w:eastAsia="Times New Roman" w:hAnsi="Times New Roman"/>
          <w:sz w:val="14"/>
          <w:szCs w:val="14"/>
          <w:color w:val="auto"/>
        </w:rPr>
      </w:pPr>
    </w:p>
    <w:p>
      <w:pPr>
        <w:jc w:val="both"/>
        <w:ind w:left="1620" w:right="419" w:hanging="360"/>
        <w:spacing w:after="0" w:line="244" w:lineRule="auto"/>
        <w:tabs>
          <w:tab w:leader="none" w:pos="16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prior to the closing of this offering, all shares of our redeemable convertible preferred stock held of record by entities affiliated with Baker Bros. Advisors LP (BBA) will convert into             shares of our non-voting common stock. Consists of (i)             shares of non-voting common stock issuable upon conversion of our Series B Preferred Stock,               shares of non-voting common stock issuable upon conversion of our Series B-2 Preferred Stock,             shares of non-voting common stock issuable upon conversion of our Series B-2A Preferred Stock and             shares of non-voting common stock issuable upon conversion of our Series C Preferred Stock held by Baker Brothers Life Sciences, L.P.; and (ii)             shares of non-voting common stock issuable upon conversion of our Series B Preferred Stock,             shares of non-voting common stock issuable upon conversion of our Series B-2 Preferred Stock,             shares of non-voting common stock issuable upon conversion of our Series B-2A Preferred Stock and             shares of non-voting common stock issuable upon conversion of our Series C Preferred Stock held by 667, L.P. (together with Baker Brothers Life Sciences, L.P., the BBA Funds). BBA is the management company and investment adviser to the BBA Funds and has the sole voting and investment power with respect to the shares held by the BBA Funds. Baker Bros. Advisors (GP) LLC (BBA-GP) is the sole general partner of BBA. The managing members of BBA-GP are Julian C. Baker and Felix J. Baker. Each of BBA-GP, Felix J. Baker and Julian C. Baker, as a managing member of BBA-GP and BBA, may be deemed to be beneficial owners of the shares directly held by the BBA Funds. Each of Julian C. Baker, Felix J. Baker, BBA-GP and BBA disclaim beneficial ownership of these securities, except to the extent of his or its pecuniary interest therein. The business address for the BBA Funds is 860 Washington St. 3rd Fl., New York, NY 10014.</w:t>
      </w:r>
    </w:p>
    <w:p>
      <w:pPr>
        <w:spacing w:after="0" w:line="204" w:lineRule="exact"/>
        <w:rPr>
          <w:rFonts w:ascii="Times New Roman" w:cs="Times New Roman" w:eastAsia="Times New Roman" w:hAnsi="Times New Roman"/>
          <w:sz w:val="14"/>
          <w:szCs w:val="14"/>
          <w:color w:val="auto"/>
        </w:rPr>
      </w:pPr>
    </w:p>
    <w:p>
      <w:pPr>
        <w:jc w:val="both"/>
        <w:ind w:left="1620" w:right="419" w:hanging="360"/>
        <w:spacing w:after="0" w:line="246" w:lineRule="auto"/>
        <w:tabs>
          <w:tab w:leader="none" w:pos="16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shares of common stock issuable upon conversion of our Series Seed Preferred Stock,             shares of common stock issuable upon conversion of our Series A Preferred Stock,             shares of common stock issuable upon conversion of our Series B-1 Preferred Stock,             shares of common stock issuable upon conversion of our Series B-2 Preferred Stock, and             shares of common stock issuable upon conversion of our Series C Preferred Stock held by Foresite Capital Fund V, L.P. (Fund V); (ii) shares of common stock issuable upon conversion of our Series B-2 Preferred Stock and</w:t>
      </w:r>
    </w:p>
    <w:p>
      <w:pPr>
        <w:jc w:val="both"/>
        <w:ind w:left="1620" w:right="419"/>
        <w:spacing w:after="0" w:line="24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shares of common stock issuable upon conversion of our Series C Preferred Stock held by Foresite Capital Fund VI, L.P. (Fund VI); (iii) shares of common stock issuable upon conversion of our Series A Preferred Stock,             shares of common stock issuable upon conversion of our Series B-1 Preferred Stock,             shares of common stock issuable upon conversion of our Series B-2 Preferred Stock and             shares of common stock issuable upon conversion of our Series C Preferred Stock held by Foresite Capital Opportunity Fund V, L.P. (Opportunity Fund V); (iv) shares of common stock issuable upon conversion of our Series Seed Preferred Stock held by Labs Co-Invest V, LLC (Labs Co-Invest; (v)             shares of common stock held by Foresite Labs Affiliates 2021, LLC (Labs Affiliates); and (vi)             shares of common stock issuable upon conversion of our Series B-1 Preferred Stock,             shares of common stock issuable upon conversion of our Series B-2 Preferred Stock and             shares of common stock issuable upon conversion of our Series C Preferred Stock held by Foresite Labs Fund I, L.P. (Labs Fund). Foresite Capital Management V, LLC (FCM V) is the general partner of Fund V and may be deemed to have sole voting and dispositive power over the shares held by Fund V; Foresite Capital Management VI, LLC (FCM VI) is the general partner of Fund VI and may be deemed to have sole voting and dispositive power over the shares held by Fund VI; Foresite Capital Opportunity Management V, LLC (FCOM V) is the general partner of Opportunity Fund V and may be deemed to have sole voting and dispositive power over the shares held by Opportunity Fund V; Labs Co-Invest may be deemed to have sole and dispositive power over the shares held by Labs Co-Invest; Labs Affiliates may be deemed to have sole and dispositive power over the shares held by Labs Affiliates; and Labs Fund may be deemed to have sole and dispositive power over the shares held by Labs Fund. James B. Tananbaum, M.D. is the sole managing member of FCM V, FCM VI, FCOM V, Labs Co-Invest, Lab Affiliates and Labs Fund and may be deemed to have sole voting and dispositive power over these shares. Each entity and Dr. Tananbaum disclaims beneficial ownership of these shares except to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20" w:right="419"/>
        <w:spacing w:after="0" w:line="282" w:lineRule="auto"/>
        <w:rPr>
          <w:sz w:val="20"/>
          <w:szCs w:val="20"/>
          <w:color w:val="auto"/>
        </w:rPr>
      </w:pPr>
      <w:r>
        <w:rPr>
          <w:rFonts w:ascii="Times New Roman" w:cs="Times New Roman" w:eastAsia="Times New Roman" w:hAnsi="Times New Roman"/>
          <w:sz w:val="14"/>
          <w:szCs w:val="14"/>
          <w:color w:val="auto"/>
        </w:rPr>
        <w:t>extent of their respective pecuniary interests therein. The business address of Dr. Tananbaum and each of the entities listed above is 900 Larkspur Landing Circle, Suite 150, Larkspur, CA 94939.</w:t>
      </w:r>
    </w:p>
    <w:p>
      <w:pPr>
        <w:spacing w:after="0" w:line="27" w:lineRule="exact"/>
        <w:rPr>
          <w:sz w:val="20"/>
          <w:szCs w:val="20"/>
          <w:color w:val="auto"/>
        </w:rPr>
      </w:pPr>
    </w:p>
    <w:p>
      <w:pPr>
        <w:ind w:left="1620" w:hanging="360"/>
        <w:spacing w:after="0"/>
        <w:tabs>
          <w:tab w:leader="none" w:pos="16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shares of common stock held of record by the Martin Babler revocable trust UAD October 25, 2006, for</w:t>
      </w:r>
    </w:p>
    <w:p>
      <w:pPr>
        <w:spacing w:after="0" w:line="17" w:lineRule="exact"/>
        <w:rPr>
          <w:sz w:val="20"/>
          <w:szCs w:val="20"/>
          <w:color w:val="auto"/>
        </w:rPr>
      </w:pPr>
    </w:p>
    <w:p>
      <w:pPr>
        <w:jc w:val="both"/>
        <w:ind w:left="1620" w:right="419"/>
        <w:spacing w:after="0" w:line="249" w:lineRule="auto"/>
        <w:rPr>
          <w:sz w:val="20"/>
          <w:szCs w:val="20"/>
          <w:color w:val="auto"/>
        </w:rPr>
      </w:pPr>
      <w:r>
        <w:rPr>
          <w:rFonts w:ascii="Times New Roman" w:cs="Times New Roman" w:eastAsia="Times New Roman" w:hAnsi="Times New Roman"/>
          <w:sz w:val="14"/>
          <w:szCs w:val="14"/>
          <w:color w:val="auto"/>
        </w:rPr>
        <w:t>which Martin Babler serves as a trustee and (ii)             shares of common stock subject to options that are exercisable with 60 days of March 21, 2024. Mr. Babler holds sole voting and dispositive power with respect to the shares held by the Martin Babler revocable trust UAD October 25, 2006.</w:t>
      </w:r>
    </w:p>
    <w:p>
      <w:pPr>
        <w:spacing w:after="0" w:line="36" w:lineRule="exact"/>
        <w:rPr>
          <w:sz w:val="20"/>
          <w:szCs w:val="20"/>
          <w:color w:val="auto"/>
        </w:rPr>
      </w:pPr>
    </w:p>
    <w:p>
      <w:pPr>
        <w:jc w:val="both"/>
        <w:ind w:left="1620" w:right="419" w:hanging="360"/>
        <w:spacing w:after="0" w:line="251" w:lineRule="auto"/>
        <w:tabs>
          <w:tab w:leader="none" w:pos="16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shares of common stock held of record by the Baily Goldstein Living Trust dated March 4, 2014, for which Dr. Goldstein serves as a trustee, (ii)             shares of common stock held of record by family members of Dr. Goldstein residing in his primary residence and (iii)             shares of common stock subject to options that are exercisable with 60 days of March 21, 2024. Dr. Goldstein holds shared voting and dispositive power with respect to the shares held by the Baily Goldstein Living Trust dated March 4, 2014.</w:t>
      </w:r>
    </w:p>
    <w:p>
      <w:pPr>
        <w:spacing w:after="0" w:line="35" w:lineRule="exact"/>
        <w:rPr>
          <w:rFonts w:ascii="Times New Roman" w:cs="Times New Roman" w:eastAsia="Times New Roman" w:hAnsi="Times New Roman"/>
          <w:sz w:val="14"/>
          <w:szCs w:val="14"/>
          <w:color w:val="auto"/>
        </w:rPr>
      </w:pPr>
    </w:p>
    <w:p>
      <w:pPr>
        <w:jc w:val="both"/>
        <w:ind w:left="1620" w:right="419" w:hanging="360"/>
        <w:spacing w:after="0" w:line="261" w:lineRule="auto"/>
        <w:tabs>
          <w:tab w:leader="none" w:pos="16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shares of common stock held of record by Mr. Hardiman, (ii)             shares of common stock held of record by family members of Mr. Hardiman residing in his primary residence, and (iii)             shares of common stock subject to options that are exercisable within 60 days of March 21, 2024.</w:t>
      </w:r>
    </w:p>
    <w:p>
      <w:pPr>
        <w:spacing w:after="0" w:line="41"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subject to options that are exercisable within 60 days of March 21, 2024.</w:t>
      </w:r>
    </w:p>
    <w:p>
      <w:pPr>
        <w:spacing w:after="0" w:line="68" w:lineRule="exact"/>
        <w:rPr>
          <w:rFonts w:ascii="Times New Roman" w:cs="Times New Roman" w:eastAsia="Times New Roman" w:hAnsi="Times New Roman"/>
          <w:sz w:val="14"/>
          <w:szCs w:val="14"/>
          <w:color w:val="auto"/>
        </w:rPr>
      </w:pPr>
    </w:p>
    <w:p>
      <w:pPr>
        <w:ind w:left="1620" w:right="419" w:hanging="360"/>
        <w:spacing w:after="0" w:line="282" w:lineRule="auto"/>
        <w:tabs>
          <w:tab w:leader="none" w:pos="16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shares of common stock held of record by Dr. Yao and (ii)             shares of common stock subject to options that are exercisable within 60 days of March 21, 2024.</w:t>
      </w:r>
    </w:p>
    <w:p>
      <w:pPr>
        <w:spacing w:after="0" w:line="13" w:lineRule="exact"/>
        <w:rPr>
          <w:rFonts w:ascii="Times New Roman" w:cs="Times New Roman" w:eastAsia="Times New Roman" w:hAnsi="Times New Roman"/>
          <w:sz w:val="14"/>
          <w:szCs w:val="14"/>
          <w:color w:val="auto"/>
        </w:rPr>
      </w:pPr>
    </w:p>
    <w:p>
      <w:pPr>
        <w:jc w:val="both"/>
        <w:ind w:left="1620" w:right="419" w:hanging="360"/>
        <w:spacing w:after="0" w:line="251" w:lineRule="auto"/>
        <w:tabs>
          <w:tab w:leader="none" w:pos="16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our Series C Preferred Stock held of record by Samsara BioCapital, L.P. (Samsara LP). Samsara BioCapital GP, LLC (Samsara GP) is the general partner of Samsara LP. Dr. Srinivas Akkaraju (Akkaraju) as the managing member of Samsara GP, shares voting and investment authority over the shares held by Samsara LP. The business address of Akkaraju and each of the entities listed above is 628 Middlefield Road, Palo Alto, CA 94301. Samsara GP disclaims beneficial ownership in these shares except to the extent of its respective pecuniary interest therein.</w:t>
      </w:r>
    </w:p>
    <w:p>
      <w:pPr>
        <w:spacing w:after="0" w:line="49" w:lineRule="exact"/>
        <w:rPr>
          <w:rFonts w:ascii="Times New Roman" w:cs="Times New Roman" w:eastAsia="Times New Roman" w:hAnsi="Times New Roman"/>
          <w:sz w:val="14"/>
          <w:szCs w:val="14"/>
          <w:color w:val="auto"/>
        </w:rPr>
      </w:pPr>
    </w:p>
    <w:p>
      <w:pPr>
        <w:jc w:val="both"/>
        <w:ind w:left="1620" w:right="419" w:hanging="360"/>
        <w:spacing w:after="0" w:line="269" w:lineRule="auto"/>
        <w:tabs>
          <w:tab w:leader="none" w:pos="16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shares of common stock and             shares of non-voting common stock beneficially owned by our current executive officers and directors and (ii)             shares of common stock subject to options that are exercisable within 60 days of March 21,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which will each become effective upon the completion of this offering, our registration rights agreement and relevant provisions of Delaware General Corporation Law (DGCL) . The descriptions herein are summaries qualified in their entirety by our amended and restated certificate of incorporation and amended and restated bylaws, copies of which have been filed as exhibits to the registration statement of which this prospectus is a part, as well as the relevant provisions of DGCL. The descriptions of our common stock, non-voting common stock and preferred stock reflect changes to our capital structure that will be in effect on the closing of this offering.</w:t>
      </w:r>
    </w:p>
    <w:p>
      <w:pPr>
        <w:spacing w:after="0" w:line="11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Upon the filing of our amended and restated certificate of incorporation and the closing of this offering, our authorized capital stock will consist of             shares of common stock, $0.0001 par value per share,</w:t>
      </w:r>
    </w:p>
    <w:p>
      <w:pPr>
        <w:ind w:left="1260" w:right="419"/>
        <w:spacing w:after="0" w:line="243" w:lineRule="auto"/>
        <w:tabs>
          <w:tab w:leader="none" w:pos="135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non-voting common stock, $0.00001 par value per share, and             shares of preferred stock, $0.0001 par value per share.</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As of March 31, 2024, after giving effect to (i) the issuance of shares of Series C redeemable convertible preferred stock in 2024, and (ii) the Preferred Stock Conversion and the Common Stock Reclassification (as if each had occurred as of March 31, 2024), we had             shares of common stock and             shares of non-voting common stock outstanding.</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 and Non-Voting Common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Conversion Rights</w:t>
      </w:r>
    </w:p>
    <w:p>
      <w:pPr>
        <w:spacing w:after="0" w:line="14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of common stock on any matter that is submitted to a vote of our stockholders, and holders of our non-voting common stock are not entitled to any votes per share of non-voting common stock, including for the election of directors. Additionally, holders of our common stock have no conversion rights, while holders of our non-voting common stock shall have the right to convert each share of our non-voting common stock into one share of common stock at such holder’s election, provided that as a result of such conversion, such holder, together with its affiliates and any members of a Schedule 13(d) group with such holder, would not beneficially own in excess of         % of any class of our securities registered under the Exchange Act, unless otherwise as expressly provided for in our amended and restated certificate of incorporation. However, the beneficial ownership limitation may be increased to any other percentage (not to exceed        %) designated by such holder of non-voting common stock upon 61 days’ notice to us or decreased at any time. Holders of our non-voting common stock are also permitted to make certain transfers of non-voting common stock to non-affiliates upon which, such transferred shares could be immediately converted into shares of our common stock. Shares of our non-voting common stock are not otherwise subject to automatic or mandatory conversion for any reason.</w:t>
      </w:r>
    </w:p>
    <w:p>
      <w:pPr>
        <w:spacing w:after="0" w:line="116"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cumulative voting for the election of directors for our common stock.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our stockholders holding shares of common stock, with the directors in the other classes continuing for the remainder of their respective three-year terms.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structure of our board of directors, the size of our board of directors, removal of directors, director liability, vacancies on our board of directors, special meetings, stockholder notices, actions by written consent and exclusive jurisdiction.</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our amended and restated certificate of incorporation or required by applicable law, and other than the voting rights and conversion rights stated above, all shares of common</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stock and non-voting common stock will have the same rights and privileges and rank equally, share ratably, and be identical in all respects for all matters, including those described below.</w:t>
      </w:r>
    </w:p>
    <w:p>
      <w:pPr>
        <w:spacing w:after="0" w:line="79"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apply to any shares of preferred stock outstanding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our common stock and non-voting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further information.</w:t>
      </w:r>
    </w:p>
    <w:p>
      <w:pPr>
        <w:spacing w:after="0" w:line="103"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common stock and non-voting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holders of our shares of common stock and non-voting common stock are not entitled to preemptive rights, and are not subject to redemption or sinking fund provisions. The rights, preferences and privileges of the holders of our common stock or non-voting common stock are subject to, and may be adversely affected by, the right of the holders of shares of any series of preferred stock that we may designate in the future.</w:t>
      </w: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common stock and non-voting common stock to be issued under this offering will be fully paid and non-assessable.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As of March 31, 2024, there were             shares of redeemable convertible preferred stock outstanding, consisting of             shares of Series Seed redeemable convertible preferred stock,             shares of Series A redeemable convertible preferred stock,             shares of Series B redeemable convertible preferred stock,             shares of Series B -1 redeemable convertible preferred stock,             shares of Series B-2 redeemable convertible preferred stock,             shares of Series B-2A redeemable convertible preferred stock,             shares of Series C redeemable convertible preferred stock and             shares of Series C-1 redeemable convertible preferred stock. As of March 31, 2024, there were             outstanding shares of redeemable convertible preferred stock that will all be converted into an aggregate of             shares of common stock and             shares of non-voting common stock immediately prior to the closing of this offering.</w:t>
      </w:r>
    </w:p>
    <w:p>
      <w:pPr>
        <w:spacing w:after="0" w:line="32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Following the closing of this offering, under the terms of our amended and restated certificate of incorporation, our board of directors will have the authority, without further action by our stockholders, to issue up to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32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common stock and non-voting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our common stock and non-voting common stock and the voting and other rights of the holders of our common stock and non-voting common stock. We have no current plans to issue any shares of preferred stock.</w:t>
      </w:r>
    </w:p>
    <w:p>
      <w:pPr>
        <w:spacing w:after="0" w:line="177" w:lineRule="exact"/>
        <w:rPr>
          <w:sz w:val="20"/>
          <w:szCs w:val="20"/>
          <w:color w:val="auto"/>
        </w:rPr>
      </w:pPr>
    </w:p>
    <w:p>
      <w:pPr>
        <w:ind w:left="1260" w:right="739"/>
        <w:spacing w:after="0" w:line="286" w:lineRule="auto"/>
        <w:rPr>
          <w:sz w:val="20"/>
          <w:szCs w:val="20"/>
          <w:color w:val="auto"/>
        </w:rPr>
      </w:pPr>
      <w:r>
        <w:rPr>
          <w:rFonts w:ascii="Times New Roman" w:cs="Times New Roman" w:eastAsia="Times New Roman" w:hAnsi="Times New Roman"/>
          <w:sz w:val="18"/>
          <w:szCs w:val="18"/>
          <w:b w:val="1"/>
          <w:bCs w:val="1"/>
          <w:color w:val="auto"/>
        </w:rPr>
        <w:t>Stock Options; Shares Reserved for Future Issuance under the 2021 Plan; Shares to be Reserved for Future Issuance under the 2024 Plan</w:t>
      </w:r>
    </w:p>
    <w:p>
      <w:pPr>
        <w:spacing w:after="0" w:line="78"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As of March 31, 2024, after giving effect to the Common Stock Reclassification, there were options to purchase             shares of common stock outstanding under our 2021 Plan. For additional information</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regarding the terms of our 2021 Plan, see the section titled “Executive Compensation—Equity Benefit Plans.” Following completion of this offering,             shares of our common stock will be reserved for future issuance under the 2024 Plan, which will become effective immediately prior to the execution of the underwriting agreement for this offering, as well as any future automatic annual increases in the number of shares of common stock reserved for issuance under the 2024 Plan and any shares underlying outstanding stock awards granted under the 2021 Plan, that expire or are repurchased, forfeited, cancelled, or withheld. For additional information regarding terms of our equity incentive plans, see the section titled “Executive Compensation—Equity​ Benefit Plans.”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Upon the closing of this offering and subject to the lock-up agreements entered into in connection with this offering and federal securities laws, certain holders of shares of our common stock, including those shares of common stock and non-voting stock that will be issued upon the conversion of our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amended and restated investors’ rights agreement and are described in additional detail below. The registration of shares of our common stock and non-voting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2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three years after the closing of this offering.</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Upon the closing of this offering, holders of an aggregate of             shares of our common stock will be entitled to certain demand registration rights. At any time beginning 180 days after the closing of this offering, the holders of        % of these shares may request that we register all or a portion of their shares. We are not required to effect more than             registration statements which are declared or ordered effective. Such request for registration must cover shares with an anticipated aggregate offering price, net of selling expenses, of at least $            million. With certain exceptions, we are not required to effect the filing of a registration statement during the period starting with the date of the filing of, and ending on a date 180 days following the effective date of the registration statement for this offering.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holders of an aggregate of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Upon the closing of this offering, holders of an aggregate of             shares of our common stock will be entitled to certain Form S-3 registration rights. Holders of         % of these shares can make a request that we register their shares on Form S-3 if we are qualified to file a registration statement on Form S-3 and if the reasonably anticipated aggregate net proceeds of the shares offered would equal or exceed $            million. We will not be required to effect more than             registrations on Form S-3 within any 12-month period.</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in connection with this Offering</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to be effective immediately after the closing of this offering, and our amended and restated bylaws, to be effective on the closing of this offering, will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or our chief executive officer or president. Our amended and restated bylaws will establish an advance notice procedure for stockholder proposals to be brought before an annual meeting of our stockholders, including proposed nominations of persons for election to our board of directors.</w:t>
      </w:r>
    </w:p>
    <w:p>
      <w:pPr>
        <w:spacing w:after="0" w:line="11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As described above in “Management—Composition of Our Board of Directors,” in accordance with our amended and restated certificate of incorporation to be filed in connection with this offering, immediately prior to the completion of this offering, our board of directors will be divided into three classes with staggered three-year terms.</w:t>
      </w:r>
    </w:p>
    <w:p>
      <w:pPr>
        <w:spacing w:after="0" w:line="11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These provisions are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62"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When we have a class of voting stock that is either listed on a national securities exchange or held of record by more than 2,000 stockholders, we will be subject to Section 203 of the DGCL,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immediately prior to the closing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is the sole and exclusive forum for the following claims or causes of action under the Delaware statutory or common law: (i) any derivative claim or cause of action brought on our behalf; (ii) any claim or cause of action for a breach of fiduciary duty owed by any of our current or former directors, officers, or other employees to us or our stockholders; (iii) any claim or cause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of action against us or any of our current or former directors, officers or other employees arising out of or pursuant to any provision of the DGCL, our amended and restated certificate of incorporation, or our bylaws (as each may be amended from time to time); (iv) any claim or cause of action seeking to interpret, apply, enforce or determine the validity of our amended and restated certificate of incorporation or our amended and restated bylaws (as each may be amended from time to time, including any right, obligation, or remedy thereunder); (v) any claim or cause of action as to which the DGCL confers jurisdiction to the Court of Chancery of the State of Delaware; and (vi) any claim or cause of action against us or any of our current or former directors, officers, or other employees governed by the internal-affairs doctrine, in all cases to the fullest extent permitted by law and subject to the court’s having personal jurisdiction over the indispensable parties named as defendants. Our amended and restated certificate of incorporation to be effective on the closing of this offering will further provide that the federal district courts of the United States will be the exclusive forum for resolving any complaint asserting a cause or causes of action arising under the Securities Act, including all causes of action asserted against an defendant to such complaint. The choice of forum provision would not apply to claims or causes of action brought to enforce a duty or liability created by the Exchange Act or any other claim for which the federal courts have exclusive jurisdiction.</w:t>
      </w:r>
    </w:p>
    <w:p>
      <w:pPr>
        <w:spacing w:after="0" w:line="12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For the avoidance of doubt, these provisions are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Additionally, our amended and restated certificate of incorporation to be effective immediately after the closing of this offering will provide that any person or entity holding, owning or otherwise acquiring any interest in any of our securities shall be deemed to have notice of and consented to these provisions.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on Liability and Indemnification.”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common stock is currently not listed on any securities exchange. We intend to apply to have common stock approved for listing on The Nasdaq Global Market under the symbol “ALMS.” Our non-voting common stock will not be listed on any securities exchange.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On the closing of this offering, the transfer agent and registrar for our common stock will be Equiniti Trust Company, LLC. The transfer agent’s address is 55 Challenger Road, Ridgefield Park, New Jersey 07660.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62"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Before the closing of this offering, there has been no public market for our common stock. Future sales of substantial amounts of our common stock, including shares issued on the exercise of outstanding options or upon conversion of our non-voting common stock, in the public market after this offering, or the possibility of these sales or issuances occurring, could adversely affect the prevailing market price for our common stock or impair our ability to raise equity capital.</w:t>
      </w:r>
    </w:p>
    <w:p>
      <w:pPr>
        <w:spacing w:after="0" w:line="105"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color w:val="auto"/>
        </w:rPr>
        <w:t>Based on our shares of common stock outstanding as of March 31, 2024, upon the completion of this offering, a total of 181,015,104 shares of common stock will be outstanding, after giving effect to</w:t>
      </w:r>
    </w:p>
    <w:p>
      <w:pPr>
        <w:spacing w:after="0" w:line="2" w:lineRule="exact"/>
        <w:rPr>
          <w:sz w:val="20"/>
          <w:szCs w:val="20"/>
          <w:color w:val="auto"/>
        </w:rPr>
      </w:pPr>
    </w:p>
    <w:p>
      <w:pPr>
        <w:jc w:val="both"/>
        <w:ind w:left="1260" w:right="419"/>
        <w:spacing w:after="0" w:line="265" w:lineRule="auto"/>
        <w:tabs>
          <w:tab w:leader="none" w:pos="15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41,264,892 shares of Series C redeemable convertible preferred stock in May 2024, and (ii) the Preferred Stock Conversion and the Common Stock Reclassification (as if each had occurred as of March 31, 2024). Of these shares, all of the common stock sold in this offering by us, plus any shares sold by us on exercise of the underwriters’ over-allotment option, will be freely tradable in the public market without restriction or further registration under the Securities Act, unless these shares are held by “affiliates,” as that term is defined in Rule 144 under the Securities Act (Rule 144).</w:t>
      </w:r>
    </w:p>
    <w:p>
      <w:pPr>
        <w:spacing w:after="0" w:line="10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remaining shares of common stock and non-voting common stock will be, and shares of common stock subject to stock options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09"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14"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pacing w:after="0" w:line="78" w:lineRule="exact"/>
        <w:rPr>
          <w:sz w:val="20"/>
          <w:szCs w:val="20"/>
          <w:color w:val="auto"/>
        </w:rPr>
      </w:pPr>
    </w:p>
    <w:p>
      <w:pPr>
        <w:jc w:val="both"/>
        <w:ind w:left="1800" w:right="419" w:hanging="180"/>
        <w:spacing w:after="0" w:line="266"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and non-voting common stock then outstanding, which will equal approximately shares immediately after this offering, assuming no exercise of the underwriters’ over-allotment option; or</w:t>
      </w:r>
    </w:p>
    <w:p>
      <w:pPr>
        <w:spacing w:after="0" w:line="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The Nasdaq Global Market during the four calendar weeks preceding the filing of a notice on Form 144 with respect to such sale.</w:t>
      </w:r>
    </w:p>
    <w:p>
      <w:pPr>
        <w:spacing w:after="0" w:line="8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Rule 701 of the Securities Act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common stock that are issuable upon exercise of outstanding stock options under the 2021 Plan and 2024 POP and shares of our common stock reserved for future issuance under the 2024 Plan and ESPP. These registration statements will become effective immediately on filing. Shares covered by these registration statements will then be eligible for sale in the public markets, subject to vesting restrictions, any agreements described below, and Rule 144 limitations applicable to affiliates.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4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We, and all of our directors, executive officers and the holders of substantially all of our common stock and securities exercisable for or convertible into our common stock outstanding, have agreed with the underwriters that, until 180 days after the date of the underwriting agreement related to this offering, we and they will not, without the prior written consent of Morgan Stanley &amp; Co, LLC, with respect to all of our directors, executive officers and security holders, and of Morgan Stanley &amp; Co. LLC and Leerink Partners LLC, with respect to us, subject to certain exceptions, directly or indirectly, offer, pledge, sell, contract to sell, sell any option or contract to purchase, purchase any option or contract to sell, grant any option, right or warrant to purchase, lend or otherwise transfer or dispose of any of our shares of common stock, or any securities convertible into or exercisable or exchangeable for shares of our common stock (including shares of our non-voting common stock), or enter into any hedging, swap or any other agreement or any transaction that transfers, in whole or in part, directly or indirectly, the economic consequence of ownership of the securities, whether any such swap or transaction is to be settled by delivery of our common stock or other securities, in cash or otherwise. These agreements are described in the section titled “Underwriting.” Morgan Stanley &amp; Co. LLC, with respect to our directors, executive officers and security holders, and Morgan Stanley &amp; Co. LLC and Leerink Partners LLC, with respect to us, may, in their sole discretion, release any of the securities subject to these lock-up agreements at any time.</w:t>
      </w:r>
    </w:p>
    <w:p>
      <w:pPr>
        <w:spacing w:after="0" w:line="127"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certain of our security holders, including the amended and restated investors’ rights agreement and our standard forms of option agreement, that contain market stand-off provisions or incorporate market stand-off provisions from our equity incentive plan imposing restrictions on the ability of such security holders to offer, sell or transfer our equity securities for a period of 180 days following the date of this prospectus.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Upon the closing of this offering, pursuant to our amended and restated investors’ rights agreement, the holders of             shares of our common stock, or their transferees, will be entitled to certain rights with respect to the registration of the offer and sale of their shares (including shares of common stock issuable upon conversion of our non-voting common stock) under the Securities Act, subject to the terms of the lock-up agreements described under the subsection titled “—Lock-Up Arrangements” above. Registration of these shares under the Securities Act would result in the shares becoming freely tradable without restriction under the Securities Act immediately on the effectiveness of the registration. Any sales of securities by these stockholders could have a material adverse effect on the trading price of our common stock. See the section titled “Description of Capital Stock—Registration Rights” for additional information.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 TO NON-U.S. HOLDERS</w:t>
      </w:r>
    </w:p>
    <w:p>
      <w:pPr>
        <w:spacing w:after="0" w:line="16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consequences to non-U.S. holders (as defined below) of the purchase, ownership and disposition of our common stock offered pursuant to this prospectus.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Internal Revenue Code of 1986, as amended (the Code), and does not address any U.S. federal non-income tax consequences such as estate or gift tax consequences or any tax consequences arising under any state, local, or non-U.S. tax laws. This discussion is based on the Code and applicable Treasury Regulations promulgated thereunder, judicial decisions and published rulings, and administrative pronouncements of the Internal Revenue Service, or the IRS, all as in effect as of the date hereof. These authorities are subject to differing interpretations and may change, possibly retroactively, resulting in U.S. federal income tax consequences different from those discussed below. We have not requested, and do not intend to request, a ruling from the IRS with respect to the U.S. federal income tax consequences discussed below, and there can be no assurance that the IRS or a court will agree with such tax consequences.</w:t>
      </w:r>
    </w:p>
    <w:p>
      <w:pPr>
        <w:spacing w:after="0" w:line="347"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U.S. federal income tax consequences that may be relevant to a particular non-U.S. holder in light of such non-U.S. holder’s particular circumstances. Finally, this discussion does not address any specific facts or circumstances that may be relevant to non-U.S. holders subject to special rules under U.S. federal income tax laws, including:</w:t>
      </w:r>
    </w:p>
    <w:p>
      <w:pPr>
        <w:spacing w:after="0" w:line="79" w:lineRule="exact"/>
        <w:rPr>
          <w:sz w:val="20"/>
          <w:szCs w:val="20"/>
          <w:color w:val="auto"/>
        </w:rPr>
      </w:pPr>
    </w:p>
    <w:p>
      <w:pPr>
        <w:ind w:left="1800" w:hanging="180"/>
        <w:spacing w:after="0"/>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S corporations, or other entities or arrangements treated as partnerships, pass-through entities, or disregarded entities (including hybrid entities) for U.S. federal income tax purposes (and investors therein);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within the meaning of Section 957(a) of the Code;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within the meaning of Section 1297(a) of the Code;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investment companies, insurance companies, brokers, dealers or traders in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elected to mark securities to market;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governmental organizations, or international organizations;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through the exercise of employee stock options or otherwise as compensation;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through the exercise of warrants or conversion rights under convertible instruments;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“qualified small business stock” under Section 1202 of the Code or “Section 1244 stock” under Section 1244 of the Code;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in a transaction subject to the gain rollover provisions of the Code (including Section 1045 of the Code);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within the meaning of Section 897(l)(2) of the Code and entities all of the interests of which are held by qualified foreign pension funds; and</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hedging or conversion transaction, straddle, a constructive sale, or any other risk reduction strategy or integrated investment.</w:t>
      </w:r>
    </w:p>
    <w:p>
      <w:pPr>
        <w:spacing w:after="0" w:line="9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a partnership (or an entity or arrangement that is treated as a partnership for U.S. federal income tax purposes) holds our common stock, the U.S. federal income tax treatment of a partner in such partnership will generally depend on the status of the partner and the activities of the partnership. Partnerships that hold our common stock and the partners in such partnerships are urged to consult their tax advisors about the particular U.S. federal income tax consequences to them of holding and disposing of our common stock.</w:t>
      </w:r>
    </w:p>
    <w:p>
      <w:pPr>
        <w:spacing w:after="0" w:line="112" w:lineRule="exact"/>
        <w:rPr>
          <w:sz w:val="20"/>
          <w:szCs w:val="20"/>
          <w:color w:val="auto"/>
        </w:rPr>
      </w:pPr>
    </w:p>
    <w:p>
      <w:pPr>
        <w:jc w:val="both"/>
        <w:ind w:left="1260" w:right="399"/>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U.S. FEDERAL NON-INCOME TAX LAWS, OR UNDER ANY APPLICABLE INCOME TAX TREATY.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14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not a “United States person” or a partnership (including any entity or arrangement treated as a partnership) for U.S. federal income tax purposes. A U.S. person is any person that, for U.S. federal income tax purposes, is or is treated as any of the following:</w:t>
      </w:r>
    </w:p>
    <w:p>
      <w:pPr>
        <w:spacing w:after="0" w:line="85" w:lineRule="exact"/>
        <w:rPr>
          <w:sz w:val="20"/>
          <w:szCs w:val="20"/>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entity treated as a corporation for U.S. federal income tax purposes)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which has one or more “United States persons” within the meaning of Section 7701(a)(30) of the Code who have the authority to control all substantial decisions of the trust or (2) that has a valid election in effect under applicable Treasury Regulations to be treated as a United States person.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As described in the section titled “Dividend Policy” above, we have not paid and do not anticipate declaring or paying dividends in the foreseeable future. However, if we make cash or other property distributions on our common stock, such distributions will constitute dividends for U.S. federal income tax purposes to the extent paid out of our current or accumulated earnings and profits, as determined under U.S. federal income tax principles. Any portion of a distribution that exceeds our current and accumulated earnings and profits will constitute a return of capital and first will be applied against and reduce the non-U.S. holder’s tax basis in our common stock, but not below zero. Any amount distributed in excess of tax basis will be treated as gain realized on the sale or other disposition of our common stock and, therefore, will be treated as described in the subsection titled “—Gain on Sale or Other Disposition of Our Common Stock” below.</w:t>
      </w:r>
    </w:p>
    <w:p>
      <w:pPr>
        <w:spacing w:after="0" w:line="107"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backup withholding, and FATCA (as defined below), dividends paid to a non-U.S. holder generally will be subject to U.S. federal withholding tax at a rate of 30% (or such lower rate specified by an applicable income tax treaty) of the gross amount of the dividends. To receive the benefit of a lower treaty rate, a non-U.S. holder must furnish the applicable withholding agent with a valid IRS Form W-8BEN or IRS Form W-8BEN-E (or applicable successor form) certifying such non-U.S. holder’s qualification for such rate. This certification must be provided to the applicable withholding agent before the payment of dividends and updated periodically. If the non-U.S. holder holds our common stock through a financial institution or other agent acting on the non-U.S. holder’s behalf, the non-U.S. holder will be required to provide appropriate documentation to the financial institution or agent, which then will be required to provide certification to the applicable withholding agent, either directly or through other intermediaries.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If a non-U.S. holder holds our common stock in connection with the conduct of a trade or business in the United States, and dividends paid on our common stock are effectively connected with such non-U.S. holder’s U.S. trade or business (and are attributable to such non-U.S. holder’s permanent establishment in the United States, if required by an applicable tax treaty), the non-U.S. holder generally will be exempt from U.S. federal withholding tax. To claim the exemption, the non-U.S. holder must generally furnish a valid IRS Form W-8ECI (or applicable successor form) to the applicable withholding agent.</w:t>
      </w:r>
    </w:p>
    <w:p>
      <w:pPr>
        <w:spacing w:after="0" w:line="11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However, any such effectively connected dividends paid on our common stock generally will be subject to U.S. federal income tax on a net income basis at regular U.S. federal income tax rates in the same manner as if the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32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 Non-U.S. holders are urged to consult their tax advisors about any applicable income tax treaties that may provide for different rules.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Our Common Stock</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69" w:lineRule="exact"/>
        <w:rPr>
          <w:sz w:val="20"/>
          <w:szCs w:val="20"/>
          <w:color w:val="auto"/>
        </w:rPr>
      </w:pPr>
    </w:p>
    <w:p>
      <w:pPr>
        <w:jc w:val="both"/>
        <w:ind w:left="1800" w:right="419" w:hanging="180"/>
        <w:spacing w:after="0" w:line="263"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is attributable to the non-U.S. holder’s permanent establishment or fixed base maintained by the non-U.S. holder in the United States;</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sale or other disposition, and certain other requirements are met; or</w:t>
      </w:r>
    </w:p>
    <w:p>
      <w:pPr>
        <w:spacing w:after="0" w:line="281"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sale or other disposition or the non-U.S. holder’s holding period for our common stock, and our common stock is not regularly traded on an established securities market as defined by applicable Treasury Regulations.</w:t>
      </w:r>
    </w:p>
    <w:p>
      <w:pPr>
        <w:spacing w:after="0" w:line="116"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Determining whether we are a USRPHC depends on the fair market value of our U.S. real property interests relative to the fair market value of our other trade or business assets and our foreign real property interests. We do not believe that we are, or have been, and do not anticipate becoming, a USRPHC for U.S. federal income tax purposes, although there can be no assurance that we will not in the future become a USRPHC. Even if we are or were to become a USRPHC, gain arising from the sale or other disposition by a non-U.S. holder of our common stock may not be subject to U.S. federal income tax if our common stock is “regularly traded,” as defined by applicable Treasury Regulations, on an established securities market.</w:t>
      </w:r>
    </w:p>
    <w:p>
      <w:pPr>
        <w:spacing w:after="0" w:line="11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regular U.S. federal income tax rates in the same manner as if the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A non-U.S. holder described in the second bullet point above will be subject to U.S. federal income tax at a flat 30% rate (or such lower rate specified by an applicable income tax treaty) on gain realized upon the sale or other taxable disposition of our common stock which may be offset by certain U.S.-source capital losses (even though the individual is not considered a resident of the United States), provided that the non-U.S. holder has timely filed U.S. federal income tax returns with respect to such losses. If we are or become a USRPHC during the period described in the third bullet point above and our common stock is not regularly traded for purposes of the relevant rules, gain arising from the sale or other taxable disposition of our common stock by a non-U.S. holder will generally be subject to U.S. federal income tax in the same manner as gain that is effectively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connected with the conduct of a U.S. trade or business, except that the branch profits tax generally will not apply to a corporate non-U.S. holder. Non-U.S. holders are urged to consult their tax advisors about any applicable income tax treaties that may provide for different rules.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Annual reports are required to be filed with the IRS and provided to each non-U.S. holder indicating the amount of distributions on our common stock paid to such non-U.S. holder and the amount of any tax withheld with respect to those distributions. These information reporting requirements apply even if no withholding was required (because the distributions were effectively connected with the non-U.S. holder’s conduct of a U.S. trade or business, or withholding was reduced or eliminated by an applicable income tax treaty) and regardless of whether such distributions constitute dividends.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sale or other disposition of our common stock provided that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non-U.S. holder is a United States person who is not an exempt recipient.</w:t>
      </w:r>
    </w:p>
    <w:p>
      <w:pPr>
        <w:spacing w:after="0" w:line="12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any amount is withheld under the backup withholding rules, non-U.S. holders are urged to consult their tax advisors about the possibility of and procedure for obtaining a refund or a credit against the non-U.S. holder’s U.S. federal income tax liability, if any.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4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(commonly referred to as FATCA), imposes a U.S. federal withholding tax of 30% on certain payments made to a “foreign financial institution” (as​ specially defined under the FATCA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non-U.S. country may modify these requirements. Under certain circumstances, a non-U.S. holder might be eligible for refunds or credits of such taxes. FATCA currently applies to dividends paid on our common stock and, subject to the proposed Treasury Regulations described below, also applies to payments of gross proceeds from sales or other dispositions of our common stock. The U.S. Treasury Department released proposed Treasury Regulations which, if finalized in their present form, would eliminate the U.S. federal withholding tax of 30% applicable to the gross proceeds of a sale or other disposition of our common stock. In its preamble to such proposed Treasury Regulations, the U.S. Treasury Department stated that taxpayers may generally rely on the proposed Treasury Regulations until final regulations are issued.</w:t>
      </w:r>
    </w:p>
    <w:p>
      <w:pPr>
        <w:spacing w:after="0" w:line="34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Prospective investors are urged to consult with their tax advisors about the possible implications of FATCA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Leerink Partners LLC, Cantor Fitzgerald &amp; Co. and Guggenheim Securities, LLC are acting as representatives, have severally agreed to purchase, and we have agreed to sell to them, severally, the number of shares indicated below:</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tcPr>
          <w:p>
            <w:pPr>
              <w:spacing w:after="0"/>
              <w:rPr>
                <w:sz w:val="14"/>
                <w:szCs w:val="14"/>
                <w:color w:val="auto"/>
              </w:rPr>
            </w:pPr>
          </w:p>
        </w:tc>
      </w:tr>
      <w:tr>
        <w:trPr>
          <w:trHeight w:val="194"/>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400" w:type="dxa"/>
            <w:vAlign w:val="bottom"/>
          </w:tcPr>
          <w:p>
            <w:pPr>
              <w:spacing w:after="0"/>
              <w:rPr>
                <w:sz w:val="16"/>
                <w:szCs w:val="16"/>
                <w:color w:val="auto"/>
              </w:rPr>
            </w:pPr>
          </w:p>
        </w:tc>
        <w:tc>
          <w:tcPr>
            <w:tcW w:w="278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78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27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278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2780" w:type="dxa"/>
            <w:vAlign w:val="bottom"/>
            <w:tcBorders>
              <w:bottom w:val="single" w:sz="8" w:color="CCEEFF"/>
            </w:tcBorders>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4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Borders>
              <w:bottom w:val="single" w:sz="8" w:color="CCEEFF"/>
            </w:tcBorders>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47834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17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underwriters and the representative are collectively referred to as the “underwriters” and the “representative,”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97"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w:t>
      </w:r>
    </w:p>
    <w:p>
      <w:pPr>
        <w:spacing w:after="0" w:line="8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327"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common stock.</w:t>
      </w:r>
    </w:p>
    <w:p>
      <w:pPr>
        <w:spacing w:after="0" w:line="326"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Full</w:t>
            </w:r>
          </w:p>
        </w:tc>
        <w:tc>
          <w:tcPr>
            <w:tcW w:w="60" w:type="dxa"/>
            <w:vAlign w:val="bottom"/>
          </w:tcPr>
          <w:p>
            <w:pPr>
              <w:spacing w:after="0"/>
              <w:rPr>
                <w:sz w:val="14"/>
                <w:szCs w:val="14"/>
                <w:color w:val="auto"/>
              </w:rPr>
            </w:pPr>
          </w:p>
        </w:tc>
      </w:tr>
      <w:tr>
        <w:trPr>
          <w:trHeight w:val="214"/>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Exercise</w:t>
            </w:r>
          </w:p>
        </w:tc>
        <w:tc>
          <w:tcPr>
            <w:tcW w:w="8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Exercise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84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9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-496570</wp:posOffset>
            </wp:positionV>
            <wp:extent cx="48006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800600" cy="8890"/>
                    </a:xfrm>
                    <a:prstGeom prst="rect">
                      <a:avLst/>
                    </a:prstGeom>
                    <a:noFill/>
                  </pic:spPr>
                </pic:pic>
              </a:graphicData>
            </a:graphic>
          </wp:anchor>
        </w:drawing>
      </w:r>
    </w:p>
    <w:p>
      <w:pPr>
        <w:spacing w:after="0" w:line="83"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            . We have agreed to reimburse the underwriters for certain of their expenses in an amount up to $            .</w:t>
      </w:r>
    </w:p>
    <w:p>
      <w:pPr>
        <w:spacing w:after="0" w:line="8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common stock offered by them.</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have applied to list our shares of common stock on the Nasdaq Global Market under the trading symbol “ALMS”.</w:t>
      </w:r>
    </w:p>
    <w:p>
      <w:pPr>
        <w:spacing w:after="0" w:line="5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and all directors and officers and the holders of all of our outstanding stock and stock options have agreed that, without the prior written consent of Morgan Stanley &amp; Co. LLC, with respect to our officers, directors and security holders, and of Morgan Stanley &amp; Co. LLC and Leerink Partners LLP, with respect to us, on behalf of the underwriters, we and they will not, and will not publicly disclose an intention to, during the period ending 180 days after the date of this prospectus (the “restricted period”):</w:t>
      </w:r>
    </w:p>
    <w:p>
      <w:pPr>
        <w:spacing w:after="0" w:line="69" w:lineRule="exact"/>
        <w:rPr>
          <w:sz w:val="20"/>
          <w:szCs w:val="20"/>
          <w:color w:val="auto"/>
        </w:rPr>
      </w:pPr>
    </w:p>
    <w:p>
      <w:pPr>
        <w:jc w:val="both"/>
        <w:ind w:left="1800" w:right="419" w:hanging="180"/>
        <w:spacing w:after="0" w:line="261"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58"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67"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with respect to our officers, directors and security holders, and of Morgan Stanley &amp; Co. LLC and Leerink Partners LLP, with respect to us,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respect to us, the restrictions described in the immediately preceding paragraph do not apply to:</w:t>
      </w:r>
    </w:p>
    <w:p>
      <w:pPr>
        <w:spacing w:after="0" w:line="131" w:lineRule="exact"/>
        <w:rPr>
          <w:sz w:val="20"/>
          <w:szCs w:val="20"/>
          <w:color w:val="auto"/>
        </w:rPr>
      </w:pPr>
    </w:p>
    <w:p>
      <w:pPr>
        <w:ind w:left="1980" w:hanging="360"/>
        <w:spacing w:after="0"/>
        <w:tabs>
          <w:tab w:leader="none" w:pos="1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in this offering;</w:t>
      </w:r>
    </w:p>
    <w:p>
      <w:pPr>
        <w:spacing w:after="0" w:line="130"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warrant or the conversion of a security outstanding on the date of this prospectus as described herein;</w:t>
      </w:r>
    </w:p>
    <w:p>
      <w:pPr>
        <w:spacing w:after="0" w:line="67"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options, restricted stock or other compensatory equity awards and the issuance of shares of common stock in connection with the exercise, vesting and/or settlement of any of the foregoing to our employees, officers, directors, advisors or consultants pursuant to the terms of a plan in effect on the date of this prospectus and as described herein;</w:t>
      </w:r>
    </w:p>
    <w:p>
      <w:pPr>
        <w:spacing w:after="0" w:line="85" w:lineRule="exact"/>
        <w:rPr>
          <w:rFonts w:ascii="Times New Roman" w:cs="Times New Roman" w:eastAsia="Times New Roman" w:hAnsi="Times New Roman"/>
          <w:sz w:val="18"/>
          <w:szCs w:val="18"/>
          <w:color w:val="auto"/>
        </w:rPr>
      </w:pPr>
    </w:p>
    <w:p>
      <w:pPr>
        <w:jc w:val="both"/>
        <w:ind w:left="1980" w:right="419" w:hanging="360"/>
        <w:spacing w:after="0" w:line="252" w:lineRule="auto"/>
        <w:tabs>
          <w:tab w:leader="none" w:pos="1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or any securities convertible into, or exercisable or exchangeable for, shares of common stock, or the entrance into an agreement to issue shares of common stock or any securities convertible into, or exercisable or exchangeable for, shares of common stock, in connection with any merger, joint venture, strategic alliances, commercial or other collaborative transaction or the acquisition or licenses of the business, property, technology or other assets of another individual or entity or the assumption of an employee benefit plan in connection with a merger or acquisition;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of common stock or any other securities convertible into, or exercisable or exchangeable for, shares of common stock that we may issue or agree to issue pursuant to this clause (d) shall not exceed 10% of our total outstanding share capital immediately following the issuance of the shares; and provided further, that the recipients of any such shares of common stock and securities issued pursuant to this clause</w:t>
      </w:r>
    </w:p>
    <w:p>
      <w:pPr>
        <w:spacing w:after="0" w:line="3"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during the restricted period shall enter into a lock-up agreement;</w:t>
      </w:r>
    </w:p>
    <w:p>
      <w:pPr>
        <w:spacing w:after="0" w:line="125" w:lineRule="exact"/>
        <w:rPr>
          <w:rFonts w:ascii="Times New Roman" w:cs="Times New Roman" w:eastAsia="Times New Roman" w:hAnsi="Times New Roman"/>
          <w:sz w:val="18"/>
          <w:szCs w:val="18"/>
          <w:color w:val="auto"/>
        </w:rPr>
      </w:pPr>
    </w:p>
    <w:p>
      <w:pPr>
        <w:jc w:val="both"/>
        <w:ind w:left="1980" w:right="419" w:hanging="360"/>
        <w:spacing w:after="0" w:line="255" w:lineRule="auto"/>
        <w:tabs>
          <w:tab w:leader="none" w:pos="1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facilitating the establishment of a trading plan on behalf of any of our shareholders, officers or directors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shares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shares of common stock may be made under such plan during the restricted period;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hanging="360"/>
        <w:spacing w:after="0" w:line="263" w:lineRule="auto"/>
        <w:tabs>
          <w:tab w:leader="none" w:pos="1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registration statement on Form S-8 relating to securities (i) granted or to be granted pursuant to any plan in effect on the date hereof and described in this prospectus or (ii) otherwise eligible to be included on a registration statement on Form S-8 and described in this prospectus.</w:t>
      </w:r>
    </w:p>
    <w:p>
      <w:pPr>
        <w:spacing w:after="0" w:line="3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respect to our directors, officers and securityholders, the restrictions described above do not apply to:</w:t>
      </w:r>
    </w:p>
    <w:p>
      <w:pPr>
        <w:spacing w:after="0" w:line="131" w:lineRule="exact"/>
        <w:rPr>
          <w:sz w:val="20"/>
          <w:szCs w:val="20"/>
          <w:color w:val="auto"/>
        </w:rPr>
      </w:pPr>
    </w:p>
    <w:p>
      <w:pPr>
        <w:ind w:left="1980" w:right="419" w:hanging="360"/>
        <w:spacing w:after="0" w:line="282" w:lineRule="auto"/>
        <w:tabs>
          <w:tab w:leader="none" w:pos="1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open market transactions after the completion of this offering;</w:t>
      </w:r>
    </w:p>
    <w:p>
      <w:pPr>
        <w:spacing w:after="0" w:line="67"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as a bona fide gift, or for bona fide estate planning purposes,</w:t>
      </w:r>
    </w:p>
    <w:p>
      <w:pPr>
        <w:jc w:val="both"/>
        <w:ind w:left="1980" w:right="419"/>
        <w:spacing w:after="0" w:line="250" w:lineRule="auto"/>
        <w:tabs>
          <w:tab w:leader="none" w:pos="227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or by will, testamentary document or intestate succession, (iii) to any member of the holder’s immediate family (“immediate family” shall mean any relationship by blood, current or former marriage, domestic partnership or adoption, not more remote than first cousin) or to any trust for the direct or indirect benefit of the holder or the immediate family of the holder or, if the holder is a trust, to a trustor or beneficiary of the trust or the estate of a beneficiary of such trust,</w:t>
      </w:r>
    </w:p>
    <w:p>
      <w:pPr>
        <w:spacing w:after="0" w:line="1" w:lineRule="exact"/>
        <w:rPr>
          <w:rFonts w:ascii="Times New Roman" w:cs="Times New Roman" w:eastAsia="Times New Roman" w:hAnsi="Times New Roman"/>
          <w:sz w:val="18"/>
          <w:szCs w:val="18"/>
          <w:color w:val="auto"/>
        </w:rPr>
      </w:pPr>
    </w:p>
    <w:p>
      <w:pPr>
        <w:jc w:val="both"/>
        <w:ind w:left="1980" w:right="419"/>
        <w:spacing w:after="0" w:line="253" w:lineRule="auto"/>
        <w:tabs>
          <w:tab w:leader="none" w:pos="230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partnership, limited liability company or other entity of which the holder and the immediate family of the holder are the legal and beneficial owner of all of the outstanding equity securities or similar interests, or (v) to a nominee or custodian of a person or entity to whom a disposition or transfer would be permissible under clauses (b)(i) through (iv) above;</w:t>
      </w:r>
    </w:p>
    <w:p>
      <w:pPr>
        <w:spacing w:after="0" w:line="94" w:lineRule="exact"/>
        <w:rPr>
          <w:rFonts w:ascii="Times New Roman" w:cs="Times New Roman" w:eastAsia="Times New Roman" w:hAnsi="Times New Roman"/>
          <w:sz w:val="18"/>
          <w:szCs w:val="18"/>
          <w:color w:val="auto"/>
        </w:rPr>
      </w:pPr>
    </w:p>
    <w:p>
      <w:pPr>
        <w:jc w:val="both"/>
        <w:ind w:left="1980" w:right="419" w:hanging="360"/>
        <w:spacing w:after="0" w:line="255" w:lineRule="auto"/>
        <w:tabs>
          <w:tab w:leader="none" w:pos="1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corporation, partnership, limited liability company or other business entity, any transfers (i) to another corporation, partnership, limited liability company or other business entity that is an affiliate (as defined in Rule 405 under the Securities Act of 1933, as amended) of the holder, or to any investment fund or other entity which fund or entity is controlled or managed by the holder or affiliates of the holder, or (ii) as part of a distribution by the holder to its stockholders, partners, members or other equityholders or to the estate of any such stockholders, partners, members or other equityholders;</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transfers by operation of law, such as pursuant to a qualified domestic order, divorce settlement, divorce decree or separation agreement;</w:t>
      </w:r>
    </w:p>
    <w:p>
      <w:pPr>
        <w:spacing w:after="0" w:line="6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transfers to us from any of our employees upon death, disability or termination of employment, in each case, of such employee;</w:t>
      </w:r>
    </w:p>
    <w:p>
      <w:pPr>
        <w:spacing w:after="0" w:line="67" w:lineRule="exact"/>
        <w:rPr>
          <w:rFonts w:ascii="Times New Roman" w:cs="Times New Roman" w:eastAsia="Times New Roman" w:hAnsi="Times New Roman"/>
          <w:sz w:val="18"/>
          <w:szCs w:val="18"/>
          <w:color w:val="auto"/>
        </w:rPr>
      </w:pPr>
    </w:p>
    <w:p>
      <w:pPr>
        <w:jc w:val="both"/>
        <w:ind w:left="1980" w:right="419" w:hanging="360"/>
        <w:spacing w:after="0" w:line="254" w:lineRule="auto"/>
        <w:tabs>
          <w:tab w:leader="none" w:pos="1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transfers to us in connection with the vesting, settlement or exercise of restricted stock units, options, warrants or other rights to purchase shares of common stock (including, in each case, by way of “net” or “cashless” exercise),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registration statement, the preliminary prospectus relating to the shares of common stock included in this registration statement immediately prior to the time the underwriting agreement is executed and this prospectus;</w:t>
      </w:r>
    </w:p>
    <w:p>
      <w:pPr>
        <w:spacing w:after="0" w:line="323"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common stock to limited partners or stockholders of the holder;</w:t>
      </w:r>
    </w:p>
    <w:p>
      <w:pPr>
        <w:spacing w:after="0" w:line="67"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or amendment, by the holder, of a trading plan on behalf of any of our shareholders, officers or directors pursuant to Rule 10b5-1 under the Exchange Act for the transfer of shares of common stock, provided that such plan does not provide for the transfer of common stock during the restricted period;</w:t>
      </w:r>
    </w:p>
    <w:p>
      <w:pPr>
        <w:spacing w:after="0" w:line="85"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the holder’s securities to us pursuant to an agreement under which we have the option to repurchase shares or a right of first refusal with respect to transfer of such shares;</w:t>
      </w:r>
    </w:p>
    <w:p>
      <w:pPr>
        <w:spacing w:after="0" w:line="67" w:lineRule="exact"/>
        <w:rPr>
          <w:rFonts w:ascii="Times New Roman" w:cs="Times New Roman" w:eastAsia="Times New Roman" w:hAnsi="Times New Roman"/>
          <w:sz w:val="18"/>
          <w:szCs w:val="18"/>
          <w:color w:val="auto"/>
        </w:rPr>
      </w:pPr>
    </w:p>
    <w:p>
      <w:pPr>
        <w:jc w:val="both"/>
        <w:ind w:left="1980" w:right="419" w:hanging="360"/>
        <w:spacing w:after="0" w:line="275" w:lineRule="auto"/>
        <w:tabs>
          <w:tab w:leader="none" w:pos="1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of our outstanding preferred stock into shares of common stock, provided that any such shares received upon such conversion shall remain subject to the provisions of this agreement;</w:t>
      </w:r>
    </w:p>
    <w:p>
      <w:pPr>
        <w:spacing w:after="0" w:line="295"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or reclassifications of a class or series of common stock into another class or series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spacing w:after="0" w:line="258" w:lineRule="auto"/>
        <w:rPr>
          <w:sz w:val="20"/>
          <w:szCs w:val="20"/>
          <w:color w:val="auto"/>
        </w:rPr>
      </w:pPr>
      <w:r>
        <w:rPr>
          <w:rFonts w:ascii="Times New Roman" w:cs="Times New Roman" w:eastAsia="Times New Roman" w:hAnsi="Times New Roman"/>
          <w:sz w:val="18"/>
          <w:szCs w:val="18"/>
          <w:color w:val="auto"/>
        </w:rPr>
        <w:t>common stock (including the conversion of shares of non-voting common stock into shares of voting common stock and vice versa), it being understood that any such shares received by the holder upon such conversion shall be subject to the provisions of this agreement; or</w:t>
      </w:r>
    </w:p>
    <w:p>
      <w:pPr>
        <w:spacing w:after="0" w:line="75" w:lineRule="exact"/>
        <w:rPr>
          <w:sz w:val="20"/>
          <w:szCs w:val="20"/>
          <w:color w:val="auto"/>
        </w:rPr>
      </w:pPr>
    </w:p>
    <w:p>
      <w:pPr>
        <w:jc w:val="both"/>
        <w:ind w:left="1980" w:right="419" w:hanging="360"/>
        <w:spacing w:after="0" w:line="253" w:lineRule="auto"/>
        <w:tabs>
          <w:tab w:leader="none" w:pos="1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the holder’s common stock or other security in connection with a bona fide third-party tender offer, merger, consolidation or other similar transaction that is approved by the board of directors of the Company and made to all holders of our capital stock involving a Change of Control (for purposes hereof,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our outstanding voting securities (or the surviving entity)); provided that in the event that such tender offer, merger, consolidation or other similar transaction is not completed, the holder’s common stock or other security shall remain subject to the provisions of the lock-up agreement;</w:t>
      </w:r>
    </w:p>
    <w:p>
      <w:pPr>
        <w:spacing w:after="0" w:line="113"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provided that (1) in the case of clauses (b)(i), (ii), (iii), (iv) and (v) and (c) above, such transfer or distribution shall not involve a disposition for value, (2) in the case of clauses (b)(i), (ii), (iii), (iv) and (v), (c), (d) and (g) above, it shall be a condition to the transfer or distribution that the donee, devisee, transferee or distributee, as the case may be, shall sign and deliver a lock-up agreement in the form of the lock-up agreement, (3) in the case of clauses (b)(ii), (iii), (iv), and (v) and (c) and (g) above, no filing by any party (including, without limitation, any donor, donee, devisee, transferor, transferee, distributor or distributee) under the Exchange Act, or other public filing, report or announcement reporting a reduction in beneficial ownership of securities shall be required or shall be voluntarily made in connection with such transfer or distribution, and (4) in the case of clauses (a), (b)(i), (d), (e), (f), (h) and (i)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(1) the circumstances of such transfer or distribution and (2) in the case of a transfer or distribution pursuant to clauses (b)(i) or (d) above, that the donee, devisee, transferee or distributee has agreed to be bound by a lock-up agreement in the form of the lock-up agreement.</w:t>
      </w:r>
    </w:p>
    <w:p>
      <w:pPr>
        <w:spacing w:after="0" w:line="31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Morgan Stanley &amp; Co. LLC, in its sole discretion, may release the common stock and other securities subject to the lock-up agreements described above in whole or in part at any time.</w:t>
      </w:r>
    </w:p>
    <w:p>
      <w:pPr>
        <w:spacing w:after="0" w:line="81"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31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81"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ectPr>
          <w:pgSz w:w="11900" w:h="16838" w:orient="portrait"/>
          <w:cols w:equalWidth="0" w:num="1">
            <w:col w:w="9879"/>
          </w:cols>
          <w:pgMar w:left="580" w:top="97" w:right="1440" w:bottom="1440" w:gutter="0" w:footer="0" w:header="0"/>
        </w:sect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48"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01"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35"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35"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29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83"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shares must observe such Australian on-sale restrictions.</w:t>
      </w:r>
    </w:p>
    <w:p>
      <w:pPr>
        <w:spacing w:after="0" w:line="9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made in accordance with an exemption from, or in a transaction not subject to, the prospectus requirements of applicable securities laws.</w:t>
      </w:r>
    </w:p>
    <w:p>
      <w:pPr>
        <w:spacing w:after="0" w:line="101"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1"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3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4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94" w:lineRule="exact"/>
        <w:rPr>
          <w:sz w:val="20"/>
          <w:szCs w:val="20"/>
          <w:color w:val="auto"/>
        </w:rPr>
      </w:pPr>
    </w:p>
    <w:p>
      <w:pPr>
        <w:ind w:left="1980" w:hanging="360"/>
        <w:spacing w:after="0"/>
        <w:tabs>
          <w:tab w:leader="none" w:pos="1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 or</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3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 to publish a prospectus pursuant to Article 3 of the Prospectus Regulation or supplement a prospectus pursuant to Article 23 of the Prospectus Regulation.</w:t>
      </w:r>
    </w:p>
    <w:p>
      <w:pPr>
        <w:spacing w:after="0" w:line="8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jc w:val="both"/>
        <w:ind w:left="1980" w:right="419" w:hanging="360"/>
        <w:spacing w:after="0" w:line="282" w:lineRule="auto"/>
        <w:tabs>
          <w:tab w:leader="none" w:pos="19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spacing w:after="0" w:line="258" w:lineRule="auto"/>
        <w:rPr>
          <w:sz w:val="20"/>
          <w:szCs w:val="20"/>
          <w:color w:val="auto"/>
        </w:rPr>
      </w:pPr>
      <w:r>
        <w:rPr>
          <w:rFonts w:ascii="Times New Roman" w:cs="Times New Roman" w:eastAsia="Times New Roman" w:hAnsi="Times New Roman"/>
          <w:sz w:val="18"/>
          <w:szCs w:val="18"/>
          <w:color w:val="auto"/>
        </w:rPr>
        <w:t>Section 21 of the Financial Services and Markets Act 2000 (“FSMA”) received by it in connection with the issue or sale of our shares of common stock in circumstances in which Section 21(1) of the FSMA does not apply to us; and</w:t>
      </w:r>
    </w:p>
    <w:p>
      <w:pPr>
        <w:spacing w:after="0" w:line="75" w:lineRule="exact"/>
        <w:rPr>
          <w:sz w:val="20"/>
          <w:szCs w:val="20"/>
          <w:color w:val="auto"/>
        </w:rPr>
      </w:pPr>
    </w:p>
    <w:p>
      <w:pPr>
        <w:jc w:val="both"/>
        <w:ind w:left="1980" w:right="419" w:hanging="360"/>
        <w:spacing w:after="0" w:line="266" w:lineRule="auto"/>
        <w:tabs>
          <w:tab w:leader="none" w:pos="19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common stock in, from or otherwise involving the United Kingdom.</w:t>
      </w:r>
    </w:p>
    <w:p>
      <w:pPr>
        <w:spacing w:after="0" w:line="9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96" w:lineRule="exact"/>
        <w:rPr>
          <w:sz w:val="20"/>
          <w:szCs w:val="20"/>
          <w:color w:val="auto"/>
        </w:rPr>
      </w:pPr>
    </w:p>
    <w:p>
      <w:pPr>
        <w:ind w:left="1980" w:right="419" w:hanging="360"/>
        <w:spacing w:after="0" w:line="282" w:lineRule="auto"/>
        <w:tabs>
          <w:tab w:leader="none" w:pos="19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 (as defined below);</w:t>
      </w:r>
    </w:p>
    <w:p>
      <w:pPr>
        <w:spacing w:after="0" w:line="67"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8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4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provided that no such offer of the shares shall require us or any of the representative to publish a prospectus pursuant to Section 85 of the FSMA or supplement a prospectus pursuant to Article 23 of the UK Prospectus Regulation.</w:t>
      </w:r>
    </w:p>
    <w:p>
      <w:pPr>
        <w:spacing w:after="0" w:line="96"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0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This prospectus is only for distribution to and directed at: (i) in the United Kingdom, persons having professional experience in matters relating to investments falling within Article 19(5) of the Financial Services and Markets Act 2000 (Financial Promotion) Order 2005, as amended (the Order), and high net worth entities falling within Article 49(2)(a) to (d) of the Order; (ii) persons who are outside the United Kingdom; and (iii) any other person to whom it can otherwise be lawfully distributed (all such persons together, Relevant Persons). Any investment or investment activity to which this prospectus relates is available only to and will be engaged in only with Relevant Persons, and any person who is not a Relevant Person should not rely on it.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4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35" w:lineRule="exact"/>
        <w:rPr>
          <w:sz w:val="20"/>
          <w:szCs w:val="20"/>
          <w:color w:val="auto"/>
        </w:rPr>
      </w:pPr>
    </w:p>
    <w:p>
      <w:pPr>
        <w:jc w:val="both"/>
        <w:ind w:left="1260" w:right="419"/>
        <w:spacing w:after="0" w:line="214" w:lineRule="exact"/>
        <w:rPr>
          <w:sz w:val="20"/>
          <w:szCs w:val="20"/>
          <w:color w:val="auto"/>
        </w:rPr>
      </w:pPr>
      <w:r>
        <w:rPr>
          <w:rFonts w:ascii="Times New Roman" w:cs="Times New Roman" w:eastAsia="Times New Roman" w:hAnsi="Times New Roman"/>
          <w:sz w:val="18"/>
          <w:szCs w:val="18"/>
          <w:color w:val="auto"/>
        </w:rPr>
        <w:t xml:space="preserve">In the State of Israel this prospectus shall not be regarded as an offer to the public to purchase shares of common stock under the Israeli Securities Law, 5728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1968, which requires a prospectus to be published and authorized by the Israel Securities Authority, if it complies with certain provisions of Section 15 of the Israeli Securities Law, 5728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1968, including if: (i) the offer is made, distributed or directed to not more than 35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20" w:lineRule="exact"/>
        <w:rPr>
          <w:sz w:val="20"/>
          <w:szCs w:val="20"/>
          <w:color w:val="auto"/>
        </w:rPr>
      </w:pPr>
      <w:r>
        <w:rPr>
          <w:rFonts w:ascii="Times New Roman" w:cs="Times New Roman" w:eastAsia="Times New Roman" w:hAnsi="Times New Roman"/>
          <w:sz w:val="18"/>
          <w:szCs w:val="18"/>
          <w:color w:val="auto"/>
        </w:rPr>
        <w:t xml:space="preserve">investors, subject to certain conditions (the Addressed Investors); or (ii) the offer is made, distributed or directed to certain qualified investors defined in the First Addendum of the Israeli Securities Law, 5728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1968, subject to certain conditions (the Qualified Investors). The Qualified Investors shall not be taken into account in the count of the Addressed Investors and may be offered to purchase shares of common stock in addition to the 35 Addressed Investors. The company has not and will not take any action that would require it to publish a prospectus in accordance with and subject to the Israeli Securities Law, 5728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1968. We have not and will not distribute this prospectus or make, distribute or direct an offer to subscribe for our shares of common stock to any person within the State of Israel, other than to Qualified Investors and up to 35 Addressed Investors.</w:t>
      </w:r>
    </w:p>
    <w:p>
      <w:pPr>
        <w:spacing w:after="0" w:line="327" w:lineRule="exact"/>
        <w:rPr>
          <w:sz w:val="20"/>
          <w:szCs w:val="20"/>
          <w:color w:val="auto"/>
        </w:rPr>
      </w:pPr>
    </w:p>
    <w:p>
      <w:pPr>
        <w:jc w:val="both"/>
        <w:ind w:left="1260" w:right="419"/>
        <w:spacing w:after="0" w:line="219" w:lineRule="exact"/>
        <w:rPr>
          <w:sz w:val="20"/>
          <w:szCs w:val="20"/>
          <w:color w:val="auto"/>
        </w:rPr>
      </w:pPr>
      <w:r>
        <w:rPr>
          <w:rFonts w:ascii="Times New Roman" w:cs="Times New Roman" w:eastAsia="Times New Roman" w:hAnsi="Times New Roman"/>
          <w:sz w:val="18"/>
          <w:szCs w:val="18"/>
          <w:color w:val="auto"/>
        </w:rPr>
        <w:t xml:space="preserve">Qualified Investors may have to submit written evidence that they meet the definitions set out in of the First Addendum to the Israeli Securities Law, 5728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1968; (ii) which of the categories listed in the First Addendum to the Israeli Securities Law, 5728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1968 regarding Qualified Investors is applicable to it;</w:t>
      </w:r>
    </w:p>
    <w:p>
      <w:pPr>
        <w:jc w:val="both"/>
        <w:ind w:left="1260" w:right="419"/>
        <w:spacing w:after="0" w:line="219" w:lineRule="exact"/>
        <w:tabs>
          <w:tab w:leader="none" w:pos="164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it will abide by all provisions set forth in the Israeli Securities Law, 5728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1968 and the regulations promulgated thereunder in connection with the offer to be issued shares of common stock;</w:t>
      </w:r>
    </w:p>
    <w:p>
      <w:pPr>
        <w:jc w:val="both"/>
        <w:ind w:left="1260" w:right="419"/>
        <w:spacing w:after="0" w:line="216" w:lineRule="exact"/>
        <w:tabs>
          <w:tab w:leader="none" w:pos="160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the shares of common stock that it will be issued are, subject to exemptions available under the Israeli Securities Law, 5728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1968: (a) for its own account; (b) for investment purposes only; and (c) not issued with a view to resale within the State of Israel, other than in accordance with the provisions of the Israeli Securities Law, 5728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3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(as defined below)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means any person resident in Japan, including any corporation or other entity organized under the laws of Japan.</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3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shares of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0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w:t>
      </w:r>
    </w:p>
    <w:p>
      <w:pPr>
        <w:spacing w:after="0" w:line="67" w:lineRule="exact"/>
        <w:rPr>
          <w:sz w:val="20"/>
          <w:szCs w:val="20"/>
          <w:color w:val="auto"/>
        </w:rPr>
      </w:pPr>
    </w:p>
    <w:p>
      <w:pPr>
        <w:jc w:val="both"/>
        <w:ind w:left="1980" w:right="419" w:hanging="360"/>
        <w:spacing w:after="0" w:line="266" w:lineRule="auto"/>
        <w:tabs>
          <w:tab w:leader="none" w:pos="1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hanging="360"/>
        <w:spacing w:after="0" w:line="282" w:lineRule="auto"/>
        <w:tabs>
          <w:tab w:leader="none" w:pos="1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8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5" w:lineRule="exact"/>
        <w:rPr>
          <w:sz w:val="20"/>
          <w:szCs w:val="20"/>
          <w:color w:val="auto"/>
        </w:rPr>
      </w:pPr>
    </w:p>
    <w:p>
      <w:pPr>
        <w:ind w:left="1980" w:right="419" w:hanging="360"/>
        <w:spacing w:after="0" w:line="282" w:lineRule="auto"/>
        <w:tabs>
          <w:tab w:leader="none" w:pos="1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3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3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p>
    <w:p>
      <w:pPr>
        <w:spacing w:after="0" w:line="10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Neither this prospectus nor any other offering or marketing material relating to us, the offering, or the shares have been or will be filed with or approved by any Swiss regulatory authority. In particular, this prospectus will not be filed with, and the offering of shares will not be supervised by, the Swiss Financial Market Supervisory Authority FINMA, and the offering of shares has not been and will not be authorized under the Swiss Federal Act on Collective Investment Schemes (the CISA). The investor protection afforded to acquirers of interests in collective investment schemes under the CISA does not extend to acquirers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validity of the shares of our common stock being offered in this prospectus will be passed upon for us by Cooley LLP. Certain legal matters in connection with this offering will be passed upon for the underwriters by Latham &amp; Watkins LLP. As of the date of this prospectus, GC&amp;H Investments, LLC, an entity comprised of partners and associates of Cooley LLP, beneficially owns             shares of common stock issuable upon the conversion of our redeemable convertible preferred stock.</w:t>
      </w:r>
    </w:p>
    <w:p>
      <w:pPr>
        <w:spacing w:after="0" w:line="17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financial statements as of December 31, 2022 and December 31, 2023 and for each of the two years in the period ended December 31, 2023 included in this Prospectus have been so included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7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www.sec.gov.</w:t>
      </w:r>
    </w:p>
    <w:p>
      <w:pPr>
        <w:spacing w:after="0" w:line="1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www.alumis.com. Upon the completion of this offering, you may access these materials free of charge as soon as reasonably practicable after they are electronically filed with, or furnished to, the SEC. The information contained in or accessible through our website is not part of this prospectus or the registration statement of which this prospectus forms a part, and investors should not rely on such information in making a decision to purchase our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43" w:lineRule="exact"/>
        <w:rPr>
          <w:sz w:val="20"/>
          <w:szCs w:val="20"/>
          <w:color w:val="auto"/>
        </w:rPr>
      </w:pPr>
    </w:p>
    <w:p>
      <w:pPr>
        <w:jc w:val="both"/>
        <w:ind w:left="1260"/>
        <w:spacing w:after="0"/>
        <w:tabs>
          <w:tab w:leader="none" w:pos="88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Page</w:t>
      </w:r>
      <w:r>
        <w:rPr>
          <w:rFonts w:ascii="Times New Roman" w:cs="Times New Roman" w:eastAsia="Times New Roman" w:hAnsi="Times New Roman"/>
          <w:sz w:val="14"/>
          <w:szCs w:val="14"/>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521208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Audited Financial Statements as of and for the Years Ended December 31, 2022 and 2023</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Consolidated Balance Sheets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Redeemable Convertible Preferred Stock and Stockholders’ Deficit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Consolidated Financial Statements</w:t>
      </w:r>
    </w:p>
    <w:p>
      <w:pPr>
        <w:spacing w:after="0" w:line="154" w:lineRule="exact"/>
        <w:rPr>
          <w:sz w:val="20"/>
          <w:szCs w:val="20"/>
          <w:color w:val="auto"/>
        </w:rPr>
      </w:pPr>
    </w:p>
    <w:p>
      <w:pPr>
        <w:ind w:left="14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Unaudited Condensed Financial Statements as of and for the Three Months Ended March 31,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2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0000EE"/>
            </w:tcBorders>
            <w:gridSpan w:val="2"/>
          </w:tcPr>
          <w:p>
            <w:pPr>
              <w:spacing w:after="0" w:line="174" w:lineRule="exact"/>
              <w:rPr>
                <w:sz w:val="20"/>
                <w:szCs w:val="20"/>
                <w:color w:val="auto"/>
              </w:rPr>
            </w:pPr>
            <w:r>
              <w:rPr>
                <w:rFonts w:ascii="Times New Roman" w:cs="Times New Roman" w:eastAsia="Times New Roman" w:hAnsi="Times New Roman"/>
                <w:sz w:val="18"/>
                <w:szCs w:val="18"/>
                <w:color w:val="0000EE"/>
                <w:w w:val="95"/>
              </w:rPr>
              <w:t>F-2</w:t>
            </w:r>
          </w:p>
        </w:tc>
        <w:tc>
          <w:tcPr>
            <w:tcW w:w="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23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F-3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F-4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F-5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F-6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7"/>
              </w:rPr>
              <w:t>F-7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615"/>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35" w:lineRule="exact"/>
        <w:rPr>
          <w:sz w:val="20"/>
          <w:szCs w:val="20"/>
          <w:color w:val="auto"/>
        </w:rPr>
      </w:pPr>
    </w:p>
    <w:p>
      <w:pPr>
        <w:sectPr>
          <w:pgSz w:w="11900" w:h="16838" w:orient="portrait"/>
          <w:cols w:equalWidth="0" w:num="2">
            <w:col w:w="8820" w:space="100"/>
            <w:col w:w="95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Condensed Consolidated Balance Sheets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Condensed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0"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Condensed Consolidated Statements of Redeemable Convertible Preferred Stock and Stockholders’ Deficit</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Condensed Consolidated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F-35</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F-36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8760" w:space="160"/>
            <w:col w:w="9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2359" w:firstLine="1951"/>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Alumis Inc.</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Alumis Inc. and its subsidiaries (the “Company”) as of December 31, 2023 and 2022,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146"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negative operating cash flows and significant losses from operations since its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62"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36"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31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10, 2024</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December 31, December 31,</w:t>
            </w:r>
          </w:p>
        </w:tc>
        <w:tc>
          <w:tcPr>
            <w:tcW w:w="0" w:type="dxa"/>
            <w:vAlign w:val="bottom"/>
          </w:tcPr>
          <w:p>
            <w:pPr>
              <w:spacing w:after="0"/>
              <w:rPr>
                <w:sz w:val="1"/>
                <w:szCs w:val="1"/>
                <w:color w:val="auto"/>
              </w:rPr>
            </w:pPr>
          </w:p>
        </w:tc>
      </w:tr>
      <w:tr>
        <w:trPr>
          <w:trHeight w:val="20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(in thousands, except share and per share amounts)</w:t>
            </w:r>
          </w:p>
        </w:tc>
        <w:tc>
          <w:tcPr>
            <w:tcW w:w="346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6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45,996</w:t>
            </w:r>
          </w:p>
        </w:tc>
        <w:tc>
          <w:tcPr>
            <w:tcW w:w="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 prepaid expenses</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2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8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4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​102,555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w:t>
            </w:r>
          </w:p>
        </w:tc>
        <w:tc>
          <w:tcPr>
            <w:tcW w:w="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tcBorders>
              <w:right w:val="single" w:sz="8" w:color="CCEEFF"/>
            </w:tcBorders>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$ 108,168</w:t>
            </w:r>
          </w:p>
        </w:tc>
        <w:tc>
          <w:tcPr>
            <w:tcW w:w="28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89,612</w:t>
            </w:r>
          </w:p>
        </w:tc>
        <w:tc>
          <w:tcPr>
            <w:tcW w:w="4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gridSpan w:val="2"/>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63"/>
        </w:trPr>
        <w:tc>
          <w:tcPr>
            <w:tcW w:w="6480" w:type="dxa"/>
            <w:vAlign w:val="bottom"/>
            <w:gridSpan w:val="2"/>
            <w:vMerge w:val="continue"/>
          </w:tcPr>
          <w:p>
            <w:pPr>
              <w:spacing w:after="0"/>
              <w:rPr>
                <w:sz w:val="14"/>
                <w:szCs w:val="14"/>
                <w:color w:val="auto"/>
              </w:rPr>
            </w:pPr>
          </w:p>
        </w:tc>
        <w:tc>
          <w:tcPr>
            <w:tcW w:w="24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accrued expenses</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4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20,871</w:t>
            </w:r>
          </w:p>
        </w:tc>
        <w:tc>
          <w:tcPr>
            <w:tcW w:w="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30,860</w:t>
            </w:r>
          </w:p>
        </w:tc>
        <w:tc>
          <w:tcPr>
            <w:tcW w:w="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repurchase liability</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gridSpan w:val="2"/>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17,937</w:t>
            </w:r>
          </w:p>
        </w:tc>
        <w:tc>
          <w:tcPr>
            <w:tcW w:w="28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53,502</w:t>
            </w:r>
          </w:p>
        </w:tc>
        <w:tc>
          <w:tcPr>
            <w:tcW w:w="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convertible preferred stock, $0.0001 par value; 67,960,088 and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89,016,578 shares authorized as of December 31, 2022 and 2023, respectively;</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67,960,088 and 85,960,088 shares issued and outstanding as of December 31, 2022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2023, respectively; aggregate liquidation preference of $280,540 and $370,540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of December 31, 2022 and 2023, respectively</w:t>
            </w: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 ​285,473 ​​ ​375,370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100,000,000 and 125,000,000 Class A shares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authorized as of December 31, 2022 and 2023, respectively; 12,353,021 and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12,510,338 Class A shares issued and outstanding as of December 31, 2022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and 2023, respectively; 67,960,088 and 85,960,088 Class B shares authorized as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 December 31, 2022 and 2023, respectively; no Class B shares issued and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2022 and 2023</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720" w:type="dxa"/>
            <w:vAlign w:val="bottom"/>
            <w:gridSpan w:val="7"/>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​(209,325)</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​(364,318)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780" w:type="dxa"/>
            <w:vAlign w:val="bottom"/>
            <w:gridSpan w:val="8"/>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​(195,242)</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​(339,260)</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840" w:type="dxa"/>
            <w:vAlign w:val="bottom"/>
            <w:tcBorders>
              <w:right w:val="single" w:sz="8" w:color="CCEEFF"/>
            </w:tcBorders>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$ 108,168</w:t>
            </w:r>
          </w:p>
        </w:tc>
        <w:tc>
          <w:tcPr>
            <w:tcW w:w="28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89,612</w:t>
            </w:r>
          </w:p>
        </w:tc>
        <w:tc>
          <w:tcPr>
            <w:tcW w:w="4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-6394450</wp:posOffset>
            </wp:positionV>
            <wp:extent cx="5212080" cy="146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-393700</wp:posOffset>
            </wp:positionV>
            <wp:extent cx="342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-393700</wp:posOffset>
            </wp:positionV>
            <wp:extent cx="342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-2699385</wp:posOffset>
            </wp:positionV>
            <wp:extent cx="52120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-2879725</wp:posOffset>
            </wp:positionV>
            <wp:extent cx="342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-2879725</wp:posOffset>
            </wp:positionV>
            <wp:extent cx="342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-3496945</wp:posOffset>
            </wp:positionV>
            <wp:extent cx="342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-3496945</wp:posOffset>
            </wp:positionV>
            <wp:extent cx="342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-4585335</wp:posOffset>
            </wp:positionV>
            <wp:extent cx="52120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-5348605</wp:posOffset>
            </wp:positionV>
            <wp:extent cx="342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-5348605</wp:posOffset>
            </wp:positionV>
            <wp:extent cx="342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5"/>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80" w:type="dxa"/>
            <w:vAlign w:val="bottom"/>
          </w:tcPr>
          <w:p>
            <w:pPr>
              <w:spacing w:after="0"/>
              <w:rPr>
                <w:sz w:val="14"/>
                <w:szCs w:val="14"/>
                <w:color w:val="auto"/>
              </w:rPr>
            </w:pPr>
          </w:p>
        </w:tc>
        <w:tc>
          <w:tcPr>
            <w:tcW w:w="800" w:type="dxa"/>
            <w:vAlign w:val="bottom"/>
            <w:gridSpan w:val="2"/>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(in thousands, except share and per share amounts)</w:t>
            </w:r>
          </w:p>
        </w:tc>
        <w:tc>
          <w:tcPr>
            <w:tcW w:w="310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p>
        </w:tc>
        <w:tc>
          <w:tcPr>
            <w:tcW w:w="700" w:type="dxa"/>
            <w:vAlign w:val="bottom"/>
            <w:tcBorders>
              <w:right w:val="single" w:sz="8" w:color="CCEEFF"/>
            </w:tcBorders>
            <w:shd w:val="clear" w:color="auto" w:fill="CCEEFF"/>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 including related party expenses of $1,570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$1,519 for the years ended December 31, 2022 and 2023, respectively</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101,304​​ ​​$</w:t>
            </w:r>
          </w:p>
        </w:tc>
        <w:tc>
          <w:tcPr>
            <w:tcW w:w="10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137,676​</w:t>
            </w:r>
          </w:p>
        </w:tc>
        <w:tc>
          <w:tcPr>
            <w:tcW w:w="0" w:type="dxa"/>
            <w:vAlign w:val="bottom"/>
          </w:tcPr>
          <w:p>
            <w:pPr>
              <w:spacing w:after="0"/>
              <w:rPr>
                <w:sz w:val="1"/>
                <w:szCs w:val="1"/>
                <w:color w:val="auto"/>
              </w:rPr>
            </w:pPr>
          </w:p>
        </w:tc>
      </w:tr>
      <w:tr>
        <w:trPr>
          <w:trHeight w:val="270"/>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gridSpan w:val="3"/>
            <w:shd w:val="clear" w:color="auto" w:fill="CCEEFF"/>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94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12,546</w:t>
            </w:r>
            <w:r>
              <w:rPr>
                <w:rFonts w:ascii="Times New Roman" w:cs="Times New Roman" w:eastAsia="Times New Roman" w:hAnsi="Times New Roman"/>
                <w:sz w:val="31"/>
                <w:szCs w:val="31"/>
                <w:color w:val="auto"/>
                <w:vertAlign w:val="subscript"/>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9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113,850</w:t>
            </w:r>
            <w:r>
              <w:rPr>
                <w:rFonts w:ascii="Times New Roman" w:cs="Times New Roman" w:eastAsia="Times New Roman" w:hAnsi="Times New Roman"/>
                <w:sz w:val="30"/>
                <w:szCs w:val="30"/>
                <w:color w:val="auto"/>
                <w:vertAlign w:val="subscript"/>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158,174</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4"/>
            <w:shd w:val="clear" w:color="auto" w:fill="CCEEFF"/>
          </w:tcPr>
          <w:p>
            <w:pPr>
              <w:jc w:val="right"/>
              <w:ind w:right="88"/>
              <w:spacing w:after="0" w:line="196" w:lineRule="exact"/>
              <w:rPr>
                <w:sz w:val="20"/>
                <w:szCs w:val="20"/>
                <w:color w:val="auto"/>
              </w:rPr>
            </w:pPr>
            <w:r>
              <w:rPr>
                <w:rFonts w:ascii="Times New Roman" w:cs="Times New Roman" w:eastAsia="Times New Roman" w:hAnsi="Times New Roman"/>
                <w:sz w:val="18"/>
                <w:szCs w:val="18"/>
                <w:color w:val="auto"/>
              </w:rPr>
              <w:t>​ (113,850)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(158,174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3100" w:type="dxa"/>
            <w:vAlign w:val="bottom"/>
            <w:shd w:val="clear" w:color="auto" w:fill="CCEEFF"/>
          </w:tcPr>
          <w:p>
            <w:pPr>
              <w:spacing w:after="0"/>
              <w:rPr>
                <w:sz w:val="4"/>
                <w:szCs w:val="4"/>
                <w:color w:val="auto"/>
              </w:rPr>
            </w:pPr>
          </w:p>
        </w:tc>
        <w:tc>
          <w:tcPr>
            <w:tcW w:w="26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8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7"/>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spacing w:after="0"/>
              <w:rPr>
                <w:sz w:val="22"/>
                <w:szCs w:val="22"/>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3"/>
        </w:trPr>
        <w:tc>
          <w:tcPr>
            <w:tcW w:w="612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Other income (expenses), net</w:t>
            </w: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7"/>
                <w:szCs w:val="17"/>
                <w:color w:val="auto"/>
              </w:rPr>
            </w:pPr>
          </w:p>
        </w:tc>
        <w:tc>
          <w:tcPr>
            <w:tcW w:w="460" w:type="dxa"/>
            <w:vAlign w:val="bottom"/>
            <w:tcBorders>
              <w:right w:val="single" w:sz="8" w:color="CCEEFF"/>
            </w:tcBorders>
            <w:gridSpan w:val="2"/>
            <w:shd w:val="clear" w:color="auto" w:fill="CCEEFF"/>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w w:val="99"/>
              </w:rPr>
              <w:t>(72)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020" w:type="dxa"/>
            <w:vAlign w:val="bottom"/>
            <w:shd w:val="clear" w:color="auto" w:fill="CCEEFF"/>
          </w:tcPr>
          <w:p>
            <w:pPr>
              <w:spacing w:after="0"/>
              <w:rPr>
                <w:sz w:val="5"/>
                <w:szCs w:val="5"/>
                <w:color w:val="auto"/>
              </w:rPr>
            </w:pPr>
          </w:p>
        </w:tc>
        <w:tc>
          <w:tcPr>
            <w:tcW w:w="3100" w:type="dxa"/>
            <w:vAlign w:val="bottom"/>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shd w:val="clear" w:color="auto" w:fill="CCEEFF"/>
          </w:tcPr>
          <w:p>
            <w:pPr>
              <w:spacing w:after="0"/>
              <w:rPr>
                <w:sz w:val="5"/>
                <w:szCs w:val="5"/>
                <w:color w:val="auto"/>
              </w:rPr>
            </w:pPr>
          </w:p>
        </w:tc>
        <w:tc>
          <w:tcPr>
            <w:tcW w:w="700" w:type="dxa"/>
            <w:vAlign w:val="bottom"/>
            <w:tcBorders>
              <w:right w:val="single" w:sz="8" w:color="CCEEFF"/>
            </w:tcBorders>
            <w:shd w:val="clear" w:color="auto" w:fill="CCEEFF"/>
          </w:tcPr>
          <w:p>
            <w:pPr>
              <w:spacing w:after="0"/>
              <w:rPr>
                <w:sz w:val="5"/>
                <w:szCs w:val="5"/>
                <w:color w:val="auto"/>
              </w:rPr>
            </w:pPr>
          </w:p>
        </w:tc>
        <w:tc>
          <w:tcPr>
            <w:tcW w:w="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9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1,920</w:t>
            </w:r>
            <w:r>
              <w:rPr>
                <w:rFonts w:ascii="Times New Roman" w:cs="Times New Roman" w:eastAsia="Times New Roman" w:hAnsi="Times New Roman"/>
                <w:sz w:val="30"/>
                <w:szCs w:val="30"/>
                <w:color w:val="auto"/>
                <w:vertAlign w:val="subscript"/>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3,181</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3"/>
            <w:shd w:val="clear" w:color="auto" w:fill="CCEEFF"/>
          </w:tcPr>
          <w:p>
            <w:pPr>
              <w:jc w:val="right"/>
              <w:ind w:right="88"/>
              <w:spacing w:after="0" w:line="196" w:lineRule="exact"/>
              <w:rPr>
                <w:sz w:val="20"/>
                <w:szCs w:val="20"/>
                <w:color w:val="auto"/>
              </w:rPr>
            </w:pPr>
            <w:r>
              <w:rPr>
                <w:rFonts w:ascii="Times New Roman" w:cs="Times New Roman" w:eastAsia="Times New Roman" w:hAnsi="Times New Roman"/>
                <w:sz w:val="18"/>
                <w:szCs w:val="18"/>
                <w:color w:val="auto"/>
                <w:w w:val="99"/>
              </w:rPr>
              <w:t>(111,930)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(154,993)</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20" w:type="dxa"/>
            <w:vAlign w:val="bottom"/>
            <w:shd w:val="clear" w:color="auto" w:fill="CCEEFF"/>
          </w:tcPr>
          <w:p>
            <w:pPr>
              <w:spacing w:after="0"/>
              <w:rPr>
                <w:sz w:val="5"/>
                <w:szCs w:val="5"/>
                <w:color w:val="auto"/>
              </w:rPr>
            </w:pPr>
          </w:p>
        </w:tc>
        <w:tc>
          <w:tcPr>
            <w:tcW w:w="3100" w:type="dxa"/>
            <w:vAlign w:val="bottom"/>
            <w:shd w:val="clear" w:color="auto" w:fill="CCEEFF"/>
          </w:tcPr>
          <w:p>
            <w:pPr>
              <w:spacing w:after="0"/>
              <w:rPr>
                <w:sz w:val="5"/>
                <w:szCs w:val="5"/>
                <w:color w:val="auto"/>
              </w:rPr>
            </w:pPr>
          </w:p>
        </w:tc>
        <w:tc>
          <w:tcPr>
            <w:tcW w:w="260" w:type="dxa"/>
            <w:vAlign w:val="bottom"/>
            <w:gridSpan w:val="2"/>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shd w:val="clear" w:color="auto" w:fill="CCEEFF"/>
          </w:tcPr>
          <w:p>
            <w:pPr>
              <w:spacing w:after="0"/>
              <w:rPr>
                <w:sz w:val="5"/>
                <w:szCs w:val="5"/>
                <w:color w:val="auto"/>
              </w:rPr>
            </w:pPr>
          </w:p>
        </w:tc>
        <w:tc>
          <w:tcPr>
            <w:tcW w:w="700" w:type="dxa"/>
            <w:vAlign w:val="bottom"/>
            <w:tcBorders>
              <w:right w:val="single" w:sz="8" w:color="CCEEFF"/>
            </w:tcBorders>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12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Unrealized (loss) gain on marketable securities, net</w:t>
            </w: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3"/>
            <w:shd w:val="clear" w:color="auto" w:fill="CCEEFF"/>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129</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20" w:type="dxa"/>
            <w:vAlign w:val="bottom"/>
            <w:shd w:val="clear" w:color="auto" w:fill="CCEEFF"/>
          </w:tcPr>
          <w:p>
            <w:pPr>
              <w:spacing w:after="0"/>
              <w:rPr>
                <w:sz w:val="5"/>
                <w:szCs w:val="5"/>
                <w:color w:val="auto"/>
              </w:rPr>
            </w:pPr>
          </w:p>
        </w:tc>
        <w:tc>
          <w:tcPr>
            <w:tcW w:w="3100" w:type="dxa"/>
            <w:vAlign w:val="bottom"/>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shd w:val="clear" w:color="auto" w:fill="CCEEFF"/>
          </w:tcPr>
          <w:p>
            <w:pPr>
              <w:spacing w:after="0"/>
              <w:rPr>
                <w:sz w:val="5"/>
                <w:szCs w:val="5"/>
                <w:color w:val="auto"/>
              </w:rPr>
            </w:pPr>
          </w:p>
        </w:tc>
        <w:tc>
          <w:tcPr>
            <w:tcW w:w="700" w:type="dxa"/>
            <w:vAlign w:val="bottom"/>
            <w:tcBorders>
              <w:right w:val="single" w:sz="8" w:color="CCEEFF"/>
            </w:tcBorders>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other comprehensive loss</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8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w w:val="99"/>
              </w:rPr>
              <w:t>(112,057)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(154,864)</w:t>
            </w:r>
          </w:p>
        </w:tc>
        <w:tc>
          <w:tcPr>
            <w:tcW w:w="0" w:type="dxa"/>
            <w:vAlign w:val="bottom"/>
          </w:tcPr>
          <w:p>
            <w:pPr>
              <w:spacing w:after="0"/>
              <w:rPr>
                <w:sz w:val="1"/>
                <w:szCs w:val="1"/>
                <w:color w:val="auto"/>
              </w:rPr>
            </w:pPr>
          </w:p>
        </w:tc>
      </w:tr>
      <w:tr>
        <w:trPr>
          <w:trHeight w:val="54"/>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common stockholders, basic and</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61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6120" w:type="dxa"/>
            <w:vAlign w:val="bottom"/>
            <w:gridSpan w:val="2"/>
            <w:vMerge w:val="continue"/>
          </w:tcPr>
          <w:p>
            <w:pPr>
              <w:spacing w:after="0"/>
              <w:rPr>
                <w:sz w:val="15"/>
                <w:szCs w:val="15"/>
                <w:color w:val="auto"/>
              </w:rPr>
            </w:pPr>
          </w:p>
        </w:tc>
        <w:tc>
          <w:tcPr>
            <w:tcW w:w="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5"/>
                <w:szCs w:val="15"/>
                <w:color w:val="auto"/>
              </w:rPr>
            </w:pPr>
          </w:p>
        </w:tc>
        <w:tc>
          <w:tcPr>
            <w:tcW w:w="86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5"/>
                <w:szCs w:val="15"/>
                <w:color w:val="auto"/>
              </w:rPr>
            </w:pP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180"/>
        </w:trPr>
        <w:tc>
          <w:tcPr>
            <w:tcW w:w="612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0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26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Class A common shares outstanding, basic and diluted</w:t>
            </w:r>
          </w:p>
        </w:tc>
        <w:tc>
          <w:tcPr>
            <w:tcW w:w="1280" w:type="dxa"/>
            <w:vAlign w:val="bottom"/>
            <w:gridSpan w:val="7"/>
          </w:tcPr>
          <w:p>
            <w:pPr>
              <w:ind w:left="4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 xml:space="preserve"> ​7,497,622</w:t>
            </w:r>
            <w:r>
              <w:rPr>
                <w:rFonts w:ascii="Times New Roman" w:cs="Times New Roman" w:eastAsia="Times New Roman" w:hAnsi="Times New Roman"/>
                <w:sz w:val="27"/>
                <w:szCs w:val="27"/>
                <w:color w:val="auto"/>
                <w:vertAlign w:val="subscript"/>
              </w:rPr>
              <w:t>​​ ​​</w:t>
            </w:r>
          </w:p>
        </w:tc>
        <w:tc>
          <w:tcPr>
            <w:tcW w:w="86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5"/>
                <w:szCs w:val="15"/>
                <w:color w:val="auto"/>
              </w:rPr>
              <w:t>​10,052,198</w:t>
            </w:r>
            <w:r>
              <w:rPr>
                <w:rFonts w:ascii="Times New Roman" w:cs="Times New Roman" w:eastAsia="Times New Roman" w:hAnsi="Times New Roman"/>
                <w:sz w:val="27"/>
                <w:szCs w:val="27"/>
                <w:color w:val="auto"/>
                <w:vertAlign w:val="subscript"/>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-522605</wp:posOffset>
            </wp:positionV>
            <wp:extent cx="5212080" cy="3086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-1242695</wp:posOffset>
            </wp:positionV>
            <wp:extent cx="463740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-2253615</wp:posOffset>
            </wp:positionV>
            <wp:extent cx="463740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19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3"/>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restart"/>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gridSpan w:val="3"/>
            <w:vMerge w:val="restart"/>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2"/>
            <w:vMerge w:val="restart"/>
          </w:tcPr>
          <w:p>
            <w:pPr>
              <w:jc w:val="right"/>
              <w:ind w:right="25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9"/>
        </w:trPr>
        <w:tc>
          <w:tcPr>
            <w:tcW w:w="2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3"/>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260" w:type="dxa"/>
            <w:vAlign w:val="bottom"/>
          </w:tcPr>
          <w:p>
            <w:pPr>
              <w:spacing w:after="0"/>
              <w:rPr>
                <w:sz w:val="6"/>
                <w:szCs w:val="6"/>
                <w:color w:val="auto"/>
              </w:rPr>
            </w:pP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140" w:type="dxa"/>
            <w:vAlign w:val="bottom"/>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100" w:type="dxa"/>
            <w:vAlign w:val="bottom"/>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140" w:type="dxa"/>
            <w:vAlign w:val="bottom"/>
          </w:tcPr>
          <w:p>
            <w:pPr>
              <w:spacing w:after="0"/>
              <w:rPr>
                <w:sz w:val="11"/>
                <w:szCs w:val="11"/>
                <w:color w:val="auto"/>
              </w:rPr>
            </w:pPr>
          </w:p>
        </w:tc>
        <w:tc>
          <w:tcPr>
            <w:tcW w:w="9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Comprehensive</w:t>
            </w:r>
          </w:p>
        </w:tc>
        <w:tc>
          <w:tcPr>
            <w:tcW w:w="120" w:type="dxa"/>
            <w:vAlign w:val="bottom"/>
          </w:tcPr>
          <w:p>
            <w:pPr>
              <w:spacing w:after="0"/>
              <w:rPr>
                <w:sz w:val="11"/>
                <w:szCs w:val="11"/>
                <w:color w:val="auto"/>
              </w:rPr>
            </w:pPr>
          </w:p>
        </w:tc>
        <w:tc>
          <w:tcPr>
            <w:tcW w:w="8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0" w:type="dxa"/>
            <w:vAlign w:val="bottom"/>
          </w:tcPr>
          <w:p>
            <w:pPr>
              <w:spacing w:after="0"/>
              <w:rPr>
                <w:sz w:val="11"/>
                <w:szCs w:val="11"/>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Stockholders’</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4"/>
            <w:vMerge w:val="restart"/>
          </w:tcPr>
          <w:p>
            <w:pPr>
              <w:jc w:val="center"/>
              <w:spacing w:after="0" w:line="22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Amount</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6"/>
            <w:vMerge w:val="restart"/>
          </w:tcPr>
          <w:p>
            <w:pPr>
              <w:ind w:left="80"/>
              <w:spacing w:after="0" w:line="22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5"/>
                <w:szCs w:val="25"/>
                <w:b w:val="1"/>
                <w:bCs w:val="1"/>
                <w:color w:val="auto"/>
                <w:vertAlign w:val="subscript"/>
              </w:rPr>
              <w:t>​​</w:t>
            </w:r>
          </w:p>
        </w:tc>
        <w:tc>
          <w:tcPr>
            <w:tcW w:w="6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(in thousands, except share amounts)</w:t>
            </w:r>
          </w:p>
        </w:tc>
        <w:tc>
          <w:tcPr>
            <w:tcW w:w="780" w:type="dxa"/>
            <w:vAlign w:val="bottom"/>
          </w:tcPr>
          <w:p>
            <w:pPr>
              <w:spacing w:after="0"/>
              <w:rPr>
                <w:sz w:val="17"/>
                <w:szCs w:val="17"/>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4"/>
            <w:vMerge w:val="continue"/>
          </w:tcPr>
          <w:p>
            <w:pPr>
              <w:spacing w:after="0"/>
              <w:rPr>
                <w:sz w:val="17"/>
                <w:szCs w:val="17"/>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6"/>
            <w:vMerge w:val="continue"/>
          </w:tcPr>
          <w:p>
            <w:pPr>
              <w:spacing w:after="0"/>
              <w:rPr>
                <w:sz w:val="17"/>
                <w:szCs w:val="17"/>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40" w:type="dxa"/>
            <w:vAlign w:val="bottom"/>
            <w:gridSpan w:val="5"/>
          </w:tcPr>
          <w:p>
            <w:pPr>
              <w:jc w:val="right"/>
              <w:ind w:right="4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 xml:space="preserve"> (Loss) Income</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2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3"/>
                <w:szCs w:val="13"/>
                <w:b w:val="1"/>
                <w:bCs w:val="1"/>
                <w:color w:val="auto"/>
              </w:rPr>
              <w:t xml:space="preserve">Deficit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7"/>
        </w:trPr>
        <w:tc>
          <w:tcPr>
            <w:tcW w:w="2180" w:type="dxa"/>
            <w:vAlign w:val="bottom"/>
            <w:shd w:val="clear" w:color="auto" w:fill="000000"/>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80" w:type="dxa"/>
            <w:vAlign w:val="bottom"/>
            <w:tcBorders>
              <w:left w:val="single" w:sz="8" w:color="CCEEFF"/>
              <w:right w:val="single" w:sz="8" w:color="auto"/>
            </w:tcBorders>
            <w:shd w:val="clear" w:color="auto" w:fill="CCEEFF"/>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Borders>
              <w:right w:val="single" w:sz="8" w:color="auto"/>
            </w:tcBorders>
            <w:gridSpan w:val="2"/>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tcBorders>
              <w:right w:val="single" w:sz="8" w:color="auto"/>
            </w:tcBorders>
            <w:gridSpan w:val="2"/>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74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​​​47,960,088​​​​$185,580​​​11,468,295​​​</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​$ 1</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6,598</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(97,395)​​​​$</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(90,796)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Series B redeemable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for cash,</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of issuance costs of $107</w:t>
            </w:r>
          </w:p>
        </w:tc>
        <w:tc>
          <w:tcPr>
            <w:tcW w:w="18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20,000,000​​​​ ​ 99,893​​</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 and early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884,726​​​</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early exercised stock</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tcPr>
          <w:p>
            <w:pPr>
              <w:jc w:val="center"/>
              <w:ind w:left="13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1,596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1,596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shares of common</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tcPr>
          <w:p>
            <w:pPr>
              <w:jc w:val="center"/>
              <w:ind w:left="13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5,960 ​​​</w:t>
            </w:r>
          </w:p>
        </w:tc>
        <w:tc>
          <w:tcPr>
            <w:tcW w:w="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5,960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​(127)</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1200" w:type="dxa"/>
            <w:vAlign w:val="bottom"/>
            <w:gridSpan w:val="3"/>
          </w:tcPr>
          <w:p>
            <w:pPr>
              <w:jc w:val="center"/>
              <w:ind w:left="135"/>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3"/>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80" w:type="dxa"/>
            <w:vAlign w:val="bottom"/>
            <w:gridSpan w:val="3"/>
          </w:tcPr>
          <w:p>
            <w:pPr>
              <w:jc w:val="right"/>
              <w:ind w:righ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0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200" w:type="dxa"/>
            <w:vAlign w:val="bottom"/>
          </w:tcPr>
          <w:p>
            <w:pPr>
              <w:spacing w:after="0"/>
              <w:rPr>
                <w:sz w:val="23"/>
                <w:szCs w:val="23"/>
                <w:color w:val="auto"/>
              </w:rPr>
            </w:pPr>
          </w:p>
        </w:tc>
        <w:tc>
          <w:tcPr>
            <w:tcW w:w="2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8"/>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​(111,930)</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​(111,930)</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2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80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274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​67,960,088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​285,473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​12,353,021</w:t>
            </w: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1</w:t>
            </w:r>
          </w:p>
        </w:tc>
        <w:tc>
          <w:tcPr>
            <w:tcW w:w="8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​14,209</w:t>
            </w:r>
            <w:r>
              <w:rPr>
                <w:rFonts w:ascii="Times New Roman" w:cs="Times New Roman" w:eastAsia="Times New Roman" w:hAnsi="Times New Roman"/>
                <w:sz w:val="18"/>
                <w:szCs w:val="18"/>
                <w:color w:val="auto"/>
              </w:rPr>
              <w:t xml:space="preserve"> ​​​</w:t>
            </w: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127)</w:t>
            </w:r>
          </w:p>
        </w:tc>
        <w:tc>
          <w:tcPr>
            <w:tcW w:w="1840" w:type="dxa"/>
            <w:vAlign w:val="bottom"/>
            <w:tcBorders>
              <w:right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​(209,325)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​(195,242)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Series B-2 and B-2A</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redeemable convertible preferred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in May 2023 for cash, net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liability of $2,112 and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 of $208</w:t>
            </w:r>
          </w:p>
        </w:tc>
        <w:tc>
          <w:tcPr>
            <w:tcW w:w="18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12,000,000​​​​ ​ 57,679​​</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B-2 and B-2A</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convertible preferred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in October 2023 for cash,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issuance costs of $13, and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derivative liability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$2,231</w:t>
            </w:r>
          </w:p>
        </w:tc>
        <w:tc>
          <w:tcPr>
            <w:tcW w:w="780" w:type="dxa"/>
            <w:vAlign w:val="bottom"/>
            <w:shd w:val="clear" w:color="auto" w:fill="CCEEFF"/>
          </w:tcPr>
          <w:p>
            <w:pPr>
              <w:spacing w:after="0"/>
              <w:rPr>
                <w:sz w:val="20"/>
                <w:szCs w:val="20"/>
                <w:color w:val="auto"/>
              </w:rPr>
            </w:pPr>
          </w:p>
        </w:tc>
        <w:tc>
          <w:tcPr>
            <w:tcW w:w="18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6,000,000​​​​ ​ 32,218​​</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of stock options and early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tcPr>
          <w:p>
            <w:pPr>
              <w:jc w:val="center"/>
              <w:ind w:left="13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226,484​​​</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277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early exercised stock</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1,921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restricted shares of common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tcPr>
          <w:p>
            <w:pPr>
              <w:jc w:val="center"/>
              <w:ind w:left="13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unvested early</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 stock options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(69,167​​​)</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tcPr>
          <w:p>
            <w:pPr>
              <w:jc w:val="center"/>
              <w:ind w:left="13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8,625 ​​​</w:t>
            </w:r>
          </w:p>
        </w:tc>
        <w:tc>
          <w:tcPr>
            <w:tcW w:w="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8,625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129</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1200" w:type="dxa"/>
            <w:vAlign w:val="bottom"/>
            <w:gridSpan w:val="3"/>
          </w:tcPr>
          <w:p>
            <w:pPr>
              <w:jc w:val="center"/>
              <w:ind w:left="135"/>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3"/>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80" w:type="dxa"/>
            <w:vAlign w:val="bottom"/>
            <w:gridSpan w:val="3"/>
          </w:tcPr>
          <w:p>
            <w:pPr>
              <w:jc w:val="right"/>
              <w:ind w:righ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0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200" w:type="dxa"/>
            <w:vAlign w:val="bottom"/>
          </w:tcPr>
          <w:p>
            <w:pPr>
              <w:spacing w:after="0"/>
              <w:rPr>
                <w:sz w:val="23"/>
                <w:szCs w:val="23"/>
                <w:color w:val="auto"/>
              </w:rPr>
            </w:pPr>
          </w:p>
        </w:tc>
        <w:tc>
          <w:tcPr>
            <w:tcW w:w="20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8"/>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​(154,993)</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​(154,993)</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2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80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740" w:type="dxa"/>
            <w:vAlign w:val="bottom"/>
            <w:gridSpan w:val="11"/>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​85,960,088</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375,370</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​12,510,338</w:t>
            </w:r>
            <w:r>
              <w:rPr>
                <w:rFonts w:ascii="Times New Roman" w:cs="Times New Roman" w:eastAsia="Times New Roman" w:hAnsi="Times New Roman"/>
                <w:sz w:val="28"/>
                <w:szCs w:val="28"/>
                <w:b w:val="1"/>
                <w:bCs w:val="1"/>
                <w:color w:val="auto"/>
                <w:vertAlign w:val="subscript"/>
              </w:rPr>
              <w:t>​​​</w:t>
            </w:r>
          </w:p>
        </w:tc>
        <w:tc>
          <w:tcPr>
            <w:tcW w:w="40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$ 1</w:t>
            </w:r>
          </w:p>
        </w:tc>
        <w:tc>
          <w:tcPr>
            <w:tcW w:w="880" w:type="dxa"/>
            <w:vAlign w:val="bottom"/>
            <w:tcBorders>
              <w:right w:val="single" w:sz="8" w:color="CCEEFF"/>
            </w:tcBorders>
            <w:gridSpan w:val="5"/>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25,055 </w:t>
            </w:r>
            <w:r>
              <w:rPr>
                <w:rFonts w:ascii="Times New Roman" w:cs="Times New Roman" w:eastAsia="Times New Roman" w:hAnsi="Times New Roman"/>
                <w:sz w:val="28"/>
                <w:szCs w:val="28"/>
                <w:b w:val="1"/>
                <w:bCs w:val="1"/>
                <w:color w:val="auto"/>
                <w:vertAlign w:val="subscript"/>
              </w:rPr>
              <w:t>​​​</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w:t>
            </w:r>
          </w:p>
        </w:tc>
        <w:tc>
          <w:tcPr>
            <w:tcW w:w="1840" w:type="dxa"/>
            <w:vAlign w:val="bottom"/>
            <w:tcBorders>
              <w:right w:val="single" w:sz="8" w:color="CCEEFF"/>
            </w:tcBorders>
            <w:gridSpan w:val="7"/>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(364,318)</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(339,260)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6457950</wp:posOffset>
            </wp:positionH>
            <wp:positionV relativeFrom="paragraph">
              <wp:posOffset>-213995</wp:posOffset>
            </wp:positionV>
            <wp:extent cx="342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-213995</wp:posOffset>
            </wp:positionV>
            <wp:extent cx="1028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-213995</wp:posOffset>
            </wp:positionV>
            <wp:extent cx="24003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-213995</wp:posOffset>
            </wp:positionV>
            <wp:extent cx="23114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-213995</wp:posOffset>
            </wp:positionV>
            <wp:extent cx="137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-213995</wp:posOffset>
            </wp:positionV>
            <wp:extent cx="1200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-6223000</wp:posOffset>
            </wp:positionV>
            <wp:extent cx="6180455" cy="62236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180455" cy="6223635"/>
                    </a:xfrm>
                    <a:prstGeom prst="rect">
                      <a:avLst/>
                    </a:prstGeom>
                    <a:noFill/>
                  </pic:spPr>
                </pic:pic>
              </a:graphicData>
            </a:graphic>
          </wp:anchor>
        </w:drawing>
      </w:r>
    </w:p>
    <w:p>
      <w:pPr>
        <w:spacing w:after="0" w:line="17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7"/>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54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 ​</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 ​</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 (111,930)</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 xml:space="preserve">​​​ ​$(154,993)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8,625</w:t>
            </w:r>
          </w:p>
        </w:tc>
        <w:tc>
          <w:tcPr>
            <w:tcW w:w="8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8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8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Loss on abandonment of right-of-use assets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8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Write-off of deferred offering costs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 prepaid expenses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(7,334)</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Other prepaid expenses and current assets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(340)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63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Research and development accrued expenses, including changes in related party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300" w:type="dxa"/>
            <w:vAlign w:val="bottom"/>
            <w:gridSpan w:val="2"/>
          </w:tcPr>
          <w:p>
            <w:pPr>
              <w:ind w:left="480"/>
              <w:spacing w:after="0" w:line="162" w:lineRule="exact"/>
              <w:rPr>
                <w:sz w:val="20"/>
                <w:szCs w:val="20"/>
                <w:color w:val="auto"/>
              </w:rPr>
            </w:pPr>
            <w:r>
              <w:rPr>
                <w:rFonts w:ascii="Times New Roman" w:cs="Times New Roman" w:eastAsia="Times New Roman" w:hAnsi="Times New Roman"/>
                <w:sz w:val="16"/>
                <w:szCs w:val="16"/>
                <w:color w:val="auto"/>
              </w:rPr>
              <w:t>balances of ($614) and $2 for the years ended December 31, 2022 and 2023,</w:t>
            </w: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80" w:type="dxa"/>
            <w:vAlign w:val="bottom"/>
          </w:tcPr>
          <w:p>
            <w:pPr>
              <w:spacing w:after="0"/>
              <w:rPr>
                <w:sz w:val="14"/>
                <w:szCs w:val="14"/>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63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(144)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​(107,722)</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​(129,975)</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 ​</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 ​</w:t>
            </w:r>
          </w:p>
        </w:tc>
        <w:tc>
          <w:tcPr>
            <w:tcW w:w="5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 142,730</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76,250</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 ​(209,075)</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 xml:space="preserve">​​​ ​ ​ (11,279)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 ​ (68,751)</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60,472</w:t>
            </w:r>
          </w:p>
        </w:tc>
        <w:tc>
          <w:tcPr>
            <w:tcW w:w="8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 ​</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 ​</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issuance of redeemable convertible preferred stock, net of issuance costs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99,893</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89,778</w:t>
            </w:r>
          </w:p>
        </w:tc>
        <w:tc>
          <w:tcPr>
            <w:tcW w:w="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Payments of deferred offering costs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(485)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unvested stock options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 ​ 101,627</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89,682</w:t>
            </w:r>
          </w:p>
        </w:tc>
        <w:tc>
          <w:tcPr>
            <w:tcW w:w="8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 (74,846)</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20,179</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 ​ 101,800</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26,954</w:t>
            </w: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4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perscript"/>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26,954</w:t>
            </w:r>
          </w:p>
        </w:tc>
        <w:tc>
          <w:tcPr>
            <w:tcW w:w="3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perscript"/>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47,133</w:t>
            </w:r>
          </w:p>
        </w:tc>
        <w:tc>
          <w:tcPr>
            <w:tcW w:w="80" w:type="dxa"/>
            <w:vAlign w:val="bottom"/>
            <w:shd w:val="clear" w:color="auto" w:fill="CCEEFF"/>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line="20" w:lineRule="exact"/>
              <w:rPr>
                <w:sz w:val="1"/>
                <w:szCs w:val="1"/>
                <w:color w:val="auto"/>
              </w:rPr>
            </w:pPr>
          </w:p>
        </w:tc>
      </w:tr>
      <w:tr>
        <w:trPr>
          <w:trHeight w:val="150"/>
        </w:trPr>
        <w:tc>
          <w:tcPr>
            <w:tcW w:w="630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60" w:type="dxa"/>
            <w:vAlign w:val="bottom"/>
          </w:tcPr>
          <w:p>
            <w:pPr>
              <w:spacing w:after="0" w:line="150" w:lineRule="exact"/>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Pr>
          <w:p>
            <w:pPr>
              <w:spacing w:after="0" w:line="150" w:lineRule="exact"/>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14,255</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Vesting of early exercised stock options and unvested restricted shares of common stock</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 in other accrued expenses and current liabilities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and equipment acquired through tenant improvement allowance</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16,691</w:t>
            </w:r>
          </w:p>
        </w:tc>
        <w:tc>
          <w:tcPr>
            <w:tcW w:w="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Recognition of derivative liability upon issuance of redeemable convertible preferred stock</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Settlement of derivative liability upon issuance of redeemable convertible preferred stock</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(2,231)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 ​</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 ​</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25,610</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45,996</w:t>
            </w:r>
          </w:p>
        </w:tc>
        <w:tc>
          <w:tcPr>
            <w:tcW w:w="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4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perscript"/>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26,954</w:t>
            </w:r>
          </w:p>
        </w:tc>
        <w:tc>
          <w:tcPr>
            <w:tcW w:w="3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perscript"/>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47,133</w:t>
            </w: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52120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-1894205</wp:posOffset>
            </wp:positionV>
            <wp:extent cx="52120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-2193925</wp:posOffset>
            </wp:positionV>
            <wp:extent cx="52120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-3068320</wp:posOffset>
            </wp:positionV>
            <wp:extent cx="52120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-3968115</wp:posOffset>
            </wp:positionV>
            <wp:extent cx="52120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Alumis Inc. (the “Company”) is a clinical stage biopharmaceutical company focused on identifying, acquiring, and accelerating the development and commercialization of transformative medicines for autoimmune disorders. The Company leverages its proprietary precision data analytics platform, biological insights, and a team of experts with deep experience in precision medicine drug discovery, development, and immunology, to create medicines that significantly improve the lives of patients by replacing broad immunosuppression with targeted therapies.</w:t>
      </w:r>
    </w:p>
    <w:p>
      <w:pPr>
        <w:spacing w:after="0" w:line="12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Company was founded on January 29, 2021 as a Delaware corporation under the name FL2021-001, Inc. FL2021-001, Inc.’s name was changed to Esker Therapeutics, Inc. on March 8, 2021 and to Alumis Inc. on January 6, 2022. The Company is headquartered in South San Francisco, California.</w:t>
      </w:r>
    </w:p>
    <w:p>
      <w:pPr>
        <w:spacing w:after="0" w:line="9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As of December 31, 2022 and 2023, the Company had two wholly owned subsidiaries, FronThera U.S. Holdings, Inc. and FronThera U.S. Pharmaceuticals LLC. These subsidiaries have no operations during 2022 and 2023 years.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 has incurred negative operating cash flows and significant losses from operations since its inception. For the years ended December 31, 2022 and 2023, the Company incurred net losses of $111.9 million and $155.0 million, respectively. Cash used in operating activities was $107.7 million and $130.0 million for the years ended December 31, 2022 and 2023, respectively. As of December 31, 2023, the Company had an accumulated deficit of $364.3 million.</w:t>
      </w:r>
    </w:p>
    <w:p>
      <w:pPr>
        <w:spacing w:after="0" w:line="116"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issuance of redeemable convertible preferred stock and convertible promissory notes in private placements. The Company expects to continue to incur substantial losses for the foreseeable future,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As of December 31, 2023, the Company had cash, cash equivalents and marketable securities of $49.0 million. In March 2024, the Company received aggregate gross proceeds of $129.5 million from the issuance and sale of 41,264,891 shares of its Series C redeemable convertible preferred stock at a purchase price of $3.13826 per share (the “First Tranche Series C Closing”) and, at the discretion of the Company’s board of directors, the Company is obligated to sell and Series C investors are obligated to purchase up to $129.5 million worth of additional shares of Series C redeemable convertible preferred stock on the same terms and at the same purchase price per share as in the First Tranche Series C Closing on or before the earliest of (i) December 31, 2024, (ii) the execution of a letter of intent for the sale of the Company, or (iii) the closing date of the Company’s initial public offering (the “Second Tranche Series C Closing”). The Second Tranche Series C Closing is subject to certain conditions and events as described in Note 15, Subsequent Events.</w:t>
      </w:r>
    </w:p>
    <w:p>
      <w:pPr>
        <w:spacing w:after="0" w:line="11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Management expects that existing cash, cash equivalents and marketable securities together with the Series C financing aggregate gross proceeds of $129.5 million received in March 2024 are not sufficient to fund its current operating plan for at least the next 12 months from the date of issuance of these consolidated financial statements. Additional funds are necessary to maintain current operations and to continue research and development activities. The Company’s management plans to monitor expenses and may raise additional capital through a combination of public and private equity, debt financings, strategic alliances, and licensing arrangements. The Company’s ability to access capital when needed is not assured and, if capital is not available to the Company when, and in the amounts, needed, on the terms which are favorable, the Company could be required to delay, scale back, or abandon some or all of its development programs and other operations, which could materially harm the Company’s business, financial condition and results of operations. These factors raise substantial doubt about the Company’s ability to continue as a going concern.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 (Continued)</w:t>
      </w:r>
    </w:p>
    <w:p>
      <w:pPr>
        <w:spacing w:after="0" w:line="22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which contemplates the realization of assets and satisfaction of liabilities in the normal course of business. The accompanying consolidated financial statements do not reflect any adjustments relating to the recoverability and reclassifications of assets and liabilities that might be necessary if the Company is unable to continue as a going concern.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The Company’s consolidated financial statements include the accounts of FronThera U.S. Holdings, Inc. and FronThera U.S. Pharmaceuticals LLC, two wholly owned subsidiaries, and all intercompany transactions are eliminated.</w:t>
      </w:r>
    </w:p>
    <w:p>
      <w:pPr>
        <w:spacing w:after="0" w:line="5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the authoritative GAAP as found in the Accounting Standards Codification (“ASC”) and Accounting Standards Updates (“ASU”) of the Financial Accounting Standards Board (“FASB”).</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 On an ongoing basis, the Company evaluates estimates and assumptions, including but not limited to those related to the fair value of its common and redeemable convertible preferred stock, the fair value of derivative liability, stock-based compensation expense, accruals for research and development expenses and the valuation of deferred tax assets.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Geographical Information</w:t>
      </w:r>
    </w:p>
    <w:p>
      <w:pPr>
        <w:spacing w:after="0" w:line="10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developing medicines for autoimmune disorders. The chief executive officer, who is the chief operating decision maker, reviews financial information on an aggregate basis for purposes of allocating resources and evaluating financial performance. All of the Company’s long-lived assets are located in the United States.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primarily of cash, investments in marketable securities and restricted cash. The Company maintains bank deposits in federally insured financial institutions and these deposits exceed federally insured limits. To date, the Company has not experienced any losses on its deposits of cash and periodically evaluates the creditworthiness of its financial institutions.</w:t>
      </w:r>
    </w:p>
    <w:p>
      <w:pPr>
        <w:spacing w:after="0" w:line="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 may also invest in money market funds, commercial paper, U.S. treasuries, corporate bonds, supranational debt securities and agency bonds, which can be subject to certain credit risks. The Company mitigates the risks by investing in high-grade instruments, limiting its exposure to any one issuer and monitoring the ongoing creditworthiness of the financial institutions and issuers. The Company has not experienced any loss of principal on its financial instruments.</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Company is subject to certain risks and uncertainties, including, but not limited to, changes in any of the following areas that the Company believes could have a material adverse effect on the future financial position or results of operations: the Company’s ability to advance the development of its proprietary precision data analytics platform, timing and ability to advance its product candidates through preclinical and clinical development; costs and timelines associated with the manufacturing of clinical supplies; regulatory approval, market acceptance of, and reimbursement for, any product candidates the Company may develop; performance of third-party vendors; competition from pharmaceutical or other biotechnology companies with greater financial resources or expertise; protection of intellectual property; litigation or claims against the Company based on intellectual property or other factors; and its ability to attract and retain employees necessary to support its growth.</w:t>
      </w:r>
    </w:p>
    <w:p>
      <w:pPr>
        <w:spacing w:after="0" w:line="11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Company’s business and operations may be affected by worldwide economic conditions, which may continue to be impacted by global macroeconomic challenges, such as the effects of the ongoing military conflicts in Ukraine, Israel, and the Middle East, tensions in U.S.-China relations, uncertainty in the markets, including disruptions in the banking industry, the COVID-19 pandemic and inflationary trends. Fiscal years 2022 and 2023 were marked by significant market uncertainty and increasing inflationary pressures. These market dynamics continue into 2024, and these and similar adverse market conditions may negatively impact the Company’s business, financial position and results of operations.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As of December 31, 2022 and 2023, cash and cash equivalents consisted of bank deposits and investments in money market funds and U.S. treasuries.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48"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Restricted cash of $1.3 million and $1.1 million as of December 31, 2022 and 2023, respectively, represents security deposits in the form of letters of credit issued in connection with the Company’s leases (see Note 8).</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Marketable securities may consist of commercial paper, U.S. treasuries, corporate bonds, supranational debt securities and agency bonds with original maturities of three months or more at the time of purchase and are included in current assets. As the Company’s entire investment portfolio is considered available for use in current operations, the Company classifies all investments as available-for-sale and as current assets, even though the stated maturity may be more than one year from the current balance sheet date. Marketable securities are carried at fair value, with change in fair value reported as unrealized gains or losses in accumulated other comprehensive (loss) income, which is a separate component of stockholders’ deficit in the consolidated balance sheets.</w:t>
      </w:r>
    </w:p>
    <w:p>
      <w:pPr>
        <w:spacing w:after="0" w:line="33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amortized cost of marketable securities is adjusted for amortization of premiums and accretion of discounts to maturity, which is included in interest income in the consolidated statements of operations and comprehensive loss.</w:t>
      </w:r>
    </w:p>
    <w:p>
      <w:pPr>
        <w:spacing w:after="0" w:line="9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Realized gains and losses on the sale of securities are determined by specific identification of each security’s cost basis. The Company regularly reviews its investment portfolio to determine if any security is impaired, which would require it to record an allowance for credit losses or an impairment charge in the period any such determination is made. In making this judgment, the Company evaluates, among other things, the extent to which the fair value of a security is less than its amortized cost, its intent to sell or whether it is more likely than not that the Company will be required to sell the security before recovery of its amortized cost basis, the financial condition of the issuer and any changes thereto, and, as necessary, the portion of a decline in fair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(Continued)</w:t>
      </w:r>
    </w:p>
    <w:p>
      <w:pPr>
        <w:spacing w:after="0" w:line="22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value that is credit-related. This assessment could change in the future due to new developments or changes in assumptions related to any particular security. Realized gains and losses, allowances for credit losses and impairments on available-for-sale securities, if any, are recorded in the consolidated statements of operations and comprehensive loss.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4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carrying amounts of cash equivalents, prepaid expenses and other current assets, accounts payable, accrued expenses and other liabilities, approximate fair value due to their short-term maturities. Financial instruments, such as money market funds, marketable securities and derivative liability are measured at fair value at each reporting date (see Note 3).</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Finance Issuance Costs</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Deferred finance issuance costs, consisting of legal, accounting and other third- party fees directly relating to in-process equity financings or offerings are capitalized. The deferred finance issuance costs will be offset against offering proceeds upon the completion of the financing or the offering. In the event the financing or the offering is terminated or delayed, deferred finance issuance costs will be expensed immediately as a charge to general and administrative expenses in the consolidated statements of operations and comprehensive loss. As of December 31, 2022 and 2023, the Company did not have any capitalized deferred finance issuance costs.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calculated using the straight-line method over the estimated useful lives of assets. Costs for capital assets not yet placed into service are capitalized as construction-in-progress and depreciated once placed into service. Repair and maintenance costs, which are not considered improvements and do not extend the useful life of property and equipment, are expensed as incurred. Improvements are capitalized as additions to property and equipment. Upon sale or retirement of assets, the costs and related accumulated depreciation are removed from the consolidated balance sheets and the resulting gain or loss is reflected within operating expenses in the consolidated statements of operations and comprehensive loss.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Acquired In-Process Research and Development Expenses</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 or group of assets, which includes transaction costs. The Company determines if the acquisition should be accounted for as an asset acquisition after considering whether substantially all of the fair value of the gross assets acquired is concentrated in a single asset or group of assets and whether the Company acquired a substantive process capable of significantly contributing to the Company’s ability to create outputs. Goodwill is not recognized in asset acquisitions. If acquired in-process technology assets, including licenses, know -how and patents are determined to not have an alternative future use, the cost is charged to research and development expenses at the acquisition date.</w:t>
      </w:r>
    </w:p>
    <w:p>
      <w:pPr>
        <w:spacing w:after="0" w:line="11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 xml:space="preserve">The Company accounts for contingent consideration identified in an asset acquisition that does not meet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when the payment becomes probable and reasonably estimable. Such amounts are expensed or capitalized based on the nature of the associated asset at the date the related contingency is recognized.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Company determines whether an arrangement is or contains a lease at the inception of the arrangement and whether such a lease should be classified as a financing lease or operating lease at the commencement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Leases (Continued)</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lease. Leases with a term greater than one year are recognized on the consolidated balance sheets as</w:t>
      </w:r>
    </w:p>
    <w:p>
      <w:pPr>
        <w:spacing w:after="0" w:line="2" w:lineRule="exact"/>
        <w:rPr>
          <w:sz w:val="20"/>
          <w:szCs w:val="20"/>
          <w:color w:val="auto"/>
        </w:rPr>
      </w:pPr>
    </w:p>
    <w:p>
      <w:pPr>
        <w:jc w:val="both"/>
        <w:ind w:left="1260" w:right="419"/>
        <w:spacing w:after="0" w:line="208" w:lineRule="auto"/>
        <w:rPr>
          <w:sz w:val="20"/>
          <w:szCs w:val="20"/>
          <w:color w:val="auto"/>
        </w:rPr>
      </w:pPr>
      <w:r>
        <w:rPr>
          <w:rFonts w:ascii="Times New Roman" w:cs="Times New Roman" w:eastAsia="Times New Roman" w:hAnsi="Times New Roman"/>
          <w:sz w:val="18"/>
          <w:szCs w:val="18"/>
          <w:color w:val="auto"/>
        </w:rPr>
        <w:t>operating right-of-use assets (“ROU assets”) and operating lease liabilities. The Company elected not to recognize the right -of- use assets and lease liabilities for leases with lease terms of one year or less (short-term leases). Lease liabilities and their corresponding ROU assets are recorded based on the present value of</w:t>
      </w:r>
    </w:p>
    <w:p>
      <w:pPr>
        <w:spacing w:after="0" w:line="2" w:lineRule="exact"/>
        <w:rPr>
          <w:sz w:val="20"/>
          <w:szCs w:val="20"/>
          <w:color w:val="auto"/>
        </w:rPr>
      </w:pPr>
    </w:p>
    <w:p>
      <w:pPr>
        <w:jc w:val="both"/>
        <w:ind w:left="1260" w:right="419"/>
        <w:spacing w:after="0" w:line="208" w:lineRule="auto"/>
        <w:rPr>
          <w:sz w:val="20"/>
          <w:szCs w:val="20"/>
          <w:color w:val="auto"/>
        </w:rPr>
      </w:pPr>
      <w:r>
        <w:rPr>
          <w:rFonts w:ascii="Times New Roman" w:cs="Times New Roman" w:eastAsia="Times New Roman" w:hAnsi="Times New Roman"/>
          <w:sz w:val="18"/>
          <w:szCs w:val="18"/>
          <w:color w:val="auto"/>
        </w:rPr>
        <w:t>lease payments over the lease term. The Company considers the lease term to be the noncancelable period that it has the right to use the underlying asset, together with any periods where it is reasonably certain it will exercise an option to extend (or not terminate) the lease. As the interest rate implicit in the Company’s</w:t>
      </w:r>
    </w:p>
    <w:p>
      <w:pPr>
        <w:spacing w:after="0" w:line="2" w:lineRule="exact"/>
        <w:rPr>
          <w:sz w:val="20"/>
          <w:szCs w:val="20"/>
          <w:color w:val="auto"/>
        </w:rPr>
      </w:pPr>
    </w:p>
    <w:p>
      <w:pPr>
        <w:jc w:val="both"/>
        <w:ind w:left="1260" w:right="419"/>
        <w:spacing w:after="0" w:line="208" w:lineRule="auto"/>
        <w:rPr>
          <w:sz w:val="20"/>
          <w:szCs w:val="20"/>
          <w:color w:val="auto"/>
        </w:rPr>
      </w:pPr>
      <w:r>
        <w:rPr>
          <w:rFonts w:ascii="Times New Roman" w:cs="Times New Roman" w:eastAsia="Times New Roman" w:hAnsi="Times New Roman"/>
          <w:sz w:val="18"/>
          <w:szCs w:val="18"/>
          <w:color w:val="auto"/>
        </w:rPr>
        <w:t>lease contracts is not readily determinable, the Company utilizes its incremental borrowing rate (“IBR”) to determine the present value of lease payments. The IBR is derived from information available at the lease commencement date and represents the rate of interest that a lessee would have to pay to borrow an amount</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equal to the lease payments on a collateralized basis over a similar term in a similar economic environment.</w:t>
      </w:r>
    </w:p>
    <w:p>
      <w:pPr>
        <w:spacing w:after="0" w:line="11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Rent expense for operating leases is recognized on a straight- line basis over the lease term. The Company has elected to not separate lease and non -lease components for its real estate leases and instead accounts for each separate lease component and the non-lease components associated with that lease component as a single lease component. Variable lease payments are recognized as incurred.</w:t>
      </w:r>
    </w:p>
    <w:p>
      <w:pPr>
        <w:spacing w:after="0" w:line="1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of December 31, 2022 and 2023, the Company had no finance leases.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4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Company regularly reviews the carrying value and estimated lives of all of its long-lived assets, including property and equipment, and ROU assets to determine whether indicators of impairment may exist which warrant adjustments to carrying values or estimated useful lives. Recoverability of assets to be held and used is measured by a comparison of the carrying amount of an asset group to future undiscounted net cash flows expected to be generated by the asset or asset group. Should impairment exist, the impairment loss to be recognized is measured by the amount by which the carrying amount of the asset exceeds the projected discounted future net cash flows arising from the asset.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14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 xml:space="preserve">The Company may issue financial instruments, such as promissory notes or redeemable convertible preferred stock to its investors, which include embedded derivatives, such as call options. Derivatives are accounted for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performs analysis of derivatives embedded in the financial instruments, and if any requires bifurcation, accounts for these at fair value at the issuance date. In May 2023, the Company issued Series B-2/B-2A redeemable convertible preferred stock shares, which included embedded derivatives that required bifurcation.</w:t>
      </w:r>
    </w:p>
    <w:p>
      <w:pPr>
        <w:spacing w:after="0" w:line="11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 derivative liability is accounted for separately from the financial instrument at fair value on the issuance date and is remeasured each reporting period. The changes in the fair value of the derivative liability are included in change in fair value of derivative liability within the consolidated statements of operations and comprehensive loss.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48" w:lineRule="exact"/>
        <w:rPr>
          <w:sz w:val="20"/>
          <w:szCs w:val="20"/>
          <w:color w:val="auto"/>
        </w:rPr>
      </w:pPr>
    </w:p>
    <w:p>
      <w:pPr>
        <w:jc w:val="both"/>
        <w:ind w:left="1260" w:right="419"/>
        <w:spacing w:after="0" w:line="224" w:lineRule="auto"/>
        <w:rPr>
          <w:sz w:val="20"/>
          <w:szCs w:val="20"/>
          <w:color w:val="auto"/>
        </w:rPr>
      </w:pPr>
      <w:r>
        <w:rPr>
          <w:rFonts w:ascii="Times New Roman" w:cs="Times New Roman" w:eastAsia="Times New Roman" w:hAnsi="Times New Roman"/>
          <w:sz w:val="18"/>
          <w:szCs w:val="18"/>
          <w:color w:val="auto"/>
        </w:rPr>
        <w:t>The Company records redeemable convertible preferred stock at their respective fair values on the dates of issuance, net of issuance costs. The redeemable convertible preferred stock is recorded outside of permanent equity because while it is not mandatory, redemption is contingent upon the occurrence of certain events considered not solely within the Company’s control. The Company has not adjusted the carrying values of the redeemable convertible preferred stock to the liquidation preferences of such stock, because it is uncertain whether or when a deemed liquidation event would occur that would obligate the Company to pay the liquidation preferences to holders of redeemable convertible preferred stock. Subsequent adjustments to the carrying values to the liquidation preferences will be made only when it becomes probable that such a deemed liquidation event will occur.</w:t>
      </w: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and Accruals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primarily of costs associated with acquiring technology and intellectual property licenses that have no alternative future uses, costs incurred under in-license or assignment agreements, salaries and benefits of research and development personnel, costs related to research activities, preclinical studies, clinical trials, drug manufacturing, third-party professional research and development consulting services, and allocated overhead and facility-related expenses. Payments associated with licensing agreements to acquire exclusive licenses to develop, use, manufacture and commercialize products that have not reached technological feasibility and do not have alternate future use will also be expensed as incurred.</w:t>
      </w:r>
    </w:p>
    <w:p>
      <w:pPr>
        <w:spacing w:after="0" w:line="124"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Company records accrued liabilities for estimated costs of its research and development activities conducted by third-party service providers. The Company accrues these costs based on factors such as estimates of the work completed and in accordance with the third-party service agreements. If the Company does not identify costs that have begun to be incurred or if the Company underestimates or overestimates the level of services performed or the costs of these services, actual expenses could differ from the estimates. To date, the Company has not experienced any material differences between accrued costs and actual costs incurred.</w:t>
      </w:r>
    </w:p>
    <w:p>
      <w:pPr>
        <w:spacing w:after="0" w:line="32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The prepaid amounts are expensed as the related goods are delivered or the services are performed and classified as current or non-current prepaid expenses and other assets.</w:t>
      </w:r>
    </w:p>
    <w:p>
      <w:pPr>
        <w:spacing w:after="0" w:line="11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Company makes payments in connection with clinical trials to contract manufacturing organizations (“CMOs”) that manufacture the materials for its product candidates and to clinical research organizations (“CROs”) and clinical trial sites that conduct and manage the Company’s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The Company makes estimates of accrued research and development expenses as of each balance sheet date based on facts and circumstances known at that time. The Company periodically confirms the accuracy of its estimates with the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consolidated balance sheets. If the actual timing of the performance of services or the level of effort varies from the original estimates, the Company will adjust the accrual accordingly.</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consolidated statements of operations and comprehensive loss.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Company grants stock-based awards to employees, directors and non-employee consultants in the form of stock options to purchase shares of its common stock. The Company measures stock options with service-based vesting granted based on the fair value of the award on the grant date using the Black-Scholes option-pricing model. The model requires management to make a number of assumptions, including common stock fair value, expected volatility, expected term, risk-free interest rate and expected dividend yield. The Company estimates common stock fair value using methodologies, approaches and assumptions consistent with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(Continued)</w:t>
      </w:r>
    </w:p>
    <w:p>
      <w:pPr>
        <w:spacing w:after="0" w:line="227"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 xml:space="preserve">American Institute of Certified Public Accountants Accounting and Valuation Guide, </w:t>
      </w:r>
      <w:r>
        <w:rPr>
          <w:rFonts w:ascii="Times New Roman" w:cs="Times New Roman" w:eastAsia="Times New Roman" w:hAnsi="Times New Roman"/>
          <w:sz w:val="18"/>
          <w:szCs w:val="18"/>
          <w:i w:val="1"/>
          <w:iCs w:val="1"/>
          <w:color w:val="auto"/>
        </w:rPr>
        <w:t xml:space="preserve">Valuation of Privately-Held-Company Equity Securities Issued as Compensation </w:t>
      </w:r>
      <w:r>
        <w:rPr>
          <w:rFonts w:ascii="Times New Roman" w:cs="Times New Roman" w:eastAsia="Times New Roman" w:hAnsi="Times New Roman"/>
          <w:sz w:val="18"/>
          <w:szCs w:val="18"/>
          <w:color w:val="auto"/>
        </w:rPr>
        <w:t>(the “Practice Aid”). The Company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its equity -based compensation awards on a straight-line basis over the requisite service period, which is the period in which the related services are received. The Company accounts for award forfeitures as they occur.</w:t>
      </w:r>
    </w:p>
    <w:p>
      <w:pPr>
        <w:spacing w:after="0" w:line="27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salary or services costs are classified.</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w:t>
      </w:r>
    </w:p>
    <w:p>
      <w:pPr>
        <w:spacing w:after="0" w:line="7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Company assesses the likelihood of deferred tax assets being realized. It provides a valuation allowance when it is more likely than not that some portion or all of a deferred tax asset will not be realized. The ultimate realization of deferred tax assets is dependent upon the generation of future taxable income during the periods in which the temporary differences representing net future deductible amounts become deductible.</w:t>
      </w:r>
    </w:p>
    <w:p>
      <w:pPr>
        <w:spacing w:after="0" w:line="28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Tax benefits related to uncertain tax positions are recognized when it is more likely than not that a tax position will be sustained during an audit. Tax positions that meet the more-likely-than-not threshold are measured at the largest amount of tax benefit that is greater than 50% likely of being realized upon settlement with the taxing authority. Interest and penalties related to unrecognized tax benefits are included within the provision for income tax.</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0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Comprehensive loss represents all changes in stockholders’ deficit except those resulting from distributions to stockholders. The Company’s other comprehensive (loss) income for the years ended December 31, 2022 and 2023 consisted of unrealized gains or losses on investments in marketable securities, net of taxes.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0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unvested common stock shares subject to repurchase and stock options are considered to be potentially dilutive securities.</w:t>
      </w:r>
    </w:p>
    <w:p>
      <w:pPr>
        <w:spacing w:after="0" w:line="73"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Basic and diluted net loss attributable to common stockholders per share is presented in conformity with the two-class method required for participating securities as the redeemable convertible preferred stock are considered participating securities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qualifies as an “emerging</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(Continued)</w:t>
      </w:r>
    </w:p>
    <w:p>
      <w:pPr>
        <w:spacing w:after="0" w:line="22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growth company” as defined in the Jumpstart Our Business Startups Act of 2012, as amended (the “JOBS Act”),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2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66"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which is intended to simplify the accounting for income taxes. This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certain exceptions to the general principles in Topic 740 and also clarifies and amends existing standards to improve consistent application. The Company adopted this standard on January 1, 2022. The adoption of this standard did not have a material impact on its consolidated financial statements at the adoption date.</w:t>
      </w:r>
    </w:p>
    <w:p>
      <w:pPr>
        <w:spacing w:after="0" w:line="32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470-20) and Derivatives and Hedging—Contracts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The amendments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ASU simplifies the accounting for convertible debt instruments and convertible preferred stock by removing the existing guidance that requires entities to account for beneficial conversion features and cash conversion features in equity, separately from the host convertible debt or preferred stock. 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 The amendments further revise the guidance in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to require entities to calculate diluted earnings per share for convertible instruments by using the if-converted method. In addition, entities must presume share settlement for purposes of calculating diluted earnings per share when an instrument may be settled in cash or shares. The Company adopted this standard on January 1, 2022. The adoption of this standard did not have a material impact on its consolidated financial statements.</w:t>
      </w:r>
    </w:p>
    <w:p>
      <w:pPr>
        <w:spacing w:after="0" w:line="11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as clarified in subsequent amendments. ASU 2016-13 changes the impairment model for certain financial instruments. The new model is a forward-looking expected loss model and will apply to financial assets subject to credit losses and measured at amortized cost and certain off-balance sheet credit exposures. This includes loans, held-to-maturity debt securities, loan commitments, financial guarantees and net investments in leases, as well as trade receivables. For available-for-sale debt securities with unrealized losses, credit losses will be measured in a manner similar to today, except that the losses will be recognized as allowances rather than reductions in the amortized cost of the securities. Topic 326 is effective for the Company for fiscal years beginning after December 15, 2022, including interim periods within those fiscal years. Early adoption is permitted. The Company adopted this standard on January 1, 2022. The adoption of this standard did not have a material impact on its consolidated financial statements at the adoption date.</w:t>
      </w:r>
    </w:p>
    <w:p>
      <w:pPr>
        <w:spacing w:after="0" w:line="2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Recently Issued and not Yet Adopted Accounting Pronouncements</w:t>
      </w:r>
    </w:p>
    <w:p>
      <w:pPr>
        <w:spacing w:after="0" w:line="266" w:lineRule="exact"/>
        <w:rPr>
          <w:sz w:val="20"/>
          <w:szCs w:val="20"/>
          <w:color w:val="auto"/>
        </w:rPr>
      </w:pPr>
    </w:p>
    <w:p>
      <w:pPr>
        <w:jc w:val="both"/>
        <w:ind w:left="1260" w:right="419"/>
        <w:spacing w:after="0" w:line="28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This ASU requires public entities to disclose information about their</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(Continued)</w:t>
      </w:r>
    </w:p>
    <w:p>
      <w:pPr>
        <w:spacing w:after="0" w:line="229" w:lineRule="exact"/>
        <w:rPr>
          <w:sz w:val="20"/>
          <w:szCs w:val="20"/>
          <w:color w:val="auto"/>
        </w:rPr>
      </w:pPr>
    </w:p>
    <w:p>
      <w:pPr>
        <w:jc w:val="both"/>
        <w:ind w:left="1260" w:right="419"/>
        <w:spacing w:after="0" w:line="269" w:lineRule="auto"/>
        <w:rPr>
          <w:sz w:val="20"/>
          <w:szCs w:val="20"/>
          <w:color w:val="auto"/>
        </w:rPr>
      </w:pPr>
      <w:r>
        <w:rPr>
          <w:rFonts w:ascii="Times New Roman" w:cs="Times New Roman" w:eastAsia="Times New Roman" w:hAnsi="Times New Roman"/>
          <w:sz w:val="18"/>
          <w:szCs w:val="18"/>
          <w:color w:val="auto"/>
        </w:rPr>
        <w:t>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 on its consolidated financial statements.</w:t>
      </w:r>
    </w:p>
    <w:p>
      <w:pPr>
        <w:spacing w:after="0" w:line="105"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which requires the disclosure of specific categories in the rate reconciliation and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for income taxes paid. This standard is effective for annual periods beginning after December 15, 2024 and should be adopted prospectively with the option to be adopted retrospectively. The Company is currently evaluating the impact of this standard on its disclosure on its consolidated financial statements.</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62"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The guidance establishes three levels of the fair value hierarchy as follows:</w:t>
      </w:r>
    </w:p>
    <w:p>
      <w:pPr>
        <w:spacing w:after="0" w:line="1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58"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1" w:lineRule="exact"/>
        <w:rPr>
          <w:sz w:val="20"/>
          <w:szCs w:val="20"/>
          <w:color w:val="auto"/>
        </w:rPr>
      </w:pPr>
    </w:p>
    <w:p>
      <w:pPr>
        <w:jc w:val="both"/>
        <w:ind w:left="1260" w:right="419"/>
        <w:spacing w:after="0" w:line="297"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82"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The Company recognizes transfers into and out of levels within the fair value hierarchy in the period in which the actual event or change in circumstances that caused the transfer occurs.</w:t>
      </w:r>
    </w:p>
    <w:p>
      <w:pPr>
        <w:spacing w:after="0" w:line="334"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Company’s financial instruments consist of Level 1, Level 2 and Level 3 financial instruments. Changes in the ability to observe valuation inputs may result in a reclassification of levels of certain securities within the fair value hierarchy.</w:t>
      </w:r>
    </w:p>
    <w:p>
      <w:pPr>
        <w:spacing w:after="0" w:line="11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Level 1 financial instruments are comprised of money market funds and U.S. treasuries. Level 2 financial instruments are comprised of commercial paper, U.S. treasuries, corporate bonds, supranational debt securities and agency bonds. Level 3 financial instruments include a derivative liability issued in May 2023 and settled in October 2023 in connection with the closing of the second tranche of the Series B-2 and B-2A redeemable convertible preferred stock financing.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Fair Value Measurements (Continued)</w:t>
      </w:r>
    </w:p>
    <w:p>
      <w:pPr>
        <w:spacing w:after="0" w:line="229"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color w:val="auto"/>
        </w:rPr>
        <w:t>The following tables represent the Company’s fair value hierarchy for financial assets measured at fair value on a recurring basis as of December 31, 2022 and 2023 (in thousands):</w:t>
      </w:r>
    </w:p>
    <w:p>
      <w:pPr>
        <w:spacing w:after="0" w:line="2"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00" w:type="dxa"/>
            <w:vAlign w:val="bottom"/>
            <w:gridSpan w:val="17"/>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Fair Value Measurements as of December 31, 2022 </w:t>
            </w:r>
            <w:r>
              <w:rPr>
                <w:rFonts w:ascii="Times New Roman" w:cs="Times New Roman" w:eastAsia="Times New Roman" w:hAnsi="Times New Roman"/>
                <w:sz w:val="28"/>
                <w:szCs w:val="28"/>
                <w:b w:val="1"/>
                <w:bCs w:val="1"/>
                <w:color w:val="auto"/>
                <w:w w:val="99"/>
                <w:vertAlign w:val="subscript"/>
              </w:rPr>
              <w:t>​</w:t>
            </w:r>
          </w:p>
        </w:tc>
      </w:tr>
      <w:tr>
        <w:trPr>
          <w:trHeight w:val="196"/>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760" w:type="dxa"/>
            <w:vAlign w:val="bottom"/>
          </w:tcPr>
          <w:p>
            <w:pPr>
              <w:spacing w:after="0"/>
              <w:rPr>
                <w:sz w:val="17"/>
                <w:szCs w:val="17"/>
                <w:color w:val="auto"/>
              </w:rPr>
            </w:pPr>
          </w:p>
        </w:tc>
        <w:tc>
          <w:tcPr>
            <w:tcW w:w="142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7"/>
              </w:rPr>
              <w:t>Level 2</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gridSpan w:val="3"/>
          </w:tcPr>
          <w:p>
            <w:pPr>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Level 3 </w:t>
            </w:r>
            <w:r>
              <w:rPr>
                <w:rFonts w:ascii="Times New Roman" w:cs="Times New Roman" w:eastAsia="Times New Roman" w:hAnsi="Times New Roman"/>
                <w:sz w:val="21"/>
                <w:szCs w:val="21"/>
                <w:b w:val="1"/>
                <w:bCs w:val="1"/>
                <w:color w:val="auto"/>
                <w:vertAlign w:val="subscript"/>
              </w:rPr>
              <w:t>​</w:t>
            </w:r>
          </w:p>
        </w:tc>
        <w:tc>
          <w:tcPr>
            <w:tcW w:w="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Total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60" w:type="dxa"/>
            <w:vAlign w:val="bottom"/>
          </w:tcPr>
          <w:p>
            <w:pPr>
              <w:spacing w:after="0"/>
              <w:rPr>
                <w:sz w:val="24"/>
                <w:szCs w:val="24"/>
                <w:color w:val="auto"/>
              </w:rPr>
            </w:pPr>
          </w:p>
        </w:tc>
        <w:tc>
          <w:tcPr>
            <w:tcW w:w="14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4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​$19,546 ​​</w:t>
            </w:r>
          </w:p>
        </w:tc>
        <w:tc>
          <w:tcPr>
            <w:tcW w:w="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​$19,546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4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 ​31,271 ​​</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​31,271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​19,255 ​​</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​19,255 </w:t>
            </w:r>
            <w:r>
              <w:rPr>
                <w:rFonts w:ascii="Times New Roman" w:cs="Times New Roman" w:eastAsia="Times New Roman" w:hAnsi="Times New Roman"/>
                <w:sz w:val="18"/>
                <w:szCs w:val="18"/>
                <w:b w:val="1"/>
                <w:bCs w:val="1"/>
                <w:color w:val="auto"/>
              </w:rPr>
              <w:t>​</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4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 ​10,795 ​​</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​10,795</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Supranational debt securities</w:t>
            </w:r>
          </w:p>
        </w:tc>
        <w:tc>
          <w:tcPr>
            <w:tcW w:w="1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3,976 ​​</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 3,976 </w:t>
            </w:r>
            <w:r>
              <w:rPr>
                <w:rFonts w:ascii="Times New Roman" w:cs="Times New Roman" w:eastAsia="Times New Roman" w:hAnsi="Times New Roman"/>
                <w:sz w:val="18"/>
                <w:szCs w:val="18"/>
                <w:b w:val="1"/>
                <w:bCs w:val="1"/>
                <w:color w:val="auto"/>
              </w:rPr>
              <w:t>​</w:t>
            </w:r>
          </w:p>
        </w:tc>
      </w:tr>
      <w:tr>
        <w:trPr>
          <w:trHeight w:val="27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Agency bonds</w:t>
            </w:r>
          </w:p>
        </w:tc>
        <w:tc>
          <w:tcPr>
            <w:tcW w:w="14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50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280" w:type="dxa"/>
            <w:vAlign w:val="bottom"/>
            <w:gridSpan w:val="4"/>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60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1,958 </w:t>
            </w:r>
            <w:r>
              <w:rPr>
                <w:rFonts w:ascii="Times New Roman" w:cs="Times New Roman" w:eastAsia="Times New Roman" w:hAnsi="Times New Roman"/>
                <w:sz w:val="31"/>
                <w:szCs w:val="31"/>
                <w:color w:val="auto"/>
                <w:vertAlign w:val="subscript"/>
              </w:rPr>
              <w:t>​​</w:t>
            </w:r>
          </w:p>
        </w:tc>
        <w:tc>
          <w:tcPr>
            <w:tcW w:w="70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w:t>
            </w:r>
          </w:p>
        </w:tc>
        <w:tc>
          <w:tcPr>
            <w:tcW w:w="680" w:type="dxa"/>
            <w:vAlign w:val="bottom"/>
            <w:tcBorders>
              <w:right w:val="single" w:sz="8" w:color="CCEEFF"/>
            </w:tcBorders>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1,958</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6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3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38,801 </w:t>
            </w:r>
            <w:r>
              <w:rPr>
                <w:rFonts w:ascii="Times New Roman" w:cs="Times New Roman" w:eastAsia="Times New Roman" w:hAnsi="Times New Roman"/>
                <w:sz w:val="28"/>
                <w:szCs w:val="28"/>
                <w:color w:val="auto"/>
                <w:vertAlign w:val="subscript"/>
              </w:rPr>
              <w:t>​​</w:t>
            </w:r>
          </w:p>
        </w:tc>
        <w:tc>
          <w:tcPr>
            <w:tcW w:w="880" w:type="dxa"/>
            <w:vAlign w:val="bottom"/>
            <w:gridSpan w:val="7"/>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48,000 </w:t>
            </w:r>
            <w:r>
              <w:rPr>
                <w:rFonts w:ascii="Times New Roman" w:cs="Times New Roman" w:eastAsia="Times New Roman" w:hAnsi="Times New Roman"/>
                <w:sz w:val="28"/>
                <w:szCs w:val="28"/>
                <w:color w:val="auto"/>
                <w:vertAlign w:val="subscript"/>
              </w:rPr>
              <w:t>​​</w:t>
            </w:r>
          </w:p>
        </w:tc>
        <w:tc>
          <w:tcPr>
            <w:tcW w:w="7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w:t>
            </w:r>
          </w:p>
        </w:tc>
        <w:tc>
          <w:tcPr>
            <w:tcW w:w="76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86,801 </w:t>
            </w:r>
            <w:r>
              <w:rPr>
                <w:rFonts w:ascii="Times New Roman" w:cs="Times New Roman" w:eastAsia="Times New Roman" w:hAnsi="Times New Roman"/>
                <w:sz w:val="28"/>
                <w:szCs w:val="28"/>
                <w:b w:val="1"/>
                <w:bCs w:val="1"/>
                <w:color w:val="auto"/>
                <w:vertAlign w:val="subscript"/>
              </w:rPr>
              <w:t>​</w:t>
            </w:r>
          </w:p>
        </w:tc>
      </w:tr>
      <w:tr>
        <w:trPr>
          <w:trHeight w:val="20"/>
        </w:trPr>
        <w:tc>
          <w:tcPr>
            <w:tcW w:w="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6"/>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Fair Value Measurements as of December 31, 2023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760" w:type="dxa"/>
            <w:vAlign w:val="bottom"/>
          </w:tcPr>
          <w:p>
            <w:pPr>
              <w:spacing w:after="0"/>
              <w:rPr>
                <w:sz w:val="17"/>
                <w:szCs w:val="17"/>
                <w:color w:val="auto"/>
              </w:rPr>
            </w:pPr>
          </w:p>
        </w:tc>
        <w:tc>
          <w:tcPr>
            <w:tcW w:w="142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7"/>
                <w:szCs w:val="17"/>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87"/>
              </w:rPr>
              <w:t>Level 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2"/>
                <w:szCs w:val="12"/>
                <w:b w:val="1"/>
                <w:bCs w:val="1"/>
                <w:color w:val="auto"/>
              </w:rPr>
              <w:t xml:space="preserve">Level 3  </w:t>
            </w:r>
            <w:r>
              <w:rPr>
                <w:rFonts w:ascii="Times New Roman" w:cs="Times New Roman" w:eastAsia="Times New Roman" w:hAnsi="Times New Roman"/>
                <w:sz w:val="21"/>
                <w:szCs w:val="21"/>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60" w:type="dxa"/>
            <w:vAlign w:val="bottom"/>
          </w:tcPr>
          <w:p>
            <w:pPr>
              <w:spacing w:after="0"/>
              <w:rPr>
                <w:sz w:val="24"/>
                <w:szCs w:val="24"/>
                <w:color w:val="auto"/>
              </w:rPr>
            </w:pPr>
          </w:p>
        </w:tc>
        <w:tc>
          <w:tcPr>
            <w:tcW w:w="142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3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800" w:type="dxa"/>
            <w:vAlign w:val="bottom"/>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 ​ ​ ​</w:t>
            </w:r>
          </w:p>
        </w:tc>
        <w:tc>
          <w:tcPr>
            <w:tcW w:w="34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8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340" w:type="dxa"/>
            <w:vAlign w:val="bottom"/>
            <w:gridSpan w:val="7"/>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 ​ ​$21,310 ​​</w:t>
            </w:r>
          </w:p>
        </w:tc>
        <w:tc>
          <w:tcPr>
            <w:tcW w:w="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Borders>
              <w:right w:val="single" w:sz="8" w:color="CCEEFF"/>
            </w:tcBorders>
            <w:shd w:val="clear" w:color="auto" w:fill="CCEEFF"/>
          </w:tcPr>
          <w:p>
            <w:pPr>
              <w:spacing w:after="0"/>
              <w:rPr>
                <w:sz w:val="22"/>
                <w:szCs w:val="22"/>
                <w:color w:val="auto"/>
              </w:rPr>
            </w:pPr>
          </w:p>
        </w:tc>
        <w:tc>
          <w:tcPr>
            <w:tcW w:w="5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​$21,310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gridSpan w:val="7"/>
          </w:tcPr>
          <w:p>
            <w:pPr>
              <w:ind w:left="1320"/>
              <w:spacing w:after="0"/>
              <w:rPr>
                <w:sz w:val="20"/>
                <w:szCs w:val="20"/>
                <w:color w:val="auto"/>
              </w:rPr>
            </w:pPr>
            <w:r>
              <w:rPr>
                <w:rFonts w:ascii="Times New Roman" w:cs="Times New Roman" w:eastAsia="Times New Roman" w:hAnsi="Times New Roman"/>
                <w:sz w:val="18"/>
                <w:szCs w:val="18"/>
                <w:color w:val="auto"/>
              </w:rPr>
              <w:t>​ ​ ​ ​ 2,000 ​​</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 2,000 </w:t>
            </w:r>
            <w:r>
              <w:rPr>
                <w:rFonts w:ascii="Times New Roman" w:cs="Times New Roman" w:eastAsia="Times New Roman" w:hAnsi="Times New Roman"/>
                <w:sz w:val="18"/>
                <w:szCs w:val="18"/>
                <w:b w:val="1"/>
                <w:bCs w:val="1"/>
                <w:color w:val="auto"/>
              </w:rPr>
              <w:t>​</w:t>
            </w:r>
          </w:p>
        </w:tc>
      </w:tr>
      <w:tr>
        <w:trPr>
          <w:trHeight w:val="25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0" w:type="dxa"/>
            <w:vAlign w:val="bottom"/>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 ​ ​ ​</w:t>
            </w:r>
          </w:p>
        </w:tc>
        <w:tc>
          <w:tcPr>
            <w:tcW w:w="34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8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gridSpan w:val="7"/>
          </w:tcPr>
          <w:p>
            <w:pPr>
              <w:ind w:left="1320"/>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1,958 </w:t>
            </w:r>
            <w:r>
              <w:rPr>
                <w:rFonts w:ascii="Times New Roman" w:cs="Times New Roman" w:eastAsia="Times New Roman" w:hAnsi="Times New Roman"/>
                <w:sz w:val="31"/>
                <w:szCs w:val="31"/>
                <w:color w:val="auto"/>
                <w:vertAlign w:val="subscript"/>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​998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3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2,956 </w:t>
            </w:r>
            <w:r>
              <w:rPr>
                <w:rFonts w:ascii="Times New Roman" w:cs="Times New Roman" w:eastAsia="Times New Roman" w:hAnsi="Times New Roman"/>
                <w:sz w:val="31"/>
                <w:szCs w:val="31"/>
                <w:b w:val="1"/>
                <w:bCs w:val="1"/>
                <w:color w:val="auto"/>
                <w:vertAlign w:val="subscript"/>
              </w:rPr>
              <w:t>​</w:t>
            </w:r>
          </w:p>
        </w:tc>
      </w:tr>
      <w:tr>
        <w:trPr>
          <w:trHeight w:val="20"/>
        </w:trPr>
        <w:tc>
          <w:tcPr>
            <w:tcW w:w="86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CCEEFF"/>
            </w:tcBorders>
            <w:gridSpan w:val="2"/>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gridSpan w:val="2"/>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83"/>
        </w:trPr>
        <w:tc>
          <w:tcPr>
            <w:tcW w:w="3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25,268 </w:t>
            </w:r>
            <w:r>
              <w:rPr>
                <w:rFonts w:ascii="Times New Roman" w:cs="Times New Roman" w:eastAsia="Times New Roman" w:hAnsi="Times New Roman"/>
                <w:sz w:val="28"/>
                <w:szCs w:val="28"/>
                <w:color w:val="auto"/>
                <w:vertAlign w:val="subscript"/>
              </w:rPr>
              <w:t>​​</w:t>
            </w:r>
          </w:p>
        </w:tc>
        <w:tc>
          <w:tcPr>
            <w:tcW w:w="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998</w:t>
            </w:r>
            <w:r>
              <w:rPr>
                <w:rFonts w:ascii="Times New Roman" w:cs="Times New Roman" w:eastAsia="Times New Roman" w:hAnsi="Times New Roman"/>
                <w:sz w:val="15"/>
                <w:szCs w:val="15"/>
                <w:color w:val="auto"/>
              </w:rPr>
              <w:t xml:space="preserve"> ​​ ​</w:t>
            </w:r>
          </w:p>
        </w:tc>
        <w:tc>
          <w:tcPr>
            <w:tcW w:w="80" w:type="dxa"/>
            <w:vAlign w:val="bottom"/>
            <w:tcBorders>
              <w:right w:val="single" w:sz="8" w:color="CCEEFF"/>
            </w:tcBorders>
            <w:shd w:val="clear" w:color="auto" w:fill="CCEEFF"/>
          </w:tcPr>
          <w:p>
            <w:pPr>
              <w:spacing w:after="0"/>
              <w:rPr>
                <w:sz w:val="24"/>
                <w:szCs w:val="24"/>
                <w:color w:val="auto"/>
              </w:rPr>
            </w:pPr>
          </w:p>
        </w:tc>
        <w:tc>
          <w:tcPr>
            <w:tcW w:w="560" w:type="dxa"/>
            <w:vAlign w:val="bottom"/>
            <w:tcBorders>
              <w:lef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w:t>
            </w:r>
          </w:p>
        </w:tc>
        <w:tc>
          <w:tcPr>
            <w:tcW w:w="740" w:type="dxa"/>
            <w:vAlign w:val="bottom"/>
            <w:tcBorders>
              <w:right w:val="single" w:sz="8" w:color="CCEEFF"/>
            </w:tcBorders>
            <w:gridSpan w:val="3"/>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26,266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-3342640</wp:posOffset>
            </wp:positionV>
            <wp:extent cx="5212080" cy="1631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-1868170</wp:posOffset>
            </wp:positionV>
            <wp:extent cx="1714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-1199515</wp:posOffset>
            </wp:positionV>
            <wp:extent cx="5212080" cy="1631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-548005</wp:posOffset>
            </wp:positionV>
            <wp:extent cx="5212080" cy="162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-213995</wp:posOffset>
            </wp:positionV>
            <wp:extent cx="342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-213995</wp:posOffset>
            </wp:positionV>
            <wp:extent cx="22288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34594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21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derivative liability is a freestanding financial instrument and represents the Company’s obligation to issue additional shares of Series B-2 and B-2A redeemable convertible preferred stock at a fixed price upon the approval by the board of directors. The derivative liability’s fair value was estimated using a Black-Scholes option pricing model adjusted for the probability of occurring. Significant estimates and assumptions impacting fair value include the estimated time and probability of closing of the second tranche financing, preferred stock fair value and estimated stock volatility.</w:t>
      </w:r>
    </w:p>
    <w:p>
      <w:pPr>
        <w:spacing w:after="0" w:line="109" w:lineRule="exact"/>
        <w:rPr>
          <w:sz w:val="20"/>
          <w:szCs w:val="20"/>
          <w:color w:val="auto"/>
        </w:rPr>
      </w:pPr>
    </w:p>
    <w:p>
      <w:pPr>
        <w:jc w:val="both"/>
        <w:ind w:left="1260" w:right="419"/>
        <w:spacing w:after="0" w:line="297" w:lineRule="auto"/>
        <w:rPr>
          <w:sz w:val="20"/>
          <w:szCs w:val="20"/>
          <w:color w:val="auto"/>
        </w:rPr>
      </w:pPr>
      <w:r>
        <w:rPr>
          <w:rFonts w:ascii="Times New Roman" w:cs="Times New Roman" w:eastAsia="Times New Roman" w:hAnsi="Times New Roman"/>
          <w:sz w:val="18"/>
          <w:szCs w:val="18"/>
          <w:color w:val="auto"/>
        </w:rPr>
        <w:t>The following table provides roll-forward of the fair value of the Company’s Level 3 financial instruments, the derivative liability, for the year ended December 31, 2023 (in thousands):</w:t>
      </w:r>
    </w:p>
    <w:p>
      <w:pPr>
        <w:sectPr>
          <w:pgSz w:w="11900" w:h="16838" w:orient="portrait"/>
          <w:cols w:equalWidth="0" w:num="1">
            <w:col w:w="9879"/>
          </w:cols>
          <w:pgMar w:left="580" w:top="97" w:right="1440" w:bottom="1440" w:gutter="0" w:footer="0" w:header="0"/>
        </w:sectPr>
      </w:pP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Balance​ as of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Fair​ value upon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Changes​ in fair value</w:t>
      </w:r>
    </w:p>
    <w:p>
      <w:pPr>
        <w:ind w:left="1260"/>
        <w:spacing w:after="0" w:line="190" w:lineRule="auto"/>
        <w:rPr>
          <w:sz w:val="20"/>
          <w:szCs w:val="20"/>
          <w:color w:val="auto"/>
        </w:rPr>
      </w:pPr>
      <w:r>
        <w:rPr>
          <w:rFonts w:ascii="Times New Roman" w:cs="Times New Roman" w:eastAsia="Times New Roman" w:hAnsi="Times New Roman"/>
          <w:sz w:val="18"/>
          <w:szCs w:val="18"/>
          <w:color w:val="auto"/>
        </w:rPr>
        <w:t>Fair</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value upon settlement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1968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ind w:left="1260"/>
        <w:spacing w:after="0" w:line="185" w:lineRule="auto"/>
        <w:rPr>
          <w:sz w:val="20"/>
          <w:szCs w:val="20"/>
          <w:color w:val="auto"/>
        </w:rPr>
      </w:pPr>
      <w:r>
        <w:rPr>
          <w:rFonts w:ascii="Times New Roman" w:cs="Times New Roman" w:eastAsia="Times New Roman" w:hAnsi="Times New Roman"/>
          <w:sz w:val="18"/>
          <w:szCs w:val="18"/>
          <w:color w:val="auto"/>
        </w:rPr>
        <w:t>Balance</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as of December 31, 2023</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
        <w:spacing w:after="0"/>
        <w:tabs>
          <w:tab w:leader="none" w:pos="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4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 ​​ ​ 2,112​</w:t>
      </w:r>
    </w:p>
    <w:p>
      <w:pPr>
        <w:spacing w:after="0" w:line="50" w:lineRule="exact"/>
        <w:rPr>
          <w:sz w:val="20"/>
          <w:szCs w:val="20"/>
          <w:color w:val="auto"/>
        </w:rPr>
      </w:pPr>
    </w:p>
    <w:p>
      <w:pPr>
        <w:ind w:left="1"/>
        <w:spacing w:after="0"/>
        <w:tabs>
          <w:tab w:leader="none" w:pos="440" w:val="left"/>
        </w:tabs>
        <w:rPr>
          <w:sz w:val="20"/>
          <w:szCs w:val="20"/>
          <w:color w:val="auto"/>
        </w:rPr>
      </w:pPr>
      <w:r>
        <w:rPr>
          <w:rFonts w:ascii="Times New Roman" w:cs="Times New Roman" w:eastAsia="Times New Roman" w:hAnsi="Times New Roman"/>
          <w:sz w:val="18"/>
          <w:szCs w:val="18"/>
          <w:color w:val="auto"/>
        </w:rPr>
        <w:t>​ ​​ ​</w:t>
        <w:tab/>
        <w:t>119​</w:t>
      </w:r>
    </w:p>
    <w:p>
      <w:pPr>
        <w:ind w:left="101" w:hanging="101"/>
        <w:spacing w:after="0" w:line="185" w:lineRule="auto"/>
        <w:tabs>
          <w:tab w:leader="none" w:pos="101" w:val="left"/>
        </w:tabs>
        <w:numPr>
          <w:ilvl w:val="0"/>
          <w:numId w:val="141"/>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​(2,231</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36"/>
          <w:szCs w:val="36"/>
          <w:color w:val="auto"/>
          <w:vertAlign w:val="subscript"/>
        </w:rPr>
      </w:pPr>
    </w:p>
    <w:p>
      <w:pPr>
        <w:ind w:left="101" w:hanging="101"/>
        <w:spacing w:after="0"/>
        <w:tabs>
          <w:tab w:leader="none" w:pos="10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35"/>
          <w:szCs w:val="35"/>
          <w:u w:val="single" w:color="auto"/>
          <w:color w:val="auto"/>
          <w:vertAlign w:val="superscript"/>
        </w:rPr>
        <w:t>$   —</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8019" w:space="720"/>
            <w:col w:w="1140"/>
          </w:cols>
          <w:pgMar w:left="580" w:top="97" w:right="1440"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6880" w:type="dxa"/>
            <w:vAlign w:val="bottom"/>
            <w:gridSpan w:val="16"/>
          </w:tcPr>
          <w:p>
            <w:pPr>
              <w:ind w:left="1360"/>
              <w:spacing w:after="0"/>
              <w:rPr>
                <w:sz w:val="20"/>
                <w:szCs w:val="20"/>
                <w:color w:val="auto"/>
              </w:rPr>
            </w:pPr>
            <w:r>
              <w:rPr>
                <w:rFonts w:ascii="Times New Roman" w:cs="Times New Roman" w:eastAsia="Times New Roman" w:hAnsi="Times New Roman"/>
                <w:sz w:val="18"/>
                <w:szCs w:val="18"/>
                <w:b w:val="1"/>
                <w:bCs w:val="1"/>
                <w:color w:val="auto"/>
                <w:w w:val="95"/>
              </w:rPr>
              <w:t>NOTES TO CONSOLIDATED FINANCIAL STATEMENTS (Continued)</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Fair Value Measurements (Continued)</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2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The following table provides a range of assumptions used in the valuation of the derivative liability for the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​Expected term (in years)</w:t>
            </w:r>
          </w:p>
        </w:tc>
        <w:tc>
          <w:tcPr>
            <w:tcW w:w="5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0.01 – 0.41</w:t>
            </w:r>
          </w:p>
        </w:tc>
        <w:tc>
          <w:tcPr>
            <w:tcW w:w="220" w:type="dxa"/>
            <w:vAlign w:val="bottom"/>
            <w:tcBorders>
              <w:left w:val="single" w:sz="8" w:color="CCEEFF"/>
            </w:tcBorders>
            <w:shd w:val="clear" w:color="auto" w:fill="CCEEFF"/>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Volatility</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7"/>
          </w:tcPr>
          <w:p>
            <w:pPr>
              <w:jc w:val="center"/>
              <w:spacing w:after="0" w:line="202" w:lineRule="exact"/>
              <w:rPr>
                <w:sz w:val="20"/>
                <w:szCs w:val="20"/>
                <w:color w:val="auto"/>
              </w:rPr>
            </w:pPr>
            <w:r>
              <w:rPr>
                <w:rFonts w:ascii="Times New Roman" w:cs="Times New Roman" w:eastAsia="Times New Roman" w:hAnsi="Times New Roman"/>
                <w:sz w:val="18"/>
                <w:szCs w:val="18"/>
                <w:color w:val="auto"/>
              </w:rPr>
              <w:t>43.19% – 83.25%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 – 5.55%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4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40" w:type="dxa"/>
            <w:vAlign w:val="bottom"/>
            <w:tcBorders>
              <w:right w:val="single" w:sz="8" w:color="CCEEFF"/>
            </w:tcBorders>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center"/>
              <w:ind w:right="57"/>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event occurring</w:t>
            </w: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30% – 100%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4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40" w:type="dxa"/>
            <w:vAlign w:val="bottom"/>
            <w:tcBorders>
              <w:right w:val="single" w:sz="8" w:color="CCEEFF"/>
            </w:tcBorders>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3"/>
        </w:trPr>
        <w:tc>
          <w:tcPr>
            <w:tcW w:w="82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categories for the years ended 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2022 and 2023.</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82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Marketable  securities,  which  are  classified  as  available-for-sale,  consisted  of  the  following  as  of</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 and 2023 (in thousands):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3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 as of</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Amortized Cost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lef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​$31,271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​$31,271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​19,309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(54) ​​ ​</w:t>
            </w:r>
          </w:p>
        </w:tc>
        <w:tc>
          <w:tcPr>
            <w:tcW w:w="9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​19,255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​10,841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(46) ​​ ​</w:t>
            </w:r>
          </w:p>
        </w:tc>
        <w:tc>
          <w:tcPr>
            <w:tcW w:w="9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​10,795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Supranational debt securities</w:t>
            </w: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 4,005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(29) ​​ ​</w:t>
            </w:r>
          </w:p>
        </w:tc>
        <w:tc>
          <w:tcPr>
            <w:tcW w:w="9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 3,976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Agency bonds</w:t>
            </w:r>
          </w:p>
        </w:tc>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1,956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1,958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67,382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8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7"/>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(129) </w:t>
            </w:r>
            <w:r>
              <w:rPr>
                <w:rFonts w:ascii="Times New Roman" w:cs="Times New Roman" w:eastAsia="Times New Roman" w:hAnsi="Times New Roman"/>
                <w:sz w:val="28"/>
                <w:szCs w:val="28"/>
                <w:color w:val="auto"/>
                <w:vertAlign w:val="subscript"/>
              </w:rPr>
              <w:t>​​ ​</w:t>
            </w:r>
          </w:p>
        </w:tc>
        <w:tc>
          <w:tcPr>
            <w:tcW w:w="960" w:type="dxa"/>
            <w:vAlign w:val="bottom"/>
            <w:gridSpan w:val="3"/>
            <w:shd w:val="clear" w:color="auto" w:fill="CCEEFF"/>
          </w:tcPr>
          <w:p>
            <w:pPr>
              <w:jc w:val="right"/>
              <w:ind w:right="9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67,255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 as of</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Amortized Cost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right w:val="single" w:sz="8" w:color="CCEEFF"/>
            </w:tcBorders>
            <w:shd w:val="clear" w:color="auto" w:fill="CCEEFF"/>
          </w:tcPr>
          <w:p>
            <w:pPr>
              <w:spacing w:after="0"/>
              <w:rPr>
                <w:sz w:val="21"/>
                <w:szCs w:val="21"/>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center"/>
              <w:ind w:right="277"/>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lef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3"/>
                <w:szCs w:val="23"/>
                <w:color w:val="auto"/>
              </w:rPr>
            </w:pPr>
          </w:p>
        </w:tc>
        <w:tc>
          <w:tcPr>
            <w:tcW w:w="50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w w:val="98"/>
                <w:vertAlign w:val="subscript"/>
              </w:rPr>
              <w:t>​</w:t>
            </w: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2,954</w:t>
            </w:r>
          </w:p>
        </w:tc>
        <w:tc>
          <w:tcPr>
            <w:tcW w:w="22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42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14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50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2,956</w:t>
            </w:r>
          </w:p>
        </w:tc>
        <w:tc>
          <w:tcPr>
            <w:tcW w:w="2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2,954</w:t>
            </w:r>
          </w:p>
        </w:tc>
        <w:tc>
          <w:tcPr>
            <w:tcW w:w="220" w:type="dxa"/>
            <w:vAlign w:val="bottom"/>
            <w:tcBorders>
              <w:left w:val="single" w:sz="8" w:color="CCEEFF"/>
            </w:tcBorders>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spacing w:after="0"/>
              <w:rPr>
                <w:sz w:val="24"/>
                <w:szCs w:val="24"/>
                <w:color w:val="auto"/>
              </w:rPr>
            </w:pPr>
          </w:p>
        </w:tc>
        <w:tc>
          <w:tcPr>
            <w:tcW w:w="38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80" w:type="dxa"/>
            <w:vAlign w:val="bottom"/>
            <w:tcBorders>
              <w:lef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2,956</w:t>
            </w:r>
          </w:p>
        </w:tc>
        <w:tc>
          <w:tcPr>
            <w:tcW w:w="220" w:type="dxa"/>
            <w:vAlign w:val="bottom"/>
            <w:tcBorders>
              <w:left w:val="single" w:sz="8" w:color="CCEEFF"/>
            </w:tcBorders>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5892165</wp:posOffset>
            </wp:positionH>
            <wp:positionV relativeFrom="paragraph">
              <wp:posOffset>-1268095</wp:posOffset>
            </wp:positionV>
            <wp:extent cx="12001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-1268095</wp:posOffset>
            </wp:positionV>
            <wp:extent cx="33401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-1268095</wp:posOffset>
            </wp:positionV>
            <wp:extent cx="410591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105910" cy="8890"/>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-2262505</wp:posOffset>
            </wp:positionV>
            <wp:extent cx="1371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-2262505</wp:posOffset>
            </wp:positionV>
            <wp:extent cx="137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-2262505</wp:posOffset>
            </wp:positionV>
            <wp:extent cx="34544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-213995</wp:posOffset>
            </wp:positionV>
            <wp:extent cx="14541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74916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-556895</wp:posOffset>
            </wp:positionV>
            <wp:extent cx="1371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-556895</wp:posOffset>
            </wp:positionV>
            <wp:extent cx="13716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34544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0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All marketable securities held as of December 31, 2022 and 2023 had contractual maturities of less than one year.</w:t>
      </w:r>
    </w:p>
    <w:p>
      <w:pPr>
        <w:spacing w:after="0" w:line="34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As of December 31, 2022 and 2023, no significant facts or circumstances were present to indicate a deterioration in the creditworthiness of the issuers of the marketable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For all securities with a fair value less than its amortized cost basis, the Company determined the decline in fair value below amortized cost basis to be immaterial and non-credit related, and therefore no allowance for losses has been recorded. For the years ended December 31, 2022 and 2023, the Company did not recognize any impairment losses on its investments.</w:t>
      </w:r>
    </w:p>
    <w:p>
      <w:pPr>
        <w:spacing w:after="0" w:line="34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As of December 31, 2022 and 2023, accrued interest receivable was $0.1 million and $0, which is recorded in the marketable securities in the consolidated balance sheets.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Useful Life</w:t>
            </w:r>
          </w:p>
        </w:tc>
        <w:tc>
          <w:tcPr>
            <w:tcW w:w="2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r>
      <w:tr>
        <w:trPr>
          <w:trHeight w:val="214"/>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 years)</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 1,709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useful life or</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3920" w:type="dxa"/>
            <w:vAlign w:val="bottom"/>
          </w:tcPr>
          <w:p>
            <w:pPr>
              <w:spacing w:after="0"/>
              <w:rPr>
                <w:sz w:val="21"/>
                <w:szCs w:val="21"/>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lease term</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​17,592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​3,037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​23,849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(257)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​(1,408) </w:t>
            </w:r>
            <w:r>
              <w:rPr>
                <w:rFonts w:ascii="Times New Roman" w:cs="Times New Roman" w:eastAsia="Times New Roman" w:hAnsi="Times New Roman"/>
                <w:sz w:val="31"/>
                <w:szCs w:val="31"/>
                <w:b w:val="1"/>
                <w:bCs w:val="1"/>
                <w:color w:val="auto"/>
                <w:vertAlign w:val="subscript"/>
              </w:rPr>
              <w:t>​</w:t>
            </w:r>
          </w:p>
        </w:tc>
      </w:tr>
      <w:tr>
        <w:trPr>
          <w:trHeight w:val="20"/>
        </w:trPr>
        <w:tc>
          <w:tcPr>
            <w:tcW w:w="39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4"/>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22,441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52120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-1687830</wp:posOffset>
            </wp:positionV>
            <wp:extent cx="1371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-1687830</wp:posOffset>
            </wp:positionV>
            <wp:extent cx="1289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-1687830</wp:posOffset>
            </wp:positionV>
            <wp:extent cx="27000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9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$0.3 million and $1.3 million for the years ended December 31, 2022 and 2023, respectively.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Prepaid Expenses and Current Assets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prepaid expenses and current assets consist of the following (in thousands):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prepaid expenses and current assets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680" w:type="dxa"/>
            <w:vAlign w:val="bottom"/>
            <w:gridSpan w:val="4"/>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1,631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-719455</wp:posOffset>
            </wp:positionV>
            <wp:extent cx="467169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Accrued Expenses and Current Liabilities</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r>
      <w:tr>
        <w:trPr>
          <w:trHeight w:val="214"/>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personnel and related expenses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​$5,585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 ​1,093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 expenses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680" w:type="dxa"/>
            <w:vAlign w:val="bottom"/>
            <w:tcBorders>
              <w:right w:val="single" w:sz="8" w:color="CCEEFF"/>
            </w:tcBorders>
            <w:gridSpan w:val="3"/>
            <w:shd w:val="clear" w:color="auto" w:fill="CCEEFF"/>
          </w:tcPr>
          <w:p>
            <w:pPr>
              <w:jc w:val="center"/>
              <w:ind w:righ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409</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4,543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680" w:type="dxa"/>
            <w:vAlign w:val="bottom"/>
            <w:gridSpan w:val="3"/>
          </w:tcPr>
          <w:p>
            <w:pPr>
              <w:jc w:val="center"/>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7,087</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-719455</wp:posOffset>
            </wp:positionV>
            <wp:extent cx="46716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Foresite Labs Services Agreement</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Foresite Labs, LLC (“Foresite Labs”) is an affiliate of Foresite Capital Management, a stockholder of the Company. In January 2021, the Company entered into a services agreement with Foresite Labs, which was amended and restated in August 2021 and in December 2023, and expires in December 2026, unless terminated earlier by the parties. Thereafter, on each anniversary of the effective date, the agreement will automatically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Related Party Transactions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Foresite Labs Services Agreement (Continued)</w:t>
      </w:r>
    </w:p>
    <w:p>
      <w:pPr>
        <w:spacing w:after="0" w:line="22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renew for an additional one year term, unless terminated earlier by the parties. Foresite Labs provides services to assist the Company in exploring specified immunology genetic targets and general and administrative services. For the years ended December 31, 2022 and 2023, the Company recognized $1.6 million and $1.5 million as research and development expenses under the service agreement, respectively. General and administrative expenses under the service agreement were immaterial. Accrued expenses under the service agreement were $0 and less than $0.1 million as of December 31, 2022 and 2023, respectively.</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FronThera Acquisition</w:t>
      </w:r>
    </w:p>
    <w:p>
      <w:pPr>
        <w:spacing w:after="0" w:line="14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 xml:space="preserve">On March 5, 2021, the closing date, the Company entered into a stock purchase agreement to acquire FronThera U.S. Holdings, Inc. and its wholly owned subsidiary, FronThera U.S. Pharmaceuticals LLC (the “FronThera Acquisition”) . For accounting purposes, the transaction was accounted for as an asset acquisition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ASC 350, </w:t>
      </w:r>
      <w:r>
        <w:rPr>
          <w:rFonts w:ascii="Times New Roman" w:cs="Times New Roman" w:eastAsia="Times New Roman" w:hAnsi="Times New Roman"/>
          <w:sz w:val="18"/>
          <w:szCs w:val="18"/>
          <w:i w:val="1"/>
          <w:iCs w:val="1"/>
          <w:color w:val="auto"/>
        </w:rPr>
        <w:t>Intangibles —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w:t>
      </w:r>
      <w:r>
        <w:rPr>
          <w:rFonts w:ascii="Times New Roman" w:cs="Times New Roman" w:eastAsia="Times New Roman" w:hAnsi="Times New Roman"/>
          <w:sz w:val="18"/>
          <w:szCs w:val="18"/>
          <w:color w:val="auto"/>
        </w:rPr>
        <w:t>, after considering whether substantially all of the fair value of the gross assets acquired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concentrated in a single asset or group of assets.</w:t>
      </w:r>
    </w:p>
    <w:p>
      <w:pPr>
        <w:spacing w:after="0" w:line="112"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The purchase consideration included $60.0 million of cash paid at the closing date. The Company is also obligated to pay contingent consideration of up to an aggregate $120.0 million based on the achievement of specified clinical and approval milestones, including up to an aggregate of $70.0 million payable for clinical milestones, and for up to an aggregate of $50.0 million payable for approval milestones, all related to technology acquired under the agreement. The contingent milestones will be recorded when probable to be achieved.</w:t>
      </w:r>
    </w:p>
    <w:p>
      <w:pPr>
        <w:spacing w:after="0" w:line="33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in-process research and development asset related solely to acquired ESK-001 and related know-how and intellectual property. The Company concluded that the acquired asset does not have an alternative future use and recognized the full amount as research and development expenses in the consolidated statement of operations and comprehensive loss in March 2021.</w:t>
      </w:r>
    </w:p>
    <w:p>
      <w:pPr>
        <w:spacing w:after="0" w:line="99"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The Company incurred and paid a milestone of $37.0 million in 2022 for the first administration of ESK-001 to a patient enrolled in a Phase 2 clinical trial of ESK-001, which was recorded as research and development expense in the consolidated statement of operations and comprehensive loss for the year ended December 31, 2022. As of December 31, 2022 and 2023, there are no remaining milestones probable and payable.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Commitments and Contingent Liabilities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62"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In 2021, the Company entered into a lease agreement for 14,000 square feet of office space in South San Francisco, California, which commenced in August 2021 and had a contractual termination date of September 2024. In September 2023, the Company abandoned this right-of-use asset as it had moved to its new office space described below; the Company recognized a loss on this abandonment in the amount of $0.6 million.</w:t>
      </w:r>
    </w:p>
    <w:p>
      <w:pPr>
        <w:spacing w:after="0" w:line="335"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January 2022, the Company entered into a lease agreement for 12,000 square feet of office and laboratory space in South San Francisco, California, that commenced in July 2022 and had a contractual termination date of July 2029. This lease contained an early termination option, allowing the Company to terminate this lease before the expiry of the lease term. The Company concluded the lease term for accounting purposes ended in August 2023. In April 2023, this lease was modified to reduce the contractual lease term to terminate in October 2023. The accounting impact of the modification was not material.</w:t>
      </w:r>
    </w:p>
    <w:p>
      <w:pPr>
        <w:spacing w:after="0" w:line="106"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In August 2022, the Company entered into a lease agreement for 55,000 square feet of additional office and laboratory space in South San Francisco, California, which commenced in January 2023 and has a contractual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Commitments and Contingent Liabilities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(Continued)</w:t>
      </w:r>
    </w:p>
    <w:p>
      <w:pPr>
        <w:spacing w:after="0" w:line="229"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termination date in August 2033. The Company constructed leasehold improvements in the space, which were concluded to be lessee assets. The lessor provided the Company a tenant improvement allowance of $17.2 million, of which $0.5 million and $16.7 million was received and was accounted for as a reduction to lease payments for the years ended December 31, 2022 and 2023, respectively. At the commencement date, future lease payments totaled $37.9 million, including $54.6 million in gross fixed payments less $16.7 million in lease incentives expected to be received during the first year of the lease. The lease liability at lease commencement was calculated to be $14.1 million, which is equal to the present value of the future lease payments, discounted at the incremental borrowing rate of 11.4%. Following the commencement date, the Company measured its lease liability and right-of-use asset in accordance with ASC 842-20-35-3. In accordance with this guidance, future lease payments increased as the $16.7 million incentive was received and future gross fixed payments were no longer offset by these incentives. The Company recorded the leasehold improvements in property and equipment, net in the consolidated balance sheet as of December 31, 2022 and 2023. The lease agreement also includes a renewal option allowing the Company to extend this lease for an additional three years at the prevailing rental rate, which the Company was not reasonably certain to exercise.</w:t>
      </w:r>
    </w:p>
    <w:p>
      <w:pPr>
        <w:spacing w:after="0" w:line="336"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The Company maintains letters of credit on these leases in the amount of $1.3 million and $1.1 million at December 31, 2022 and 2023, respectively. The lease letters of credit are reflected on the Company’s consolidated balance sheets in restricted cash, current and restricted cash, noncurrent as of December 31, 2022 and 2023.</w:t>
      </w:r>
    </w:p>
    <w:p>
      <w:pPr>
        <w:spacing w:after="0" w:line="1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components of lease costs were as follows (in thousands):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4"/>
                <w:szCs w:val="14"/>
                <w:color w:val="auto"/>
              </w:rPr>
            </w:pPr>
          </w:p>
        </w:tc>
      </w:tr>
      <w:tr>
        <w:trPr>
          <w:trHeight w:val="162"/>
        </w:trPr>
        <w:tc>
          <w:tcPr>
            <w:tcW w:w="3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r>
      <w:tr>
        <w:trPr>
          <w:trHeight w:val="214"/>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Borders>
              <w:bottom w:val="single" w:sz="8" w:color="CCEEFF"/>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34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​$4,747</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3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545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8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costs</w:t>
            </w:r>
          </w:p>
        </w:tc>
        <w:tc>
          <w:tcPr>
            <w:tcW w:w="234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1,195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5,292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67169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were as follows (in thousands):</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r>
      <w:tr>
        <w:trPr>
          <w:trHeight w:val="214"/>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included in the measurement of operating lease liabilities</w:t>
            </w: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​$2,903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468058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124" w:lineRule="exact"/>
        <w:rPr>
          <w:sz w:val="20"/>
          <w:szCs w:val="20"/>
          <w:color w:val="auto"/>
        </w:rPr>
      </w:pPr>
    </w:p>
    <w:p>
      <w:pPr>
        <w:ind w:left="1260" w:right="419"/>
        <w:spacing w:after="0" w:line="268" w:lineRule="auto"/>
        <w:rPr>
          <w:sz w:val="20"/>
          <w:szCs w:val="20"/>
          <w:color w:val="auto"/>
        </w:rPr>
      </w:pPr>
      <w:r>
        <w:rPr>
          <w:rFonts w:ascii="Times New Roman" w:cs="Times New Roman" w:eastAsia="Times New Roman" w:hAnsi="Times New Roman"/>
          <w:sz w:val="18"/>
          <w:szCs w:val="18"/>
          <w:color w:val="auto"/>
        </w:rPr>
        <w:t>Weighted-average remaining lease term and incremental borrowing rate for the operating leases were as follows: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Weighted-average remaining lease term (years)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Weighted-average incremental borrowing rate</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9.5</w:t>
            </w:r>
          </w:p>
        </w:tc>
        <w:tc>
          <w:tcPr>
            <w:tcW w:w="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w:t>
            </w:r>
          </w:p>
        </w:tc>
        <w:tc>
          <w:tcPr>
            <w:tcW w:w="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6660" w:space="720"/>
            <w:col w:w="24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Commitments and Contingent Liabilities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(Continued)</w:t>
      </w:r>
    </w:p>
    <w:p>
      <w:pPr>
        <w:spacing w:after="0" w:line="22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of December 31, 2023 were as detailed</w:t>
      </w:r>
    </w:p>
    <w:p>
      <w:pPr>
        <w:sectPr>
          <w:pgSz w:w="11900" w:h="16838" w:orient="portrait"/>
          <w:cols w:equalWidth="0" w:num="1">
            <w:col w:w="9879"/>
          </w:cols>
          <w:pgMar w:left="580" w:top="97" w:right="1440" w:bottom="1440" w:gutter="0" w:footer="0" w:header="0"/>
        </w:sectPr>
      </w:pP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below (in thousands):</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2026​</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2028​</w:t>
      </w:r>
    </w:p>
    <w:p>
      <w:pPr>
        <w:ind w:left="1260"/>
        <w:spacing w:after="0" w:line="190" w:lineRule="auto"/>
        <w:rPr>
          <w:sz w:val="20"/>
          <w:szCs w:val="20"/>
          <w:color w:val="auto"/>
        </w:rPr>
      </w:pPr>
      <w:r>
        <w:rPr>
          <w:rFonts w:ascii="Times New Roman" w:cs="Times New Roman" w:eastAsia="Times New Roman" w:hAnsi="Times New Roman"/>
          <w:sz w:val="18"/>
          <w:szCs w:val="18"/>
          <w:color w:val="auto"/>
        </w:rPr>
        <w:t>2029</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1714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Total​ undiscounted lease payments</w:t>
      </w:r>
    </w:p>
    <w:p>
      <w:pPr>
        <w:ind w:left="1260"/>
        <w:spacing w:after="0" w:line="193" w:lineRule="auto"/>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1968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ind w:left="1260"/>
        <w:spacing w:after="0" w:line="185" w:lineRule="auto"/>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operating lease liabilities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tab/>
        <w:t>5,269​</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4,962​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5,128​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5,299​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5,477​</w:t>
      </w:r>
    </w:p>
    <w:p>
      <w:pPr>
        <w:spacing w:after="0" w:line="19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27,526</w:t>
      </w:r>
      <w:r>
        <w:rPr>
          <w:rFonts w:ascii="Times New Roman" w:cs="Times New Roman" w:eastAsia="Times New Roman" w:hAnsi="Times New Roman"/>
          <w:sz w:val="35"/>
          <w:szCs w:val="35"/>
          <w:color w:val="auto"/>
          <w:vertAlign w:val="subscript"/>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53,661​</w:t>
      </w:r>
    </w:p>
    <w:p>
      <w:pPr>
        <w:ind w:left="120" w:hanging="115"/>
        <w:spacing w:after="0" w:line="188" w:lineRule="auto"/>
        <w:tabs>
          <w:tab w:leader="none" w:pos="120" w:val="left"/>
        </w:tabs>
        <w:numPr>
          <w:ilvl w:val="0"/>
          <w:numId w:val="14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​(21,081</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p>
      <w:pPr>
        <w:ind w:left="120" w:hanging="115"/>
        <w:spacing w:after="0" w:line="180" w:lineRule="auto"/>
        <w:tabs>
          <w:tab w:leader="none" w:pos="120" w:val="left"/>
        </w:tabs>
        <w:numPr>
          <w:ilvl w:val="0"/>
          <w:numId w:val="14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$ 32,580</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7920" w:space="720"/>
            <w:col w:w="1239"/>
          </w:cols>
          <w:pgMar w:left="580" w:top="97" w:right="1440" w:bottom="1440" w:gutter="0" w:footer="0" w:header="0"/>
          <w:type w:val="continuous"/>
        </w:sectPr>
      </w:pP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FronThera Contingent Consideration</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 is obligated to pay milestones contingent on the achievement of specified clinical, regulatory and commercialization milestones under the Fronthera Acquisition (Note 7). No remaining milestones were achieved or probable as of December 31, 2022 and 2023.</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Agreements</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Company enters into various agreements in the ordinary course of business, such as those with suppliers, CROs, CMOs and clinical trial sites. These agreements provide for termination at the request of either party, generally with less than one-year notice and are, therefore, cancellable contracts and, if cancelled, are not anticipated to have a material effect on the Company’s financial condition, results of operations, or cash flows.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4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Management is currently not aware of any legal matters that could have a material adverse effect on the Company’s financial position, results of operations or cash flows.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4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Its exposure under these agreements is unknown because it involves claims that may be made against the Company in the future. To the extent permitted under Delaware law, the Company has agreed to indemnify its directors and officers for certain events or occurrences while the director or officer is, or was serving, at a request in such capacity. To date, the Company has not paid any claims or been required to defend any action related to its indemnification obligations. As of December 31, 2022 and 2023, the Company did not have any material indemnification claims that were probable or reasonably possible and consequently has not recorded related liabilities.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January 2022, the Company issued and sold an aggregate of 20,000,000 shares of Series B redeemable convertible preferred stock at a price of $5.00 per share for gross cash proceeds of $100.0 million and incurred $0.1 million of issuance costs.</w:t>
      </w:r>
    </w:p>
    <w:p>
      <w:pPr>
        <w:sectPr>
          <w:pgSz w:w="11900" w:h="16838" w:orient="portrait"/>
          <w:cols w:equalWidth="0" w:num="1">
            <w:col w:w="9879"/>
          </w:cols>
          <w:pgMar w:left="580" w:top="97" w:right="1440" w:bottom="1440" w:gutter="0" w:footer="0" w:header="0"/>
          <w:type w:val="continuous"/>
        </w:sect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 (Continued)</w:t>
      </w:r>
    </w:p>
    <w:p>
      <w:pPr>
        <w:spacing w:after="0" w:line="22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May 2023, the Company issued and sold an aggregate of 10,722,340 shares of Series B-2 redeemable convertible preferred stock for gross cash proceeds of $53.6 million and 1,277,660 shares of Series B-2A redeemable convertible preferred stock for gross proceeds of $6.4 million and incurred $0.2 million of issuance costs. The purchase price for Series B-2 and B-2A redeemable convertible preferred stock was $5.00 per share. The Series B-2 and Series B-2A stock purchase agreement contains an obligation to issue additional shares of Series B-2 or Series B-2A redeemable convertible preferred stock in a second tranche closing by October 2023 (Second Tranche Closing) upon the occurrence of certain events, including the board of directors’ consent. The Company recognized this call option as a derivative liability and estimated its fair value of $2.1 million.</w:t>
      </w:r>
    </w:p>
    <w:p>
      <w:pPr>
        <w:spacing w:after="0" w:line="34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In July 2023, the holders of the shares of Series B-2A redeemable convertible preferred stock elected to convert its 1,277,660 shares into the same number of Series B-2 redeemable convertible preferred stock.</w:t>
      </w:r>
    </w:p>
    <w:p>
      <w:pPr>
        <w:spacing w:after="0" w:line="94"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October 2023, the Company closed the Second Tranche Closing and issued an additional 4,221,170 shares of Series B-2 redeemable convertible preferred stock and 1,778,830 shares of Series B-2A redeemable convertible preferred stock at a price of $5.00 per share and received gross proceeds of $21.1 million and $8.9 million, respectively. Accordingly, the derivative liability was settled, and the Company reclassified the derivative liability, remeasured at fair value of $2.2 million, into redeemable convertible preferred stock. The Company incurred less than $0.1 million of issuance costs in connection with the Second Tranche Closing.</w:t>
      </w:r>
    </w:p>
    <w:p>
      <w:pPr>
        <w:spacing w:after="0" w:line="32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Series Seed and Series A redeemable convertible preferred stock are collectively referred to as the “Junior Redeemable Convertible Preferred Stock”. The Series B, Series B-1, Series B-2 and Series B-2A redeemable convertible preferred stock are collectively referred to as the “Senior Redeemable Convertible Preferred Stock”.</w:t>
      </w:r>
    </w:p>
    <w:p>
      <w:pPr>
        <w:spacing w:after="0" w:line="3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Company’s redeemable convertible preferred stock as of each period, consisted of the following:</w:t>
      </w:r>
    </w:p>
    <w:p>
      <w:pPr>
        <w:sectPr>
          <w:pgSz w:w="11900" w:h="16838" w:orient="portrait"/>
          <w:cols w:equalWidth="0" w:num="1">
            <w:col w:w="9879"/>
          </w:cols>
          <w:pgMar w:left="580" w:top="97" w:right="1440" w:bottom="1440" w:gutter="0" w:footer="0" w:header="0"/>
        </w:sect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Seed redeemable convertible preferred stock</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redeemable convertible preferred stock</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 redeemable convertible preferred stock</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B-1 redeemable convertible preferred stock</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redeemable convertible preferred stock</w:t>
      </w: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Seed redeemable convertible preferred stock</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redeemable convertible preferred stock</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 redeemable convertible preferred stock</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B-1 redeemable convertible preferred stock</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B-2 redeemable convertible preferred stock</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B-2A redeemable convertible preferred stock</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redeemable convertible preferred stock</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2022</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Shares Issued</w:t>
            </w:r>
          </w:p>
        </w:tc>
        <w:tc>
          <w:tcPr>
            <w:tcW w:w="10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820" w:type="dxa"/>
            <w:vAlign w:val="bottom"/>
            <w:gridSpan w:val="4"/>
          </w:tcPr>
          <w:p>
            <w:pPr>
              <w:jc w:val="center"/>
              <w:ind w:left="7"/>
              <w:spacing w:after="0"/>
              <w:rPr>
                <w:sz w:val="20"/>
                <w:szCs w:val="20"/>
                <w:color w:val="auto"/>
              </w:rPr>
            </w:pPr>
            <w:r>
              <w:rPr>
                <w:rFonts w:ascii="Times New Roman" w:cs="Times New Roman" w:eastAsia="Times New Roman" w:hAnsi="Times New Roman"/>
                <w:sz w:val="14"/>
                <w:szCs w:val="14"/>
                <w:b w:val="1"/>
                <w:bCs w:val="1"/>
                <w:color w:val="auto"/>
                <w:w w:val="98"/>
              </w:rPr>
              <w:t>Liquidation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Authorized</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Outstanding  </w:t>
            </w:r>
            <w:r>
              <w:rPr>
                <w:rFonts w:ascii="Times New Roman" w:cs="Times New Roman" w:eastAsia="Times New Roman" w:hAnsi="Times New Roman"/>
                <w:sz w:val="24"/>
                <w:szCs w:val="24"/>
                <w:b w:val="1"/>
                <w:bCs w:val="1"/>
                <w:color w:val="auto"/>
                <w:vertAlign w:val="subscript"/>
              </w:rPr>
              <w:t>​</w:t>
            </w:r>
          </w:p>
        </w:tc>
        <w:tc>
          <w:tcPr>
            <w:tcW w:w="82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Preference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 except share amounts)</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​​10,500,000​​ ​​10,500,000​​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3"/>
                <w:szCs w:val="2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40" w:type="dxa"/>
            <w:vAlign w:val="bottom"/>
          </w:tcPr>
          <w:p>
            <w:pPr>
              <w:spacing w:after="0"/>
              <w:rPr>
                <w:sz w:val="23"/>
                <w:szCs w:val="23"/>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 7,500,000​​ ​​ 7,500,000​​ ​​ ​ 30,000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2"/>
                <w:szCs w:val="22"/>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29,972 </w:t>
            </w:r>
            <w:r>
              <w:rPr>
                <w:rFonts w:ascii="Times New Roman" w:cs="Times New Roman" w:eastAsia="Times New Roman" w:hAnsi="Times New Roman"/>
                <w:sz w:val="18"/>
                <w:szCs w:val="18"/>
                <w:b w:val="1"/>
                <w:bCs w:val="1"/>
                <w:color w:val="auto"/>
              </w:rPr>
              <w:t>​</w:t>
            </w: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​​40,200,000​​ ​​40,200,000​​ ​​ ​201,000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2"/>
                <w:szCs w:val="22"/>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​200,711 </w:t>
            </w:r>
            <w:r>
              <w:rPr>
                <w:rFonts w:ascii="Times New Roman" w:cs="Times New Roman" w:eastAsia="Times New Roman" w:hAnsi="Times New Roman"/>
                <w:sz w:val="18"/>
                <w:szCs w:val="18"/>
                <w:b w:val="1"/>
                <w:bCs w:val="1"/>
                <w:color w:val="auto"/>
              </w:rPr>
              <w:t>​</w:t>
            </w:r>
          </w:p>
        </w:tc>
      </w:tr>
      <w:tr>
        <w:trPr>
          <w:trHeight w:val="248"/>
        </w:trPr>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9,760,088</w:t>
            </w:r>
            <w:r>
              <w:rPr>
                <w:rFonts w:ascii="Times New Roman" w:cs="Times New Roman" w:eastAsia="Times New Roman" w:hAnsi="Times New Roman"/>
                <w:sz w:val="28"/>
                <w:szCs w:val="28"/>
                <w:color w:val="auto"/>
                <w:vertAlign w:val="subscript"/>
              </w:rPr>
              <w:t>​​</w:t>
            </w:r>
          </w:p>
        </w:tc>
        <w:tc>
          <w:tcPr>
            <w:tcW w:w="106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9,760,088</w:t>
            </w:r>
            <w:r>
              <w:rPr>
                <w:rFonts w:ascii="Times New Roman" w:cs="Times New Roman" w:eastAsia="Times New Roman" w:hAnsi="Times New Roman"/>
                <w:sz w:val="28"/>
                <w:szCs w:val="28"/>
                <w:color w:val="auto"/>
                <w:vertAlign w:val="subscript"/>
              </w:rPr>
              <w:t>​​</w:t>
            </w:r>
          </w:p>
        </w:tc>
        <w:tc>
          <w:tcPr>
            <w:tcW w:w="820" w:type="dxa"/>
            <w:vAlign w:val="bottom"/>
            <w:gridSpan w:val="4"/>
          </w:tcPr>
          <w:p>
            <w:pPr>
              <w:jc w:val="right"/>
              <w:ind w:right="20"/>
              <w:spacing w:after="0" w:line="247"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 39,040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20" w:type="dxa"/>
            <w:vAlign w:val="bottom"/>
            <w:gridSpan w:val="6"/>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44,310 </w:t>
            </w:r>
            <w:r>
              <w:rPr>
                <w:rFonts w:ascii="Times New Roman" w:cs="Times New Roman" w:eastAsia="Times New Roman" w:hAnsi="Times New Roman"/>
                <w:sz w:val="28"/>
                <w:szCs w:val="28"/>
                <w:b w:val="1"/>
                <w:bCs w:val="1"/>
                <w:color w:val="auto"/>
                <w:vertAlign w:val="subscript"/>
              </w:rPr>
              <w:t>​</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​67,960,088</w:t>
            </w:r>
            <w:r>
              <w:rPr>
                <w:rFonts w:ascii="Times New Roman" w:cs="Times New Roman" w:eastAsia="Times New Roman" w:hAnsi="Times New Roman"/>
                <w:sz w:val="28"/>
                <w:szCs w:val="28"/>
                <w:color w:val="auto"/>
                <w:vertAlign w:val="subscript"/>
              </w:rPr>
              <w:t>​​</w:t>
            </w:r>
          </w:p>
        </w:tc>
        <w:tc>
          <w:tcPr>
            <w:tcW w:w="10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​67,960,088</w:t>
            </w:r>
            <w:r>
              <w:rPr>
                <w:rFonts w:ascii="Times New Roman" w:cs="Times New Roman" w:eastAsia="Times New Roman" w:hAnsi="Times New Roman"/>
                <w:sz w:val="28"/>
                <w:szCs w:val="28"/>
                <w:color w:val="auto"/>
                <w:vertAlign w:val="subscript"/>
              </w:rPr>
              <w:t>​​</w:t>
            </w:r>
          </w:p>
        </w:tc>
        <w:tc>
          <w:tcPr>
            <w:tcW w:w="820" w:type="dxa"/>
            <w:vAlign w:val="bottom"/>
            <w:gridSpan w:val="4"/>
          </w:tcPr>
          <w:p>
            <w:pPr>
              <w:jc w:val="right"/>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280,540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2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285,473 </w:t>
            </w:r>
            <w:r>
              <w:rPr>
                <w:rFonts w:ascii="Times New Roman" w:cs="Times New Roman" w:eastAsia="Times New Roman" w:hAnsi="Times New Roman"/>
                <w:sz w:val="28"/>
                <w:szCs w:val="28"/>
                <w:b w:val="1"/>
                <w:bCs w:val="1"/>
                <w:color w:val="auto"/>
                <w:vertAlign w:val="subscript"/>
              </w:rPr>
              <w:t>​</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Shares Issued</w:t>
            </w:r>
          </w:p>
        </w:tc>
        <w:tc>
          <w:tcPr>
            <w:tcW w:w="10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820" w:type="dxa"/>
            <w:vAlign w:val="bottom"/>
            <w:gridSpan w:val="4"/>
          </w:tcPr>
          <w:p>
            <w:pPr>
              <w:jc w:val="center"/>
              <w:ind w:left="7"/>
              <w:spacing w:after="0"/>
              <w:rPr>
                <w:sz w:val="20"/>
                <w:szCs w:val="20"/>
                <w:color w:val="auto"/>
              </w:rPr>
            </w:pPr>
            <w:r>
              <w:rPr>
                <w:rFonts w:ascii="Times New Roman" w:cs="Times New Roman" w:eastAsia="Times New Roman" w:hAnsi="Times New Roman"/>
                <w:sz w:val="14"/>
                <w:szCs w:val="14"/>
                <w:b w:val="1"/>
                <w:bCs w:val="1"/>
                <w:color w:val="auto"/>
                <w:w w:val="98"/>
              </w:rPr>
              <w:t>Liquidation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Authorized</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Outstanding  </w:t>
            </w:r>
            <w:r>
              <w:rPr>
                <w:rFonts w:ascii="Times New Roman" w:cs="Times New Roman" w:eastAsia="Times New Roman" w:hAnsi="Times New Roman"/>
                <w:sz w:val="24"/>
                <w:szCs w:val="24"/>
                <w:b w:val="1"/>
                <w:bCs w:val="1"/>
                <w:color w:val="auto"/>
                <w:vertAlign w:val="subscript"/>
              </w:rPr>
              <w:t>​</w:t>
            </w:r>
          </w:p>
        </w:tc>
        <w:tc>
          <w:tcPr>
            <w:tcW w:w="82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Preference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 except share amounts)</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​​10,500,000​​ ​​10,500,000​​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3"/>
                <w:szCs w:val="2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10,480 </w:t>
            </w:r>
            <w:r>
              <w:rPr>
                <w:rFonts w:ascii="Times New Roman" w:cs="Times New Roman" w:eastAsia="Times New Roman" w:hAnsi="Times New Roman"/>
                <w:sz w:val="18"/>
                <w:szCs w:val="18"/>
                <w:b w:val="1"/>
                <w:bCs w:val="1"/>
                <w:color w:val="auto"/>
              </w:rPr>
              <w:t>​</w:t>
            </w: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 7,500,000​​ ​​ 7,500,000​​ ​​ ​ 30,000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2"/>
                <w:szCs w:val="22"/>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29,972 </w:t>
            </w:r>
            <w:r>
              <w:rPr>
                <w:rFonts w:ascii="Times New Roman" w:cs="Times New Roman" w:eastAsia="Times New Roman" w:hAnsi="Times New Roman"/>
                <w:sz w:val="18"/>
                <w:szCs w:val="18"/>
                <w:b w:val="1"/>
                <w:bCs w:val="1"/>
                <w:color w:val="auto"/>
              </w:rPr>
              <w:t>​</w:t>
            </w: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​​40,200,000​​ ​​40,200,000​​ ​​ ​201,000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2"/>
                <w:szCs w:val="22"/>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​200,711 </w:t>
            </w:r>
            <w:r>
              <w:rPr>
                <w:rFonts w:ascii="Times New Roman" w:cs="Times New Roman" w:eastAsia="Times New Roman" w:hAnsi="Times New Roman"/>
                <w:sz w:val="18"/>
                <w:szCs w:val="18"/>
                <w:b w:val="1"/>
                <w:bCs w:val="1"/>
                <w:color w:val="auto"/>
              </w:rPr>
              <w:t>​</w:t>
            </w: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 9,760,088​​ ​​ 9,760,088​​ ​​ ​ 39,040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2"/>
                <w:szCs w:val="22"/>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44,310 </w:t>
            </w:r>
            <w:r>
              <w:rPr>
                <w:rFonts w:ascii="Times New Roman" w:cs="Times New Roman" w:eastAsia="Times New Roman" w:hAnsi="Times New Roman"/>
                <w:sz w:val="18"/>
                <w:szCs w:val="18"/>
                <w:b w:val="1"/>
                <w:bCs w:val="1"/>
                <w:color w:val="auto"/>
              </w:rPr>
              <w:t>​</w:t>
            </w: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​​18,000,000​​ ​​16,221,170​​ ​​ ​ 81,106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2"/>
                <w:szCs w:val="22"/>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80,969 </w:t>
            </w:r>
            <w:r>
              <w:rPr>
                <w:rFonts w:ascii="Times New Roman" w:cs="Times New Roman" w:eastAsia="Times New Roman" w:hAnsi="Times New Roman"/>
                <w:sz w:val="18"/>
                <w:szCs w:val="18"/>
                <w:b w:val="1"/>
                <w:bCs w:val="1"/>
                <w:color w:val="auto"/>
              </w:rPr>
              <w:t>​</w:t>
            </w:r>
          </w:p>
        </w:tc>
      </w:tr>
      <w:tr>
        <w:trPr>
          <w:trHeight w:val="248"/>
        </w:trPr>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7"/>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3,056,490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1,778,830</w:t>
            </w:r>
            <w:r>
              <w:rPr>
                <w:rFonts w:ascii="Times New Roman" w:cs="Times New Roman" w:eastAsia="Times New Roman" w:hAnsi="Times New Roman"/>
                <w:sz w:val="28"/>
                <w:szCs w:val="28"/>
                <w:color w:val="auto"/>
                <w:vertAlign w:val="subscript"/>
              </w:rPr>
              <w:t>​​</w:t>
            </w:r>
          </w:p>
        </w:tc>
        <w:tc>
          <w:tcPr>
            <w:tcW w:w="28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8,894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8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6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8,928 </w:t>
            </w:r>
            <w:r>
              <w:rPr>
                <w:rFonts w:ascii="Times New Roman" w:cs="Times New Roman" w:eastAsia="Times New Roman" w:hAnsi="Times New Roman"/>
                <w:sz w:val="28"/>
                <w:szCs w:val="28"/>
                <w:b w:val="1"/>
                <w:bCs w:val="1"/>
                <w:color w:val="auto"/>
                <w:vertAlign w:val="subscript"/>
              </w:rPr>
              <w:t>​</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7"/>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​89,016,578</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​85,960,088</w:t>
            </w:r>
            <w:r>
              <w:rPr>
                <w:rFonts w:ascii="Times New Roman" w:cs="Times New Roman" w:eastAsia="Times New Roman" w:hAnsi="Times New Roman"/>
                <w:sz w:val="28"/>
                <w:szCs w:val="28"/>
                <w:color w:val="auto"/>
                <w:vertAlign w:val="subscript"/>
              </w:rPr>
              <w:t>​​</w:t>
            </w:r>
          </w:p>
        </w:tc>
        <w:tc>
          <w:tcPr>
            <w:tcW w:w="820" w:type="dxa"/>
            <w:vAlign w:val="bottom"/>
            <w:gridSpan w:val="4"/>
          </w:tcPr>
          <w:p>
            <w:pPr>
              <w:jc w:val="right"/>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370,540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2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375,370 </w:t>
            </w:r>
            <w:r>
              <w:rPr>
                <w:rFonts w:ascii="Times New Roman" w:cs="Times New Roman" w:eastAsia="Times New Roman" w:hAnsi="Times New Roman"/>
                <w:sz w:val="28"/>
                <w:szCs w:val="28"/>
                <w:b w:val="1"/>
                <w:bCs w:val="1"/>
                <w:color w:val="auto"/>
                <w:vertAlign w:val="subscript"/>
              </w:rPr>
              <w:t>​</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-2887980</wp:posOffset>
            </wp:positionV>
            <wp:extent cx="5212080" cy="1625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-2562225</wp:posOffset>
            </wp:positionV>
            <wp:extent cx="5212080" cy="1631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-2228215</wp:posOffset>
            </wp:positionV>
            <wp:extent cx="5212080" cy="1974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1935480</wp:posOffset>
            </wp:positionH>
            <wp:positionV relativeFrom="paragraph">
              <wp:posOffset>-3051175</wp:posOffset>
            </wp:positionV>
            <wp:extent cx="13716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1327150</wp:posOffset>
            </wp:positionH>
            <wp:positionV relativeFrom="paragraph">
              <wp:posOffset>-3051175</wp:posOffset>
            </wp:positionV>
            <wp:extent cx="1371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658495</wp:posOffset>
            </wp:positionH>
            <wp:positionV relativeFrom="paragraph">
              <wp:posOffset>-3051175</wp:posOffset>
            </wp:positionV>
            <wp:extent cx="1371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-1199515</wp:posOffset>
            </wp:positionV>
            <wp:extent cx="5212080" cy="1631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-873760</wp:posOffset>
            </wp:positionV>
            <wp:extent cx="5212080" cy="1625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-548005</wp:posOffset>
            </wp:positionV>
            <wp:extent cx="5212080" cy="1625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-213995</wp:posOffset>
            </wp:positionV>
            <wp:extent cx="5212080" cy="1968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1935480</wp:posOffset>
            </wp:positionH>
            <wp:positionV relativeFrom="paragraph">
              <wp:posOffset>-1362075</wp:posOffset>
            </wp:positionV>
            <wp:extent cx="1371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1327150</wp:posOffset>
            </wp:positionH>
            <wp:positionV relativeFrom="paragraph">
              <wp:posOffset>-1362075</wp:posOffset>
            </wp:positionV>
            <wp:extent cx="1371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658495</wp:posOffset>
            </wp:positionH>
            <wp:positionV relativeFrom="paragraph">
              <wp:posOffset>-1362075</wp:posOffset>
            </wp:positionV>
            <wp:extent cx="137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4499"/>
          </w:cols>
          <w:pgMar w:left="580" w:top="97" w:right="1440" w:bottom="1440" w:gutter="0" w:footer="0" w:header="0"/>
          <w:type w:val="continuous"/>
        </w:sectPr>
      </w:pPr>
    </w:p>
    <w:p>
      <w:pPr>
        <w:spacing w:after="0" w:line="38"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The significant rights and obligations of the Company’s redeemable convertible preferred stock are as follows: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the Company, or a deemed liquidation event, including a merger or consolidation, or a sale or other disposition of all or substantially all of the Company’s assets, the holders of shares of the Senior Redeemable Convertible Preferred Stock are entitled to receive, before any payments are made to the holders of the Junior Redeemable Convertible Preferred Stock and holders of common stock, an amount per share equal to the greater of (i) the Series B, Series B-1, Series B-2 and Series B-2A original issuance price of $5.00, $4.00, $5.00, and $5.00 respectively, plus any dividends declared but unpaid, or (ii) such amount per share as would have been payable had all shares of the applicable series of Senior Redeemable Convertible Preferred Stock been converted into common stock immediately prior to such liquidation, dissolution, winding up or deemed liquidation. If the proceeds are insufficient to pay the holders of shares of Senior Redeemable Convertible Preferred Stock their full liquidation preference, then the proceeds available for distribution are payable ratably among the holders of the Senior Redeemable Convertible Preferred Stock in proportion to the full preferential amount that each such holder is entitled to receive.</w:t>
      </w:r>
    </w:p>
    <w:p>
      <w:pPr>
        <w:spacing w:after="0" w:line="33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After the distributions to the holders of the Senior Redeemable Convertible Preferred Stock have been paid in full, the holder of shares of Junior Redeemable Convertible Preferred Stock shall be entitled to receive, prior to and in preference to any distributions of the assets of the Company to the holders of common stock, an amount equal to the greater of (i) the Series Seed and Series A original issuance price of $1.00 and $4.00, respectively, plus any dividends declared but unpaid, or (ii) such amount per share as would have been payable had all shares of such series of Junior Redeemable Convertible Preferred Stock been converted into common stock immediately prior to such liquidation, dissolution, winding up or deemed liquidation. If the proceeds are insufficient to pay the holder of share of Junior Redeemable Convertible Preferred Stock their full liquidation preference, then the proceeds available for distribution are payable ratably among the holders of the Junior Redeemable Convertible Preferred Stock in proportion to the full preferential amount that each such holder is entitled to receive.</w:t>
      </w:r>
    </w:p>
    <w:p>
      <w:pPr>
        <w:spacing w:after="0" w:line="343"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After the distributions described above have been paid in full, the remaining assets of the Company available for distribution to its stockholders will be distributed among the holders of shares of common stock, pro rata based on the number of shares held by each such holder.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Each share of Series B-2 redeemable convertible preferred stock is convertible at the option of a holder into one share of Series B-2A redeemable convertible preferred stock.</w:t>
      </w:r>
    </w:p>
    <w:p>
      <w:pPr>
        <w:spacing w:after="0" w:line="9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Each share of Series B-2A redeemable convertible preferred stock is convertible at the option of a holder into one share of Series B-2 redeemable convertible preferred stock.</w:t>
      </w:r>
    </w:p>
    <w:p>
      <w:pPr>
        <w:spacing w:after="0" w:line="94"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Each share of redeemable convertible preferred stock is convertible at the option of a holder into shares of Class A common stock or Class B common stock at a conversion rate, which is the redeemable convertible preferred stock original issuance price per share divided by the conversion price in effect at the time of conversion. The conversion price is initially equal to the redeemable convertible preferred stock original issuance price, and is subject to adjustments for recapitalization, dilutive issuances, stock dividends, stock splits, and other distributions. As of December 31, 2022 and 2023, the conversion rate was one-for-one.</w:t>
      </w:r>
    </w:p>
    <w:p>
      <w:pPr>
        <w:spacing w:after="0" w:line="10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All outstanding shares of redeemable convertible preferred stock are automatically converted into shares of Class A common stock, provided that, a holder of shares of redeemable convertible preferred stock may elect, upon written notice to the Company at least seven days prior to a qualified public offering, to have all or a portion of its shares of redeemable convertible preferred stock automatically convert into shares of Class B common stock at the then effective conversion rate, upon the earlier of: (i) the closing of the sale of shares of common stock to the public, in a firm-commitment underwritten public offering pursuant to an effective registration statement under the Securities Act of 1933, as amended, resulting in at least $75.0 million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 (Continued)</w:t>
      </w:r>
    </w:p>
    <w:p>
      <w:pPr>
        <w:spacing w:after="0" w:line="22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proceeds to the Company, net of underwriting discounts and commissions, or (ii) upon a vote or a written consent of the holders of a majority of outstanding shares of redeemable convertible preferred stock, voting together as a single class and on an as-converted basis.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6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Company cannot declare, pay or set aside any dividends on shares of any other class or series of capital stock of the Company (other than dividends on shares of common stock payable in shares of common stock), unless the holders of the redeemable convertible preferred stock then outstanding will first receive, or simultaneously receive, a dividend on each outstanding share of redeemable convertible preferred stock in an amount at least equal to (i) in the case of a dividend on common stock or any class or series that is convertible into common stock, the product of (a) the dividend payable on each share of such series determined as if all shares of such series had been converted into common stock and (b) the number of shares of common stock issuable upon conversion of a share of redeemable convertible preferred stock, calculated on the record date for determination of holders entitled to receive such dividend or (ii) in the case of a dividend on any class or series that is not convertible into common stock, at a rate per share of redeemable convertible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No dividends were declared and paid or payable for the years ended December 31, 2022 and 2023.</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Each holder of outstanding shares of redeemable convertible preferred stock is entitled to cast the number of votes equal to the number of whole shares of common stock into which the shares of redeemable convertible preferred stock held by such holder are convertible. Holders of redeemable convertible preferred stock vote together with the holders of common stock as a single class and on an as-converted to common stock basis. Holders of Series B-2A redeemable convertible preferred stock have no voting rights for election of directors or for the size of the board.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At any time when at least 1,875,000 shares of Series A redeemable convertible preferred stock are outstanding, the holders of the shares of Series A redeemable convertible preferred stock, voting as a separate class on an as-converted to common stock basis, are entitled to elect one director of the Company.</w:t>
      </w:r>
    </w:p>
    <w:p>
      <w:pPr>
        <w:spacing w:after="0" w:line="108"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At any time when at least 10,050,000 shares of the voting Senior Redeemable Convertible Preferred Stock are outstanding, the holders of the shares of the voting Senior Redeemable Convertible Preferred Stock, voting as a separate class on an as-converted to common stock basis, are entitled to elect two directors of the Company.</w:t>
      </w:r>
    </w:p>
    <w:p>
      <w:pPr>
        <w:spacing w:after="0" w:line="33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holders of the shares of common stock, voting as a separate class, are entitled to elect one director of the Company.</w:t>
      </w:r>
    </w:p>
    <w:p>
      <w:pPr>
        <w:spacing w:after="0" w:line="8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holders of common stock and redeemable convertible preferred stock, voting together as a single class on an as-converted basis, are entitled to elect all remaining members of the board of directors, if 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redeemable convertible preferred stock is recorded in mezzanine equity because while it is not mandatorily redeemable, it will become redeemable at the option of the preferred stockholders upon the occurrence of certain deemed liquidation events that are considered not solely within the Company’s control.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was authorized to issue 125,000,000 shares of Class A common stock and 85,960,088 shares of Class B common stock, both with par values of $0.0001 per share (Class A common stock and Class B common stock, collectively referred to as “common stock”). As of December 31, 2022 and 2023, there were no shares of Class B common stock outstanding.</w:t>
      </w:r>
    </w:p>
    <w:p>
      <w:pPr>
        <w:spacing w:after="0" w:line="11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rights, powers and preferences of the holders of the Class A common stock and Class B common stock are subject to and qualified by the rights, powers and preferences of the holders of the redeemable convertible preferred stock. The holders of Class A and Class B common stock have the same rights except that Class B common stock do not have voting rights, except as may be required by law. Each holder of Class B common stock has a right to convert each share of Class B common stock to one share of Class A common stock. The Company cannot issue shares of Class B common stock other than upon conversion of redeemable convertible preferred stock. At any time following the Company’s registration of any class of equity securities under the Securities Exchange Act of 1934, as amended (the “Exchange Act”), the holders of shares of Class B common stock may not convert a number of shares of Class B common stock into shares of Class A common stock in excess of that number of shares of Class B common stock which would cause the holder thereof to beneficially own (for purposes of Section 13(d) of the Exchange Act), in excess of 4.99% of the total number of issued and outstanding shares of Class A common stock (including shares of Class A common stock issuable upon conversion of the redeemable convertible preferred stock). Such maximum percentage may be increased or decreased to such other percentage as any holder of outstanding shares of Class B common stock may designate in writing upon 61 days’ prior written notice.</w:t>
      </w:r>
    </w:p>
    <w:p>
      <w:pPr>
        <w:spacing w:after="0" w:line="1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Common  stock  reserved  for  issuance,  on  an  as-converted  basis,  consisted  of  the  following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2022 and 2023:</w:t>
      </w:r>
    </w:p>
    <w:p>
      <w:pPr>
        <w:spacing w:after="0" w:line="9" w:lineRule="exact"/>
        <w:rPr>
          <w:sz w:val="20"/>
          <w:szCs w:val="20"/>
          <w:color w:val="auto"/>
        </w:rPr>
      </w:pPr>
    </w:p>
    <w:p>
      <w:pPr>
        <w:jc w:val="both"/>
        <w:ind w:left="1260"/>
        <w:spacing w:after="0"/>
        <w:tabs>
          <w:tab w:leader="none" w:pos="678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2023</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714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80" w:lineRule="exact"/>
        <w:rPr>
          <w:sz w:val="20"/>
          <w:szCs w:val="20"/>
          <w:color w:val="auto"/>
        </w:rPr>
      </w:pPr>
    </w:p>
    <w:p>
      <w:pPr>
        <w:ind w:left="1260"/>
        <w:spacing w:after="0" w:line="313" w:lineRule="auto"/>
        <w:rPr>
          <w:sz w:val="20"/>
          <w:szCs w:val="20"/>
          <w:color w:val="auto"/>
        </w:rPr>
      </w:pPr>
      <w:r>
        <w:rPr>
          <w:rFonts w:ascii="Times New Roman" w:cs="Times New Roman" w:eastAsia="Times New Roman" w:hAnsi="Times New Roman"/>
          <w:sz w:val="18"/>
          <w:szCs w:val="18"/>
          <w:color w:val="auto"/>
        </w:rPr>
        <w:t>Redeemable convertible preferred stock issued and outstanding Outstanding and issued common stock options Shares available for grant under 2021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-201930</wp:posOffset>
            </wp:positionV>
            <wp:extent cx="5212080" cy="1803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​67,960,088</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85,960,088</w:t>
            </w:r>
          </w:p>
        </w:tc>
        <w:tc>
          <w:tcPr>
            <w:tcW w:w="1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​19,179,979</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23,825,003</w:t>
            </w:r>
          </w:p>
        </w:tc>
        <w:tc>
          <w:tcPr>
            <w:tcW w:w="1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ind w:left="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187,029</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1,384,688</w:t>
            </w:r>
          </w:p>
        </w:tc>
        <w:tc>
          <w:tcPr>
            <w:tcW w:w="1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​87,327,096</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​111,169,779</w:t>
            </w:r>
          </w:p>
        </w:tc>
        <w:tc>
          <w:tcPr>
            <w:tcW w:w="1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40" w:space="700"/>
            <w:col w:w="3139"/>
          </w:cols>
          <w:pgMar w:left="580" w:top="97" w:right="1440" w:bottom="1440" w:gutter="0" w:footer="0" w:header="0"/>
          <w:type w:val="continuous"/>
        </w:sectPr>
      </w:pPr>
    </w:p>
    <w:p>
      <w:pPr>
        <w:spacing w:after="0" w:line="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Common Stock Issued to Executives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In February 2021, the Company issued 470,000 shares of common stock to two executives at a purchase price of $0.20 per share. The shares vest over a four-year period with a one-year cliff. The holders have voting and dividends rights. The Company has a right to repurchase unvested shares at the price paid by the holder in the event of termination of the holder’s continuous status as a service provider. The Company estimated the fair value of the restricted stock awards based on the fair value of common stock at the grant dates. The expense is recognized ratably over the vesting terms. The Company recognized $0.1 million for each of the years ended December 31, 2022 and 2023.</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restricted common stock for the years ended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2022 and 2023:</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40" w:type="dxa"/>
            <w:vAlign w:val="bottom"/>
            <w:gridSpan w:val="2"/>
          </w:tcPr>
          <w:p>
            <w:pPr>
              <w:ind w:left="16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18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254,584​​ ​</w:t>
            </w:r>
          </w:p>
        </w:tc>
        <w:tc>
          <w:tcPr>
            <w:tcW w:w="11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Vested</w:t>
            </w:r>
          </w:p>
        </w:tc>
        <w:tc>
          <w:tcPr>
            <w:tcW w:w="1860" w:type="dxa"/>
            <w:vAlign w:val="bottom"/>
          </w:tcPr>
          <w:p>
            <w:pPr>
              <w:spacing w:after="0"/>
              <w:rPr>
                <w:sz w:val="17"/>
                <w:szCs w:val="17"/>
                <w:color w:val="auto"/>
              </w:rPr>
            </w:pPr>
          </w:p>
        </w:tc>
        <w:tc>
          <w:tcPr>
            <w:tcW w:w="880" w:type="dxa"/>
            <w:vAlign w:val="bottom"/>
            <w:gridSpan w:val="2"/>
          </w:tcPr>
          <w:p>
            <w:pPr>
              <w:jc w:val="right"/>
              <w:ind w:right="87"/>
              <w:spacing w:after="0" w:line="202" w:lineRule="exact"/>
              <w:rPr>
                <w:sz w:val="20"/>
                <w:szCs w:val="20"/>
                <w:color w:val="auto"/>
              </w:rPr>
            </w:pPr>
            <w:r>
              <w:rPr>
                <w:rFonts w:ascii="Times New Roman" w:cs="Times New Roman" w:eastAsia="Times New Roman" w:hAnsi="Times New Roman"/>
                <w:sz w:val="18"/>
                <w:szCs w:val="18"/>
                <w:color w:val="auto"/>
              </w:rPr>
              <w:t>​(117,500)</w:t>
            </w:r>
          </w:p>
        </w:tc>
        <w:tc>
          <w:tcPr>
            <w:tcW w:w="1120" w:type="dxa"/>
            <w:vAlign w:val="bottom"/>
            <w:gridSpan w:val="3"/>
          </w:tcPr>
          <w:p>
            <w:pPr>
              <w:jc w:val="right"/>
              <w:ind w:right="340"/>
              <w:spacing w:after="0" w:line="202" w:lineRule="exact"/>
              <w:rPr>
                <w:sz w:val="20"/>
                <w:szCs w:val="20"/>
                <w:color w:val="auto"/>
              </w:rPr>
            </w:pPr>
            <w:r>
              <w:rPr>
                <w:rFonts w:ascii="Times New Roman" w:cs="Times New Roman" w:eastAsia="Times New Roman" w:hAnsi="Times New Roman"/>
                <w:sz w:val="18"/>
                <w:szCs w:val="18"/>
                <w:color w:val="auto"/>
              </w:rPr>
              <w:t>$0.62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2540" w:type="dxa"/>
            <w:vAlign w:val="bottom"/>
            <w:gridSpan w:val="2"/>
          </w:tcPr>
          <w:p>
            <w:pPr>
              <w:ind w:left="168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120" w:type="dxa"/>
            <w:vAlign w:val="bottom"/>
            <w:gridSpan w:val="3"/>
          </w:tcPr>
          <w:p>
            <w:pPr>
              <w:ind w:left="360"/>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18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2740" w:type="dxa"/>
            <w:vAlign w:val="bottom"/>
            <w:gridSpan w:val="3"/>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137,084</w:t>
            </w:r>
            <w:r>
              <w:rPr>
                <w:rFonts w:ascii="Times New Roman" w:cs="Times New Roman" w:eastAsia="Times New Roman" w:hAnsi="Times New Roman"/>
                <w:sz w:val="28"/>
                <w:szCs w:val="28"/>
                <w:color w:val="auto"/>
                <w:vertAlign w:val="subscript"/>
              </w:rPr>
              <w:t>​​ ​</w:t>
            </w:r>
          </w:p>
        </w:tc>
        <w:tc>
          <w:tcPr>
            <w:tcW w:w="1120" w:type="dxa"/>
            <w:vAlign w:val="bottom"/>
            <w:tcBorders>
              <w:right w:val="single" w:sz="8" w:color="CCEEFF"/>
            </w:tcBorders>
            <w:gridSpan w:val="3"/>
            <w:shd w:val="clear" w:color="auto" w:fill="CCEEFF"/>
          </w:tcPr>
          <w:p>
            <w:pPr>
              <w:jc w:val="right"/>
              <w:ind w:right="3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0.62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-556260</wp:posOffset>
            </wp:positionV>
            <wp:extent cx="450024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205"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As of December 31, 2023, the remaining unamortized stock-based compensation expense of $0.1 million will be recognized over the remaining vesting period 1.1 years.</w:t>
      </w:r>
    </w:p>
    <w:p>
      <w:pPr>
        <w:sectPr>
          <w:pgSz w:w="11900" w:h="16838" w:orient="portrait"/>
          <w:cols w:equalWidth="0" w:num="1">
            <w:col w:w="9879"/>
          </w:cols>
          <w:pgMar w:left="580" w:top="97" w:right="1440" w:bottom="1440" w:gutter="0" w:footer="0" w:header="0"/>
          <w:type w:val="continuous"/>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2021 Stock Plan</w:t>
      </w:r>
    </w:p>
    <w:p>
      <w:pPr>
        <w:spacing w:after="0" w:line="162"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In February 2021, the Company adopted the 2021 Stock Plan (the “2021 Plan”), which provides for stock awards to eligible employees, directors and consultants of the Company. Awards issuable under the 2021 Plan include incentive stock options (“ISO”), non-statutory stock options (“NSO”), restricted stock units (“RSU”) and stock grants.</w:t>
      </w:r>
    </w:p>
    <w:p>
      <w:pPr>
        <w:spacing w:after="0" w:line="10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exercise price of ISOs shall not be less than the estimated fair value of the underlying common stock on the date of grant. The exercise price of ISOs granted to an employee who owns more than 10% of the voting power of all classes of stock of the Company shall be no less than 110% of the estimated fair market value of the underlying common stock on the grant date. Stock option grants under the 2021 Plan generally vest over four years. The contractual term of an option is no longer than five years for ISOs for which an employee owns greater than 10% of the voting power of all classes of stock and no longer than ten years for all other options. As of December 31, 2023, the Company was authorized to grant 30,450,029 shares, and 1,384,688 shares were available for issuance under the 2021 Plan.</w:t>
      </w:r>
    </w:p>
    <w:p>
      <w:pPr>
        <w:spacing w:after="0" w:line="122" w:lineRule="exact"/>
        <w:rPr>
          <w:sz w:val="20"/>
          <w:szCs w:val="20"/>
          <w:color w:val="auto"/>
        </w:rPr>
      </w:pPr>
    </w:p>
    <w:p>
      <w:pPr>
        <w:jc w:val="both"/>
        <w:ind w:left="1260" w:right="419"/>
        <w:spacing w:after="0" w:line="287" w:lineRule="auto"/>
        <w:rPr>
          <w:sz w:val="20"/>
          <w:szCs w:val="20"/>
          <w:color w:val="auto"/>
        </w:rPr>
      </w:pPr>
      <w:r>
        <w:rPr>
          <w:rFonts w:ascii="Times New Roman" w:cs="Times New Roman" w:eastAsia="Times New Roman" w:hAnsi="Times New Roman"/>
          <w:sz w:val="18"/>
          <w:szCs w:val="18"/>
          <w:color w:val="auto"/>
        </w:rPr>
        <w:t>The terms of the 2021 Plan permit option holders to exercise options before their options are vested. The shares of common stock granted upon early exercise that have not yet vested are subject to repurchase by the Company in the event of termination of the holder’s continuous status as a service provider, at the price paid by the holder.</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62" w:lineRule="exact"/>
        <w:rPr>
          <w:sz w:val="20"/>
          <w:szCs w:val="20"/>
          <w:color w:val="auto"/>
        </w:rPr>
      </w:pPr>
    </w:p>
    <w:p>
      <w:pPr>
        <w:jc w:val="both"/>
        <w:ind w:left="1260" w:right="419"/>
        <w:spacing w:after="0" w:line="297" w:lineRule="auto"/>
        <w:rPr>
          <w:sz w:val="20"/>
          <w:szCs w:val="20"/>
          <w:color w:val="auto"/>
        </w:rPr>
      </w:pPr>
      <w:r>
        <w:rPr>
          <w:rFonts w:ascii="Times New Roman" w:cs="Times New Roman" w:eastAsia="Times New Roman" w:hAnsi="Times New Roman"/>
          <w:sz w:val="18"/>
          <w:szCs w:val="18"/>
          <w:color w:val="auto"/>
        </w:rPr>
        <w:t>The following table summarizes the Company’s option activity for the years ended December 31, 2022 and 2023. The table includes early exercised shares as part of options exercised.</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Intrinsic</w:t>
            </w:r>
          </w:p>
        </w:tc>
      </w:tr>
      <w:tr>
        <w:trPr>
          <w:trHeight w:val="162"/>
        </w:trPr>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c>
          <w:tcPr>
            <w:tcW w:w="22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62"/>
        </w:trPr>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Price Per</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(in</w:t>
            </w:r>
          </w:p>
        </w:tc>
      </w:tr>
      <w:tr>
        <w:trPr>
          <w:trHeight w:val="214"/>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20" w:type="dxa"/>
            <w:vAlign w:val="bottom"/>
            <w:gridSpan w:val="2"/>
          </w:tcPr>
          <w:p>
            <w:pPr>
              <w:ind w:left="22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Options</w:t>
            </w:r>
          </w:p>
        </w:tc>
        <w:tc>
          <w:tcPr>
            <w:tcW w:w="88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w:t>
            </w:r>
          </w:p>
        </w:tc>
        <w:tc>
          <w:tcPr>
            <w:tcW w:w="9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(in years)</w:t>
            </w:r>
          </w:p>
        </w:tc>
        <w:tc>
          <w:tcPr>
            <w:tcW w:w="9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thousands)</w:t>
            </w:r>
            <w:r>
              <w:rPr>
                <w:rFonts w:ascii="Times New Roman" w:cs="Times New Roman" w:eastAsia="Times New Roman" w:hAnsi="Times New Roman"/>
                <w:sz w:val="24"/>
                <w:szCs w:val="24"/>
                <w:b w:val="1"/>
                <w:bCs w:val="1"/>
                <w:color w:val="auto"/>
                <w:vertAlign w:val="subscript"/>
              </w:rPr>
              <w:t>​</w:t>
            </w:r>
          </w:p>
        </w:tc>
      </w:tr>
      <w:tr>
        <w:trPr>
          <w:trHeight w:val="20"/>
        </w:trPr>
        <w:tc>
          <w:tcPr>
            <w:tcW w:w="2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Outstanding as of December 31, 2022</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Options exercised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Options forfeited or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3257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212080" cy="325755"/>
                    </a:xfrm>
                    <a:prstGeom prst="rect">
                      <a:avLst/>
                    </a:prstGeom>
                    <a:noFill/>
                  </pic:spPr>
                </pic:pic>
              </a:graphicData>
            </a:graphic>
          </wp:anchor>
        </w:drawing>
      </w:r>
    </w:p>
    <w:p>
      <w:pPr>
        <w:spacing w:after="0" w:line="43"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Outstanding and expected to vest as of December 31, 2023</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Exercisable as of December 31, 2023</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​​19,179,979​​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9.20</w:t>
            </w:r>
          </w:p>
        </w:tc>
        <w:tc>
          <w:tcPr>
            <w:tcW w:w="140" w:type="dxa"/>
            <w:vAlign w:val="bottom"/>
          </w:tcPr>
          <w:p>
            <w:pPr>
              <w:spacing w:after="0"/>
              <w:rPr>
                <w:sz w:val="22"/>
                <w:szCs w:val="22"/>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4,933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 5,313,134​​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220"/>
              <w:spacing w:after="0" w:line="181" w:lineRule="exact"/>
              <w:rPr>
                <w:sz w:val="20"/>
                <w:szCs w:val="20"/>
                <w:color w:val="auto"/>
              </w:rPr>
            </w:pPr>
            <w:r>
              <w:rPr>
                <w:rFonts w:ascii="Times New Roman" w:cs="Times New Roman" w:eastAsia="Times New Roman" w:hAnsi="Times New Roman"/>
                <w:sz w:val="18"/>
                <w:szCs w:val="18"/>
                <w:color w:val="auto"/>
              </w:rPr>
              <w:t>(226,484)</w:t>
            </w: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$2.00</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224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6"/>
        </w:trPr>
        <w:tc>
          <w:tcPr>
            <w:tcW w:w="3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gridSpan w:val="2"/>
          </w:tcPr>
          <w:p>
            <w:pPr>
              <w:jc w:val="right"/>
              <w:ind w:right="60"/>
              <w:spacing w:after="0" w:line="76" w:lineRule="exact"/>
              <w:rPr>
                <w:sz w:val="20"/>
                <w:szCs w:val="20"/>
                <w:color w:val="auto"/>
              </w:rPr>
            </w:pPr>
            <w:r>
              <w:rPr>
                <w:rFonts w:ascii="Times New Roman" w:cs="Times New Roman" w:eastAsia="Times New Roman" w:hAnsi="Times New Roman"/>
                <w:sz w:val="8"/>
                <w:szCs w:val="8"/>
                <w:color w:val="auto"/>
              </w:rPr>
              <w:t>​​ ​</w:t>
            </w:r>
          </w:p>
        </w:tc>
        <w:tc>
          <w:tcPr>
            <w:tcW w:w="520" w:type="dxa"/>
            <w:vAlign w:val="bottom"/>
          </w:tcPr>
          <w:p>
            <w:pPr>
              <w:jc w:val="right"/>
              <w:ind w:right="343"/>
              <w:spacing w:after="0" w:line="76"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500" w:type="dxa"/>
            <w:vAlign w:val="bottom"/>
          </w:tcPr>
          <w:p>
            <w:pPr>
              <w:ind w:left="80"/>
              <w:spacing w:after="0" w:line="76" w:lineRule="exact"/>
              <w:rPr>
                <w:sz w:val="20"/>
                <w:szCs w:val="20"/>
                <w:color w:val="auto"/>
              </w:rPr>
            </w:pPr>
            <w:r>
              <w:rPr>
                <w:rFonts w:ascii="Times New Roman" w:cs="Times New Roman" w:eastAsia="Times New Roman" w:hAnsi="Times New Roman"/>
                <w:sz w:val="8"/>
                <w:szCs w:val="8"/>
                <w:color w:val="auto"/>
              </w:rPr>
              <w:t>​​ ​ ​</w:t>
            </w:r>
          </w:p>
        </w:tc>
        <w:tc>
          <w:tcPr>
            <w:tcW w:w="4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20"/>
              <w:spacing w:after="0" w:line="181" w:lineRule="exact"/>
              <w:rPr>
                <w:sz w:val="20"/>
                <w:szCs w:val="20"/>
                <w:color w:val="auto"/>
              </w:rPr>
            </w:pPr>
            <w:r>
              <w:rPr>
                <w:rFonts w:ascii="Times New Roman" w:cs="Times New Roman" w:eastAsia="Times New Roman" w:hAnsi="Times New Roman"/>
                <w:sz w:val="18"/>
                <w:szCs w:val="18"/>
                <w:color w:val="auto"/>
              </w:rPr>
              <w:t>(441,626)</w:t>
            </w: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$2.03</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tcPr>
          <w:p>
            <w:pPr>
              <w:spacing w:after="0"/>
              <w:rPr>
                <w:sz w:val="15"/>
                <w:szCs w:val="15"/>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3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00" w:type="dxa"/>
            <w:vAlign w:val="bottom"/>
          </w:tcPr>
          <w:p>
            <w:pPr>
              <w:spacing w:after="0"/>
              <w:rPr>
                <w:sz w:val="5"/>
                <w:szCs w:val="5"/>
                <w:color w:val="auto"/>
              </w:rPr>
            </w:pPr>
          </w:p>
        </w:tc>
        <w:tc>
          <w:tcPr>
            <w:tcW w:w="28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520" w:type="dxa"/>
            <w:vAlign w:val="bottom"/>
          </w:tcPr>
          <w:p>
            <w:pPr>
              <w:jc w:val="right"/>
              <w:ind w:right="343"/>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​​23,825,003​​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8.50</w:t>
            </w:r>
          </w:p>
        </w:tc>
        <w:tc>
          <w:tcPr>
            <w:tcW w:w="14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​$15,033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gridSpan w:val="5"/>
          </w:tcPr>
          <w:p>
            <w:pPr>
              <w:jc w:val="right"/>
              <w:ind w:right="6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​23,825,003</w:t>
            </w:r>
            <w:r>
              <w:rPr>
                <w:rFonts w:ascii="Times New Roman" w:cs="Times New Roman" w:eastAsia="Times New Roman" w:hAnsi="Times New Roman"/>
                <w:sz w:val="27"/>
                <w:szCs w:val="27"/>
                <w:color w:val="auto"/>
                <w:vertAlign w:val="subscript"/>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8.50</w:t>
            </w:r>
          </w:p>
        </w:tc>
        <w:tc>
          <w:tcPr>
            <w:tcW w:w="14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​$15,033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280" w:space="460"/>
            <w:col w:w="4139"/>
          </w:cols>
          <w:pgMar w:left="580" w:top="97" w:right="1440" w:bottom="1440" w:gutter="0" w:footer="0" w:header="0"/>
          <w:type w:val="continuous"/>
        </w:sectPr>
      </w:pPr>
    </w:p>
    <w:p>
      <w:pPr>
        <w:spacing w:after="0" w:line="52"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The intrinsic value of options exercised during the year ended December 31, 2022 was $0.1 million. The weighted-average grant date fair value was $1.47 and $2.34 per option for the years ended December 2022 and 2023, respectively. The total fair value of shares vested for the years ended December 31, 2022 and 2023 was $2.3 million and $8.1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Stock-Based Compensation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for the years ended December 31, 2022 and 2023 was estimated using the Black-Scholes option pricing model with the following assumptions: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4"/>
                <w:szCs w:val="14"/>
                <w:color w:val="auto"/>
              </w:rPr>
            </w:pPr>
          </w:p>
        </w:tc>
      </w:tr>
      <w:tr>
        <w:trPr>
          <w:trHeight w:val="214"/>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 ​</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5.57 – 6.68</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5.77 – 6.63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1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 ​82.45% – 86.66%</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​97.65% – 102.54%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 – 4.10%</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3.66% – 4.77%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-676910</wp:posOffset>
            </wp:positionV>
            <wp:extent cx="430339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25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expected term represents the weighted-average period the stock options are expected to remain outstanding and is based on the options’ vesting terms and contractual terms, as the Company did not have sufficient historical information to develop reasonable expectations about future exercise patterns and post-vesting employment termination behavior.</w:t>
      </w:r>
    </w:p>
    <w:p>
      <w:pPr>
        <w:spacing w:after="0" w:line="2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26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2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26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risk-free interest rate assumption is based on the U.S. Treasury instruments whose term was consistent with the expected term of the Company’s stock options.</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Company has not paid any cash dividends on common stock and does not anticipate paying any dividends in the foreseeable future. Consequently, an expected dividend yield of zero was used.</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Common Stock Fair Value</w:t>
      </w:r>
    </w:p>
    <w:p>
      <w:pPr>
        <w:spacing w:after="0" w:line="26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fair market value of the Company’s common stock is determined by the board of directors with assistance from management and external valuation experts. The approach to estimating the fair market value of common stock is consistent with the methods outlined in the Practice Aid.</w:t>
      </w:r>
    </w:p>
    <w:p>
      <w:pPr>
        <w:spacing w:after="0" w:line="10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Prior to May 2023, the Company utilized an Option Pricing Method (“OPM”) based analysis, primarily the OPM backsolve methodology, to determine the estimated fair value of the common stock. Within the OPM framework, the backsolve method, for inferring the total equity value implied by a recent financing transaction or by an estimated equity value of the Company’s pipeline product candidates, involves the construction of an allocation model that takes into account the Company’s capital structure and the rights, preferences and privileges of each class of stock, then assumes reasonable inputs for the other OPM variables (expected time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Stock-Based Compensation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 (Continued)</w:t>
      </w:r>
    </w:p>
    <w:p>
      <w:pPr>
        <w:spacing w:after="0" w:line="229" w:lineRule="exact"/>
        <w:rPr>
          <w:sz w:val="20"/>
          <w:szCs w:val="20"/>
          <w:color w:val="auto"/>
        </w:rPr>
      </w:pPr>
    </w:p>
    <w:p>
      <w:pPr>
        <w:jc w:val="both"/>
        <w:ind w:left="1260" w:right="1260"/>
        <w:spacing w:after="0" w:line="243" w:lineRule="auto"/>
        <w:rPr>
          <w:sz w:val="20"/>
          <w:szCs w:val="20"/>
          <w:color w:val="auto"/>
        </w:rPr>
      </w:pPr>
      <w:r>
        <w:rPr>
          <w:rFonts w:ascii="Times New Roman" w:cs="Times New Roman" w:eastAsia="Times New Roman" w:hAnsi="Times New Roman"/>
          <w:sz w:val="18"/>
          <w:szCs w:val="18"/>
          <w:color w:val="auto"/>
        </w:rPr>
        <w:t>to liquidity, volatility,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 choices and options available), and the enterprise’s value depends on how well it follows an uncharted path through the various possible opportunities and challenges. In determining the estimated fair value of the common stock, the board of directors also considered the fact that the stockholders could not freely trade the common stock in the public markets. Accordingly, the Company applied discounts to reflect the lack of marketability of its common stock based on the weighted-average expected time to liquidity. The estimated fair value of the common stock at each grant date reflected a non-marketability discount partially based on the anticipated likelihood and timing of a future liquidity event.</w:t>
      </w:r>
    </w:p>
    <w:p>
      <w:pPr>
        <w:spacing w:after="0" w:line="118" w:lineRule="exact"/>
        <w:rPr>
          <w:sz w:val="20"/>
          <w:szCs w:val="20"/>
          <w:color w:val="auto"/>
        </w:rPr>
      </w:pPr>
    </w:p>
    <w:p>
      <w:pPr>
        <w:jc w:val="both"/>
        <w:ind w:left="1260" w:right="1260"/>
        <w:spacing w:after="0" w:line="242" w:lineRule="auto"/>
        <w:rPr>
          <w:sz w:val="20"/>
          <w:szCs w:val="20"/>
          <w:color w:val="auto"/>
        </w:rPr>
      </w:pPr>
      <w:r>
        <w:rPr>
          <w:rFonts w:ascii="Times New Roman" w:cs="Times New Roman" w:eastAsia="Times New Roman" w:hAnsi="Times New Roman"/>
          <w:sz w:val="18"/>
          <w:szCs w:val="18"/>
          <w:color w:val="auto"/>
        </w:rPr>
        <w:t>For valuations performed on and after May 2023, the Company utilized a hybrid method that combines the Probability-Weighted Expected Return Method (“PWERM”), an accepted valuation method described in the Practice Aid, and the OPM. The Company determined this was the most appropriate method for determining the fair value of its common stock based on the stage of development and other relevant factors. The PWERM is a scenario-based analysis that estimates the value per share of common stock based on the probability-weighted present value of expected future equity values for the common stock, under various possible future liquidity event scenarios, considering the rights and preferences of each class of shares, discounted for a lack of marketability. Under the hybrid method, an option pricing model was utilized to determine the fair value of the Company’s common stock in certain of the PWERM scenarios (capturing situations where its development path and future liquidity events were difficult to forecast), potential exit events were explicitly modeled in the other PWERM scenarios. A discount for lack of marketability was applied to the value derived under each scenario to account for a lack of access to an active public market to estimate the common stock fair value. The assumptions underlying these valuations represented management’s best estimates, which involved inherent uncertainties and the application of management’s judgment. As a result, if the Company had used significantly different assumptions or estimates, the fair value of the common stock and the stock-based compensation expense could have been materially different.</w:t>
      </w:r>
    </w:p>
    <w:p>
      <w:pPr>
        <w:spacing w:after="0" w:line="117" w:lineRule="exact"/>
        <w:rPr>
          <w:sz w:val="20"/>
          <w:szCs w:val="20"/>
          <w:color w:val="auto"/>
        </w:rPr>
      </w:pPr>
    </w:p>
    <w:p>
      <w:pPr>
        <w:jc w:val="both"/>
        <w:ind w:left="1260" w:right="1260"/>
        <w:spacing w:after="0" w:line="247" w:lineRule="auto"/>
        <w:rPr>
          <w:sz w:val="20"/>
          <w:szCs w:val="20"/>
          <w:color w:val="auto"/>
        </w:rPr>
      </w:pPr>
      <w:r>
        <w:rPr>
          <w:rFonts w:ascii="Times New Roman" w:cs="Times New Roman" w:eastAsia="Times New Roman" w:hAnsi="Times New Roman"/>
          <w:sz w:val="18"/>
          <w:szCs w:val="18"/>
          <w:color w:val="auto"/>
        </w:rPr>
        <w:t>The Company also considers the amount of time between the independent third-party valuation dates and the grant dates and performs an interpolation of the fair value between the two valuation dates to estimate common stock fair value at each grant date. This determination includes an evaluation of whether the subsequent valuation indicated that any significant change in valuation had occurred between the previous valuation and the grant date.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Employee Options</w:t>
      </w:r>
    </w:p>
    <w:p>
      <w:pPr>
        <w:spacing w:after="0" w:line="148" w:lineRule="exact"/>
        <w:rPr>
          <w:sz w:val="20"/>
          <w:szCs w:val="20"/>
          <w:color w:val="auto"/>
        </w:rPr>
      </w:pPr>
    </w:p>
    <w:p>
      <w:pPr>
        <w:jc w:val="both"/>
        <w:ind w:left="1260" w:right="1260"/>
        <w:spacing w:after="0" w:line="250" w:lineRule="auto"/>
        <w:rPr>
          <w:sz w:val="20"/>
          <w:szCs w:val="20"/>
          <w:color w:val="auto"/>
        </w:rPr>
      </w:pPr>
      <w:r>
        <w:rPr>
          <w:rFonts w:ascii="Times New Roman" w:cs="Times New Roman" w:eastAsia="Times New Roman" w:hAnsi="Times New Roman"/>
          <w:sz w:val="18"/>
          <w:szCs w:val="18"/>
          <w:color w:val="auto"/>
        </w:rPr>
        <w:t>Proceeds from the early exercise of stock options are recorded as share repurchase liability, and as shares vest are recognized to additional paid- in capital in the consolidated balance sheets. As of December 31, 2022 and 2023, there was $3.5 million and $1.8 million share repurchase liability related to the unvested shares, respectively. The following table summarizes the activity for the Company’s early exercisable shares for the years ended December 31, 2022 and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Shares   ​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306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4060" w:type="dxa"/>
            <w:vAlign w:val="bottom"/>
            <w:gridSpan w:val="4"/>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3,103,939​​ ​</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Early exercised</w:t>
            </w:r>
          </w:p>
        </w:tc>
        <w:tc>
          <w:tcPr>
            <w:tcW w:w="310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86,370​​ ​</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060" w:type="dxa"/>
            <w:vAlign w:val="bottom"/>
            <w:gridSpan w:val="4"/>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(1,591,923​​) ​</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Repurchased</w:t>
            </w:r>
          </w:p>
        </w:tc>
        <w:tc>
          <w:tcPr>
            <w:tcW w:w="3100" w:type="dxa"/>
            <w:vAlign w:val="bottom"/>
            <w:gridSpan w:val="2"/>
            <w:vMerge w:val="restart"/>
          </w:tcPr>
          <w:p>
            <w:pPr>
              <w:ind w:left="28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32"/>
              <w:spacing w:after="0" w:line="189" w:lineRule="exact"/>
              <w:rPr>
                <w:sz w:val="20"/>
                <w:szCs w:val="20"/>
                <w:color w:val="auto"/>
              </w:rPr>
            </w:pPr>
            <w:r>
              <w:rPr>
                <w:rFonts w:ascii="Times New Roman" w:cs="Times New Roman" w:eastAsia="Times New Roman" w:hAnsi="Times New Roman"/>
                <w:sz w:val="18"/>
                <w:szCs w:val="18"/>
                <w:color w:val="auto"/>
              </w:rPr>
              <w:t>(69,167)</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​$0.93</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280" w:type="dxa"/>
            <w:vAlign w:val="bottom"/>
            <w:vMerge w:val="continue"/>
          </w:tcPr>
          <w:p>
            <w:pPr>
              <w:spacing w:after="0"/>
              <w:rPr>
                <w:sz w:val="4"/>
                <w:szCs w:val="4"/>
                <w:color w:val="auto"/>
              </w:rPr>
            </w:pPr>
          </w:p>
        </w:tc>
        <w:tc>
          <w:tcPr>
            <w:tcW w:w="31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6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306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4060" w:type="dxa"/>
            <w:vAlign w:val="bottom"/>
            <w:gridSpan w:val="4"/>
            <w:shd w:val="clear" w:color="auto" w:fill="CCEEFF"/>
          </w:tcPr>
          <w:p>
            <w:pPr>
              <w:ind w:left="288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​1,529,219</w:t>
            </w:r>
            <w:r>
              <w:rPr>
                <w:rFonts w:ascii="Times New Roman" w:cs="Times New Roman" w:eastAsia="Times New Roman" w:hAnsi="Times New Roman"/>
                <w:sz w:val="25"/>
                <w:szCs w:val="25"/>
                <w:color w:val="auto"/>
                <w:vertAlign w:val="subscript"/>
              </w:rPr>
              <w:t>​​ ​</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F-28</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-882015</wp:posOffset>
            </wp:positionV>
            <wp:extent cx="52120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-1456690</wp:posOffset>
            </wp:positionV>
            <wp:extent cx="465455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65455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Stock-Based Compensation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jc w:val="both"/>
        <w:ind w:left="1260" w:right="419"/>
        <w:spacing w:after="0" w:line="297" w:lineRule="auto"/>
        <w:rPr>
          <w:sz w:val="20"/>
          <w:szCs w:val="20"/>
          <w:color w:val="auto"/>
        </w:rPr>
      </w:pPr>
      <w:r>
        <w:rPr>
          <w:rFonts w:ascii="Times New Roman" w:cs="Times New Roman" w:eastAsia="Times New Roman" w:hAnsi="Times New Roman"/>
          <w:sz w:val="18"/>
          <w:szCs w:val="18"/>
          <w:color w:val="auto"/>
        </w:rPr>
        <w:t>The following table summarizes the stock-based compensation expense granted to employees and non-employees for the years ended December 31, 2022 and 2023 (in thousands):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r>
      <w:tr>
        <w:trPr>
          <w:trHeight w:val="214"/>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CCEEFF"/>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​$4,745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​2,841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​3,880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5,960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8,625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68058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21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stock-based compensation expense related to the following equity-based awards (in thousands):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r>
      <w:tr>
        <w:trPr>
          <w:trHeight w:val="214"/>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CCEEFF"/>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​$8,553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6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72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5,960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8,625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-213360</wp:posOffset>
            </wp:positionV>
            <wp:extent cx="52120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-556260</wp:posOffset>
            </wp:positionV>
            <wp:extent cx="468058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218"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Stock-based compensation expense related to non-employee awards was immaterial for all periods presented. As of December 31, 2023, there was unrecognized stock-based compensation expense of $29.6 million related to unvested stock options which the Company expects to recognize over a weighted-average period of 3.14 years.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Net Loss Per Share Attributable to Class A Common Stockholders</w:t>
      </w:r>
    </w:p>
    <w:p>
      <w:pPr>
        <w:spacing w:after="0" w:line="148"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Class A common stockholders for the years ended December 31, 2022 and 2023 (in thousands, except share and per share amounts):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594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
              <w:spacing w:after="0" w:line="202" w:lineRule="exact"/>
              <w:rPr>
                <w:sz w:val="20"/>
                <w:szCs w:val="20"/>
                <w:color w:val="auto"/>
              </w:rPr>
            </w:pPr>
            <w:r>
              <w:rPr>
                <w:rFonts w:ascii="Times New Roman" w:cs="Times New Roman" w:eastAsia="Times New Roman" w:hAnsi="Times New Roman"/>
                <w:sz w:val="18"/>
                <w:szCs w:val="18"/>
                <w:color w:val="auto"/>
              </w:rPr>
              <w:t>(111,930)</w:t>
            </w:r>
          </w:p>
        </w:tc>
        <w:tc>
          <w:tcPr>
            <w:tcW w:w="2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(154,993)</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22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gridSpan w:val="3"/>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8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vMerge w:val="continue"/>
            <w:shd w:val="clear" w:color="auto" w:fill="CCEEFF"/>
          </w:tcPr>
          <w:p>
            <w:pPr>
              <w:spacing w:after="0"/>
              <w:rPr>
                <w:sz w:val="21"/>
                <w:szCs w:val="21"/>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Class A common shares outstanding</w:t>
            </w:r>
          </w:p>
        </w:tc>
        <w:tc>
          <w:tcPr>
            <w:tcW w:w="14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 ​​ ​11,537,145​​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​12,384,372​</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Less: Weighted-average Class A common shares subject to repurchase</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left w:val="single" w:sz="8" w:color="CCEEFF"/>
            </w:tcBorders>
            <w:gridSpan w:val="3"/>
            <w:shd w:val="clear" w:color="auto" w:fill="CCEEFF"/>
          </w:tcPr>
          <w:p>
            <w:pPr>
              <w:jc w:val="right"/>
              <w:ind w:right="1"/>
              <w:spacing w:after="0" w:line="202" w:lineRule="exact"/>
              <w:rPr>
                <w:sz w:val="20"/>
                <w:szCs w:val="20"/>
                <w:color w:val="auto"/>
              </w:rPr>
            </w:pPr>
            <w:r>
              <w:rPr>
                <w:rFonts w:ascii="Times New Roman" w:cs="Times New Roman" w:eastAsia="Times New Roman" w:hAnsi="Times New Roman"/>
                <w:sz w:val="18"/>
                <w:szCs w:val="18"/>
                <w:color w:val="auto"/>
              </w:rPr>
              <w:t>​(4,039,523)</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2"/>
              </w:rPr>
              <w:t>​(2,332,174)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94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320" w:type="dxa"/>
            <w:vAlign w:val="bottom"/>
            <w:gridSpan w:val="3"/>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8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Weighted-average Class A common shares outstanding, basic and</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23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 ​ 7,497,622​​ ​​ ​10,052,198​</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 per share attributable to Class A common stockholders, basic and</w:t>
            </w:r>
          </w:p>
        </w:tc>
        <w:tc>
          <w:tcPr>
            <w:tcW w:w="22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940" w:type="dxa"/>
            <w:vAlign w:val="bottom"/>
            <w:vMerge w:val="continue"/>
          </w:tcPr>
          <w:p>
            <w:pPr>
              <w:spacing w:after="0"/>
              <w:rPr>
                <w:sz w:val="18"/>
                <w:szCs w:val="18"/>
                <w:color w:val="auto"/>
              </w:rPr>
            </w:pPr>
          </w:p>
        </w:tc>
        <w:tc>
          <w:tcPr>
            <w:tcW w:w="220" w:type="dxa"/>
            <w:vAlign w:val="bottom"/>
            <w:vMerge w:val="restart"/>
          </w:tcPr>
          <w:p>
            <w:pPr>
              <w:spacing w:after="0"/>
              <w:rPr>
                <w:sz w:val="18"/>
                <w:szCs w:val="18"/>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(14.93)</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180"/>
        </w:trPr>
        <w:tc>
          <w:tcPr>
            <w:tcW w:w="594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22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gridSpan w:val="3"/>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8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-342265</wp:posOffset>
            </wp:positionV>
            <wp:extent cx="5212080" cy="3257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212080" cy="3257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-1165225</wp:posOffset>
            </wp:positionV>
            <wp:extent cx="463740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-1508125</wp:posOffset>
            </wp:positionV>
            <wp:extent cx="462915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Net Loss Per Share Attributable to Class A Common Stockholders (Continued)</w:t>
      </w:r>
    </w:p>
    <w:p>
      <w:pPr>
        <w:spacing w:after="0" w:line="229"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computation of diluted net loss per share attributable to Class A common stockholders for the periods presented, because including them would have been anti-dilutive (on an as-converted basis):</w:t>
      </w:r>
    </w:p>
    <w:p>
      <w:pPr>
        <w:spacing w:after="0" w:line="3" w:lineRule="exact"/>
        <w:rPr>
          <w:sz w:val="20"/>
          <w:szCs w:val="20"/>
          <w:color w:val="auto"/>
        </w:rPr>
      </w:pPr>
    </w:p>
    <w:p>
      <w:pPr>
        <w:jc w:val="both"/>
        <w:ind w:left="1260"/>
        <w:spacing w:after="0"/>
        <w:tabs>
          <w:tab w:leader="none" w:pos="678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2023</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714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80" w:lineRule="exact"/>
        <w:rPr>
          <w:sz w:val="20"/>
          <w:szCs w:val="20"/>
          <w:color w:val="auto"/>
        </w:rPr>
      </w:pPr>
    </w:p>
    <w:p>
      <w:pPr>
        <w:ind w:left="1440"/>
        <w:spacing w:after="0" w:line="289" w:lineRule="auto"/>
        <w:rPr>
          <w:sz w:val="20"/>
          <w:szCs w:val="20"/>
          <w:color w:val="auto"/>
        </w:rPr>
      </w:pPr>
      <w:r>
        <w:rPr>
          <w:rFonts w:ascii="Times New Roman" w:cs="Times New Roman" w:eastAsia="Times New Roman" w:hAnsi="Times New Roman"/>
          <w:sz w:val="18"/>
          <w:szCs w:val="18"/>
          <w:color w:val="auto"/>
        </w:rPr>
        <w:t>Redeemable convertible preferred stock issued and outstanding Common stock options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3175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212080" cy="317500"/>
                    </a:xfrm>
                    <a:prstGeom prst="rect">
                      <a:avLst/>
                    </a:prstGeom>
                    <a:noFill/>
                  </pic:spPr>
                </pic:pic>
              </a:graphicData>
            </a:graphic>
          </wp:anchor>
        </w:drawing>
      </w:r>
    </w:p>
    <w:p>
      <w:pPr>
        <w:ind w:left="1620" w:right="220" w:hanging="179"/>
        <w:spacing w:after="0" w:line="282" w:lineRule="auto"/>
        <w:rPr>
          <w:sz w:val="20"/>
          <w:szCs w:val="20"/>
          <w:color w:val="auto"/>
        </w:rPr>
      </w:pPr>
      <w:r>
        <w:rPr>
          <w:rFonts w:ascii="Times New Roman" w:cs="Times New Roman" w:eastAsia="Times New Roman" w:hAnsi="Times New Roman"/>
          <w:sz w:val="18"/>
          <w:szCs w:val="18"/>
          <w:color w:val="auto"/>
        </w:rPr>
        <w:t>Unvested restricted common stock and early exercised stock options</w:t>
      </w:r>
    </w:p>
    <w:p>
      <w:pPr>
        <w:spacing w:after="0" w:line="4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​67,960,088</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85,960,088</w:t>
            </w:r>
          </w:p>
        </w:tc>
        <w:tc>
          <w:tcPr>
            <w:tcW w:w="1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​19,179,979</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23,825,003</w:t>
            </w:r>
          </w:p>
        </w:tc>
        <w:tc>
          <w:tcPr>
            <w:tcW w:w="1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3,358,523</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1,666,303</w:t>
            </w:r>
          </w:p>
        </w:tc>
        <w:tc>
          <w:tcPr>
            <w:tcW w:w="1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​90,498,590</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​111,451,394</w:t>
            </w:r>
          </w:p>
        </w:tc>
        <w:tc>
          <w:tcPr>
            <w:tcW w:w="1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20" w:space="520"/>
            <w:col w:w="3139"/>
          </w:cols>
          <w:pgMar w:left="580" w:top="97" w:right="1440" w:bottom="1440" w:gutter="0" w:footer="0" w:header="0"/>
          <w:type w:val="continuous"/>
        </w:sectPr>
      </w:pP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62"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No provision for income taxes was recorded for the years ended December 31, 2022 and 2023, as the Company operated with taxable losses. The Company has incurred net operating losses only in the United States since inception.</w:t>
      </w:r>
    </w:p>
    <w:p>
      <w:pPr>
        <w:spacing w:after="0" w:line="10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differences between the effective income tax rate and the U.S. federal statutory income tax rate for the years ended December 31, 2022 and 2023 were as follows (in thousands):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Amount at statutory tax rates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Federal research and development credit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​$(23,505)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8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​$(32,548) </w:t>
            </w: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7,770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 16,113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 34,961</w:t>
            </w:r>
          </w:p>
        </w:tc>
        <w:tc>
          <w:tcPr>
            <w:tcW w:w="2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(1,207)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 (3,322) </w:t>
            </w:r>
            <w:r>
              <w:rPr>
                <w:rFonts w:ascii="Times New Roman" w:cs="Times New Roman" w:eastAsia="Times New Roman" w:hAnsi="Times New Roman"/>
                <w:sz w:val="18"/>
                <w:szCs w:val="18"/>
                <w:b w:val="1"/>
                <w:bCs w:val="1"/>
                <w:color w:val="auto"/>
              </w:rPr>
              <w:t>​</w:t>
            </w:r>
          </w:p>
        </w:tc>
      </w:tr>
      <w:tr>
        <w:trPr>
          <w:trHeight w:val="248"/>
        </w:trPr>
        <w:tc>
          <w:tcPr>
            <w:tcW w:w="440" w:type="dxa"/>
            <w:vAlign w:val="bottom"/>
            <w:gridSpan w:val="4"/>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18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1"/>
                <w:szCs w:val="21"/>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6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40" w:type="dxa"/>
            <w:vAlign w:val="bottom"/>
            <w:gridSpan w:val="4"/>
          </w:tcPr>
          <w:p>
            <w:pPr>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180" w:type="dxa"/>
            <w:vAlign w:val="bottom"/>
            <w:gridSpan w:val="2"/>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4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b w:val="1"/>
                <w:bCs w:val="1"/>
                <w:color w:val="auto"/>
                <w:vertAlign w:val="subscript"/>
              </w:rPr>
              <w:t>​</w:t>
            </w:r>
          </w:p>
        </w:tc>
      </w:tr>
      <w:tr>
        <w:trPr>
          <w:trHeight w:val="21"/>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60" w:space="720"/>
            <w:col w:w="24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29" w:lineRule="exact"/>
        <w:rPr>
          <w:sz w:val="20"/>
          <w:szCs w:val="20"/>
          <w:color w:val="auto"/>
        </w:rPr>
      </w:pPr>
    </w:p>
    <w:p>
      <w:pPr>
        <w:ind w:left="1260" w:right="419"/>
        <w:spacing w:after="0" w:line="297" w:lineRule="auto"/>
        <w:rPr>
          <w:sz w:val="20"/>
          <w:szCs w:val="20"/>
          <w:color w:val="auto"/>
        </w:rPr>
      </w:pPr>
      <w:r>
        <w:rPr>
          <w:rFonts w:ascii="Times New Roman" w:cs="Times New Roman" w:eastAsia="Times New Roman" w:hAnsi="Times New Roman"/>
          <w:sz w:val="18"/>
          <w:szCs w:val="18"/>
          <w:color w:val="auto"/>
        </w:rPr>
        <w:t>Significant components of the deferred tax asset balances as of December 31, 2022 and 2023 were as follows (in thousands):</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operating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Tax credits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Research and development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Accruals and reserves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capitalized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deferred tax assets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Fixed assets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97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net deferred tax assets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3"/>
                <w:szCs w:val="23"/>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​$ 10,519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 16,617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39,059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26,960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68,606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4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​(26,023)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20" w:type="dxa"/>
            <w:vAlign w:val="bottom"/>
            <w:gridSpan w:val="5"/>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​(61,404) </w:t>
            </w:r>
            <w:r>
              <w:rPr>
                <w:rFonts w:ascii="Times New Roman" w:cs="Times New Roman" w:eastAsia="Times New Roman" w:hAnsi="Times New Roman"/>
                <w:sz w:val="28"/>
                <w:szCs w:val="28"/>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(1,025) </w:t>
            </w: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20" w:type="dxa"/>
            <w:vAlign w:val="bottom"/>
            <w:gridSpan w:val="5"/>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 (6,177) </w:t>
            </w:r>
            <w:r>
              <w:rPr>
                <w:rFonts w:ascii="Times New Roman" w:cs="Times New Roman" w:eastAsia="Times New Roman" w:hAnsi="Times New Roman"/>
                <w:sz w:val="29"/>
                <w:szCs w:val="29"/>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(7,202) </w:t>
            </w:r>
            <w:r>
              <w:rPr>
                <w:rFonts w:ascii="Times New Roman" w:cs="Times New Roman" w:eastAsia="Times New Roman" w:hAnsi="Times New Roman"/>
                <w:sz w:val="18"/>
                <w:szCs w:val="18"/>
                <w:b w:val="1"/>
                <w:bCs w:val="1"/>
                <w:color w:val="auto"/>
              </w:rPr>
              <w:t>​</w:t>
            </w:r>
          </w:p>
        </w:tc>
      </w:tr>
      <w:tr>
        <w:trPr>
          <w:trHeight w:val="256"/>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8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180" w:type="dxa"/>
            <w:vAlign w:val="bottom"/>
            <w:gridSpan w:val="2"/>
          </w:tcPr>
          <w:p>
            <w:pPr>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64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b w:val="1"/>
                <w:bCs w:val="1"/>
                <w:color w:val="auto"/>
                <w:vertAlign w:val="subscript"/>
              </w:rPr>
              <w:t>​</w:t>
            </w:r>
          </w:p>
        </w:tc>
      </w:tr>
      <w:tr>
        <w:trPr>
          <w:trHeight w:val="21"/>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60" w:space="720"/>
            <w:col w:w="2499"/>
          </w:cols>
          <w:pgMar w:left="580" w:top="97" w:right="1440" w:bottom="1440" w:gutter="0" w:footer="0" w:header="0"/>
          <w:type w:val="continuous"/>
        </w:sectPr>
      </w:pPr>
    </w:p>
    <w:p>
      <w:pPr>
        <w:spacing w:after="0" w:line="2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be established when it is more likely than not that all or a portion of a deferred tax asset will not be realized. Realization of deferred tax assets is dependent upon future earnings, the timing and amount of which are uncertain. The Company believes that, based on a number of factors such as the history of operating losses, it is more likely than not that the deferred tax assets will not be fully realized, such that a full valuation allowance has been recorded. The valuation allowance increased by $15.7 million and by $35.4 million for the years ended December 31, 2022 and 2023, respectively, primarily due to the net operating losses carryforwards and research and development credits.</w:t>
      </w:r>
    </w:p>
    <w:p>
      <w:pPr>
        <w:spacing w:after="0" w:line="109"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Company’s federal and state net operating loss carryforwards and tax credits as of December 31, 2023 (dollars in thousands):</w:t>
      </w:r>
    </w:p>
    <w:p>
      <w:pPr>
        <w:sectPr>
          <w:pgSz w:w="11900" w:h="16838" w:orient="portrait"/>
          <w:cols w:equalWidth="0" w:num="1">
            <w:col w:w="9879"/>
          </w:cols>
          <w:pgMar w:left="580" w:top="97" w:right="1440" w:bottom="1440" w:gutter="0" w:footer="0" w:header="0"/>
          <w:type w:val="continuous"/>
        </w:sectPr>
      </w:pP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operating losses, Federal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operating losses,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operating losses, States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credits,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credits, 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Begin to Expire </w:t>
      </w:r>
      <w:r>
        <w:rPr>
          <w:rFonts w:ascii="Times New Roman" w:cs="Times New Roman" w:eastAsia="Times New Roman" w:hAnsi="Times New Roman"/>
          <w:sz w:val="28"/>
          <w:szCs w:val="28"/>
          <w:b w:val="1"/>
          <w:bCs w:val="1"/>
          <w:color w:val="auto"/>
          <w:vertAlign w:val="subscript"/>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​​$32,120​​ ​Do not expire​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3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 ​​$16,520​​ ​</w:t>
            </w: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2037​</w:t>
            </w: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4,378​​ ​</w:t>
            </w: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2041​</w:t>
            </w:r>
          </w:p>
        </w:tc>
      </w:tr>
      <w:tr>
        <w:trPr>
          <w:trHeight w:val="26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7,902​​ ​</w:t>
            </w: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2039​</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3,110​​ ​</w:t>
            </w: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2037​</w:t>
            </w:r>
          </w:p>
        </w:tc>
      </w:tr>
    </w:tbl>
    <w:p>
      <w:pPr>
        <w:spacing w:after="0" w:line="103" w:lineRule="exact"/>
        <w:rPr>
          <w:sz w:val="20"/>
          <w:szCs w:val="20"/>
          <w:color w:val="auto"/>
        </w:rPr>
      </w:pPr>
    </w:p>
    <w:p>
      <w:pPr>
        <w:sectPr>
          <w:pgSz w:w="11900" w:h="16838" w:orient="portrait"/>
          <w:cols w:equalWidth="0" w:num="2">
            <w:col w:w="6700" w:space="720"/>
            <w:col w:w="2459"/>
          </w:cols>
          <w:pgMar w:left="580" w:top="97" w:right="1440" w:bottom="1440" w:gutter="0" w:footer="0" w:header="0"/>
          <w:type w:val="continuous"/>
        </w:sect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Utilization of some of the federal and state net operating loss and credit carryforwards may be subject to annual limitations due to the change in ownership provisions of the Internal Revenue Code of 1986, as amended (“Internal Revenue Code”), and similar state provisions. The annual limitation may result in the expiration of net operating losses and credits before utilization. As of December 31, 2023, the Company has not completed an I.R.C. section 382 study to determine if a limitation exists. As the Company has recorded a full valuation allowance, any potential limitation is not expected to have a material impact to the consolidated financial statements.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the unrecognized tax benefits for the years ended</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2022 and 2023, is as follows (in thousands):</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4"/>
                <w:szCs w:val="14"/>
                <w:color w:val="auto"/>
              </w:rPr>
            </w:pPr>
          </w:p>
        </w:tc>
      </w:tr>
      <w:tr>
        <w:trPr>
          <w:trHeight w:val="162"/>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r>
      <w:tr>
        <w:trPr>
          <w:trHeight w:val="214"/>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3"/>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​$ 2,451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Increases in tax positions in the current period</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​2,347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​3,572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related to prior year’s tax position</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700" w:type="dxa"/>
            <w:vAlign w:val="bottom"/>
            <w:tcBorders>
              <w:right w:val="single" w:sz="8" w:color="CCEEFF"/>
            </w:tcBorders>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​(1,907)</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2,451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0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$ 4,116</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-719455</wp:posOffset>
            </wp:positionV>
            <wp:extent cx="467169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91"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entire amount of the unrecognized tax benefits would not impact the Company’s effective tax rate if recognized. The Company has elected to include interest and penalties as a component of other income (expense), net. For the years ended December 31, 2022 and 2023,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As of December 31, 2023, the Company is not under audit by the Internal Revenue Service or any state authority for income taxes for any open years. Due to the Company’s net operating loss carryforwards, the Company’s domestic income tax returns are open to examination by the Internal Revenue Service beginning with tax year 2017 and by state taxing authorities beginning with tax year 2021.</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the years ended December 31, 2022 and 2023.</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Company has evaluated subsequent events for financial statement purposes occurring through April 10, 2024, the date when these consolidated financial statements were available to be issued. No subsequent events have been identified for disclosure to or adjustment in the consolidated financial statements, other than the matters noted below.</w:t>
      </w:r>
    </w:p>
    <w:p>
      <w:pPr>
        <w:spacing w:after="0" w:line="11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From January 2024 through March 2024, the Company granted stock options for the purchase of an aggregate of 2,431,929 shares of common stock, with an exercise price of $1.89 per share to employees under the 2021 Plan. These options have vesting terms of four years with one-year cliff vesting.</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March 2024, the Company’s board of directors approved the repricing of all outstanding options as of March 29, 2024, which have an exercise price exceeding $1.89 per share. The exercise price of outstanding options with a weighted average exercise price of $2.19 for 21,521,882 common stock shares was reduced to the estimated common stock fair value of $1.89 per share at the date of the repricing.</w:t>
      </w:r>
    </w:p>
    <w:p>
      <w:pPr>
        <w:spacing w:after="0" w:line="110"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In March 2024, the Company amended its certification of incorporation to increase the authorized number of shares of the Company. Under the new amended and restated certificate of incorporation, the Company is authorized to issue 225,000,000 shares of Class A common stock, 168,489,897 shares of Class B common stock and 202,643,727 shares of redeemable convertible preferred stock consisting of 10,500,000 shares of Series Seed redeemable convertible preferred stock, 7,500,000 shares of Series A redeemable convertible preferred stock, 40,200,000 shares of Series B redeemable convertible preferred stock, 9,760,088 shares of Series B-1 redeemable convertible preferred stock, 18,000,000 shares of Series B-2 redeemable convertible</w:t>
      </w:r>
    </w:p>
    <w:p>
      <w:pPr>
        <w:sectPr>
          <w:pgSz w:w="11900" w:h="16838" w:orient="portrait"/>
          <w:cols w:equalWidth="0" w:num="1">
            <w:col w:w="9879"/>
          </w:cols>
          <w:pgMar w:left="580" w:top="97" w:right="1440" w:bottom="1440" w:gutter="0" w:footer="0" w:header="0"/>
        </w:sectPr>
      </w:pPr>
    </w:p>
    <w:p>
      <w:pPr>
        <w:spacing w:after="0" w:line="3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Subsequent Events (Continued)</w:t>
      </w:r>
    </w:p>
    <w:p>
      <w:pPr>
        <w:spacing w:after="0" w:line="22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preferred stock, 1,778,830 shares of Series B-2A redeemable convertible preferred stock, 82,529,809 shares of Series C redeemable convertible preferred stock and 32,375,000 shares of Series C-1 redeemable convertible preferred stock.</w:t>
      </w:r>
    </w:p>
    <w:p>
      <w:pPr>
        <w:spacing w:after="0" w:line="10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In March 2024, the Company entered into a Series C preferred stock purchase agreement and received $129.5 million gross cash proceeds from the issuance of 41,264,891 shares at a purchase price of $3.13826 per share in the First Tranche Series C Closing. Any time prior to the earliest of (i) December 31, 2024, (ii) the execution of a letter of intent for the sale of the Company, or (iii) the closing date of the Company’s initial public offering, at the discretion of the Company’s board of directors, the Company is obligated to sell and each Series C purchaser is obligated to purchase additional shares of Series C redeemable convertible preferred stock with the amount equal to the purchaser’s aggregate purchase price in the First Tranche Series C Closing less any previous payments by the purchaser as part of the Put Right (as defined below) exercise. If the purchaser does not purchase its full share in the Second Tranche Series C Closing, all of its existing shares of Series C redeemable convertible stock and Series C-1 redeemable convertible preferred stock convert into common stock at a 10-to-1 basis. Additionally, a purchaser has a right to purchase shares of Series C-1 redeemable convertible preferred stock at a purchase price of $4.00 per share beginning from the earlier of (a) September 4, 2024 or (b) the date of a significant partnering or collaboration agreement and expiring upon the earlier of (a) December 31, 2024, (b) the public filing of a registration statement on Form S-1 for the initial public offering, (c) the Second Tranche Series C Closing and (d) the execution of a letter of intent for the sale of the Company (the “Put Right”). The Put Right can only be exercised once.</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16. Events Subsequent to Original Issuance of Financial Statements (Unaudited)</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connection with the reissuance of the consolidated financial statements, the Company has evaluated subsequent events through June 18, 2024, the date the consolidated financial statements were available to be reissued.</w:t>
      </w:r>
    </w:p>
    <w:p>
      <w:pPr>
        <w:spacing w:after="0" w:line="9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May 2024, the Company’s board of directors adopted and the shareholders approved the 2024 Performance Option Plan (the “2024 POP”). The Company reserved 8,792,390 shares of common stock issuable under the 2024 POP. The 2024 POP permits grants of ISOs, NSOs and restricted stock awards to the Company’s employees, directors and consultants.</w:t>
      </w:r>
    </w:p>
    <w:p>
      <w:pPr>
        <w:spacing w:after="0" w:line="11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In May 2024, the Company granted NSOs to employees to purchase 8,792,390 shares of common stock at an exercise price of $2.18 under the 2024 POP. Options generally vest on the date when both a performance condition and a service condition are satisfied for such shares. The performance condition is satisfied based on the Company meeting certain common stock public market price specified targets after the end of the lock-up period. The price target performance conditions are calculated based on the volume weighted average price per share over 30 consecutive trading dates, in accordance with the grant terms. Shares subject to the option that have not satisfied the performance condition within six years from the vesting commencement date will expire at the performance end date. The service condition includes monthly vesting over 36 months from the vesting commencement date and the employee’s continuous service with the Company through each such monthly vesting date.</w:t>
      </w:r>
    </w:p>
    <w:p>
      <w:pPr>
        <w:spacing w:after="0" w:line="12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May 2024, the Company received $129.5 million gross cash proceeds from the issuance of 41,264,892 shares of Series C redeemable convertible preferred stock at a purchase price of $3.13826 per share in the Second Tranche Series C Closing.</w:t>
      </w:r>
    </w:p>
    <w:p>
      <w:pPr>
        <w:spacing w:after="0" w:line="9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From April 2024 through June 2024, the Company granted stock options for the purchase of an aggregate of 5,968,650 shares of common stock, with an exercise price ranging from $2.18 – $2.85 per share to employees under the 2021 Plan. These options have vesting terms of four years with one-year cliff vesting.</w:t>
      </w: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40" w:type="dxa"/>
            <w:vAlign w:val="bottom"/>
          </w:tcPr>
          <w:p>
            <w:pPr>
              <w:spacing w:after="0"/>
              <w:rPr>
                <w:sz w:val="14"/>
                <w:szCs w:val="14"/>
                <w:color w:val="auto"/>
              </w:rPr>
            </w:pPr>
          </w:p>
        </w:tc>
        <w:tc>
          <w:tcPr>
            <w:tcW w:w="80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7"/>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(in thousands, except share and per share amounts)</w:t>
            </w:r>
          </w:p>
        </w:tc>
        <w:tc>
          <w:tcPr>
            <w:tcW w:w="318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6"/>
                <w:szCs w:val="16"/>
                <w:color w:val="auto"/>
              </w:rPr>
            </w:pP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   ​</w:t>
            </w:r>
          </w:p>
        </w:tc>
        <w:tc>
          <w:tcPr>
            <w:tcW w:w="0" w:type="dxa"/>
            <w:vAlign w:val="bottom"/>
          </w:tcPr>
          <w:p>
            <w:pPr>
              <w:spacing w:after="0"/>
              <w:rPr>
                <w:sz w:val="1"/>
                <w:szCs w:val="1"/>
                <w:color w:val="auto"/>
              </w:rPr>
            </w:pPr>
          </w:p>
        </w:tc>
      </w:tr>
      <w:tr>
        <w:trPr>
          <w:trHeight w:val="20"/>
        </w:trPr>
        <w:tc>
          <w:tcPr>
            <w:tcW w:w="30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1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 ​</w:t>
            </w:r>
          </w:p>
        </w:tc>
        <w:tc>
          <w:tcPr>
            <w:tcW w:w="600" w:type="dxa"/>
            <w:vAlign w:val="bottom"/>
            <w:tcBorders>
              <w:right w:val="single" w:sz="8" w:color="CCEEFF"/>
            </w:tcBorders>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6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45,996</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​​$ 112,071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 prepaid expenses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0" w:type="dxa"/>
            <w:vAlign w:val="bottom"/>
          </w:tcPr>
          <w:p>
            <w:pPr>
              <w:spacing w:after="0"/>
              <w:rPr>
                <w:sz w:val="1"/>
                <w:szCs w:val="1"/>
                <w:color w:val="auto"/>
              </w:rPr>
            </w:pPr>
          </w:p>
        </w:tc>
      </w:tr>
      <w:tr>
        <w:trPr>
          <w:trHeight w:val="243"/>
        </w:trPr>
        <w:tc>
          <w:tcPr>
            <w:tcW w:w="6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​141,246​</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shd w:val="clear" w:color="auto" w:fill="CCEEFF"/>
          </w:tcPr>
          <w:p>
            <w:pPr>
              <w:ind w:left="40"/>
              <w:spacing w:after="0" w:line="223"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89,612</w:t>
            </w:r>
          </w:p>
        </w:tc>
        <w:tc>
          <w:tcPr>
            <w:tcW w:w="98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$ 177,375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gridSpan w:val="2"/>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240" w:type="dxa"/>
            <w:vAlign w:val="bottom"/>
            <w:tcBorders>
              <w:top w:val="single" w:sz="8" w:color="CCEEFF"/>
              <w:bottom w:val="single" w:sz="8" w:color="CCEEFF"/>
            </w:tcBorders>
            <w:vMerge w:val="restart"/>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63"/>
        </w:trPr>
        <w:tc>
          <w:tcPr>
            <w:tcW w:w="620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80" w:type="dxa"/>
            <w:vAlign w:val="bottom"/>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spacing w:after="0"/>
              <w:rPr>
                <w:sz w:val="14"/>
                <w:szCs w:val="14"/>
                <w:color w:val="auto"/>
              </w:rPr>
            </w:pPr>
          </w:p>
        </w:tc>
        <w:tc>
          <w:tcPr>
            <w:tcW w:w="42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rPr>
              <w:t>​​​ ​​ ​</w:t>
            </w: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Borders>
              <w:right w:val="single" w:sz="8" w:color="CCEEFF"/>
            </w:tcBorders>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accrued expenses</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0" w:type="dxa"/>
            <w:vAlign w:val="bottom"/>
          </w:tcPr>
          <w:p>
            <w:pPr>
              <w:spacing w:after="0"/>
              <w:rPr>
                <w:sz w:val="1"/>
                <w:szCs w:val="1"/>
                <w:color w:val="auto"/>
              </w:rPr>
            </w:pPr>
          </w:p>
        </w:tc>
      </w:tr>
      <w:tr>
        <w:trPr>
          <w:trHeight w:val="243"/>
        </w:trPr>
        <w:tc>
          <w:tcPr>
            <w:tcW w:w="6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23,988​</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0" w:type="dxa"/>
            <w:vAlign w:val="bottom"/>
          </w:tcPr>
          <w:p>
            <w:pPr>
              <w:spacing w:after="0"/>
              <w:rPr>
                <w:sz w:val="1"/>
                <w:szCs w:val="1"/>
                <w:color w:val="auto"/>
              </w:rPr>
            </w:pPr>
          </w:p>
        </w:tc>
      </w:tr>
      <w:tr>
        <w:trPr>
          <w:trHeight w:val="243"/>
        </w:trPr>
        <w:tc>
          <w:tcPr>
            <w:tcW w:w="6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repurchase liability</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67,726​</w:t>
            </w:r>
          </w:p>
        </w:tc>
        <w:tc>
          <w:tcPr>
            <w:tcW w:w="0" w:type="dxa"/>
            <w:vAlign w:val="bottom"/>
          </w:tcPr>
          <w:p>
            <w:pPr>
              <w:spacing w:after="0"/>
              <w:rPr>
                <w:sz w:val="1"/>
                <w:szCs w:val="1"/>
                <w:color w:val="auto"/>
              </w:rPr>
            </w:pPr>
          </w:p>
        </w:tc>
      </w:tr>
      <w:tr>
        <w:trPr>
          <w:trHeight w:val="20"/>
        </w:trPr>
        <w:tc>
          <w:tcPr>
            <w:tcW w:w="6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2"/>
            <w:vMerge w:val="continue"/>
            <w:shd w:val="clear" w:color="auto" w:fill="CCEEFF"/>
          </w:tcPr>
          <w:p>
            <w:pPr>
              <w:spacing w:after="0"/>
              <w:rPr>
                <w:sz w:val="19"/>
                <w:szCs w:val="19"/>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Borders>
              <w:right w:val="single" w:sz="8" w:color="CCEEFF"/>
            </w:tcBorders>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convertible preferred stock, $0.0001 par value; 89,016,578 and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202,643,727 shares authorized as of December 31, 2023 and March 31, 2024,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 85,960,088 and 127,224,979 shares issued and outstanding as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2023 and March 31, 2024, respectively; aggregate liquidation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preference of $370,540 and $500,040 as of December 31, 2023 and March 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2024, respectively</w:t>
            </w:r>
          </w:p>
        </w:tc>
        <w:tc>
          <w:tcPr>
            <w:tcW w:w="20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 ​ ​375,370 ​​ ​​ ​495,575​</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Borders>
              <w:right w:val="single" w:sz="8" w:color="CCEEFF"/>
            </w:tcBorders>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125,000,000 and 225,000,000 Class A</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 authorized as of December 31, 2023 and March 31, 2024,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respectively; 12,510,338 and 12,525,233 Class A shares issued and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2023 and March 31, 2024, respectively;</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85,960,088 and 168,489,897 Class B shares authorized as of December 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2023 and March 31, 2024, respectively; no Class B shares issued and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2023 and March 31, 2024</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​(364,318)​​ ​​ ​(414,167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 ​ ​(339,260)​​ ​​ ​(385,926​)</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Total liabilities, redeemable convertible preferred stock and stockholders’ deficit</w:t>
            </w:r>
          </w:p>
        </w:tc>
        <w:tc>
          <w:tcPr>
            <w:tcW w:w="420" w:type="dxa"/>
            <w:vAlign w:val="bottom"/>
            <w:gridSpan w:val="2"/>
            <w:shd w:val="clear" w:color="auto" w:fill="CCEEFF"/>
          </w:tcPr>
          <w:p>
            <w:pPr>
              <w:ind w:left="40"/>
              <w:spacing w:after="0" w:line="223" w:lineRule="exact"/>
              <w:rPr>
                <w:sz w:val="20"/>
                <w:szCs w:val="20"/>
                <w:color w:val="auto"/>
              </w:rPr>
            </w:pPr>
            <w:r>
              <w:rPr>
                <w:rFonts w:ascii="Times New Roman" w:cs="Times New Roman" w:eastAsia="Times New Roman" w:hAnsi="Times New Roman"/>
                <w:sz w:val="14"/>
                <w:szCs w:val="14"/>
                <w:color w:val="auto"/>
                <w:shd w:val="clear" w:color="auto" w:fill="CCEEFF"/>
              </w:rPr>
              <w:t>​ ​ ​</w:t>
            </w:r>
            <w:r>
              <w:rPr>
                <w:rFonts w:ascii="Times New Roman" w:cs="Times New Roman" w:eastAsia="Times New Roman" w:hAnsi="Times New Roman"/>
                <w:sz w:val="25"/>
                <w:szCs w:val="25"/>
                <w:color w:val="auto"/>
                <w:vertAlign w:val="superscript"/>
                <w:shd w:val="clear" w:color="auto" w:fill="CCEEFF"/>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89,612</w:t>
            </w:r>
          </w:p>
        </w:tc>
        <w:tc>
          <w:tcPr>
            <w:tcW w:w="98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shd w:val="clear" w:color="auto" w:fill="CCEEFF"/>
              </w:rPr>
              <w:t>​​ ​​</w:t>
            </w:r>
            <w:r>
              <w:rPr>
                <w:rFonts w:ascii="Times New Roman" w:cs="Times New Roman" w:eastAsia="Times New Roman" w:hAnsi="Times New Roman"/>
                <w:sz w:val="14"/>
                <w:szCs w:val="14"/>
                <w:color w:val="auto"/>
                <w:shd w:val="clear" w:color="auto" w:fill="CCEEFF"/>
              </w:rPr>
              <w:t>$ 177,375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474027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-2905125</wp:posOffset>
            </wp:positionV>
            <wp:extent cx="474027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-4722495</wp:posOffset>
            </wp:positionV>
            <wp:extent cx="474027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19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1260" w:type="dxa"/>
        <w:tblCellMar>
          <w:top w:w="0" w:type="dxa"/>
          <w:left w:w="0" w:type="dxa"/>
          <w:bottom w:w="0" w:type="dxa"/>
          <w:right w:w="0" w:type="dxa"/>
        </w:tblCellMar>
      </w:tblPr>
      <w:tr>
        <w:trPr>
          <w:trHeight w:val="209"/>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gridSpan w:val="10"/>
          </w:tcPr>
          <w:p>
            <w:pPr>
              <w:jc w:val="right"/>
              <w:ind w:right="20"/>
              <w:spacing w:after="0" w:line="209"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Three months ended March 31,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
        </w:trPr>
        <w:tc>
          <w:tcPr>
            <w:tcW w:w="302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 including related party expenses of $325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$421 for the three months ended March 31, 2023 and 2024, respectively</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33"/>
              <w:spacing w:after="0"/>
              <w:rPr>
                <w:sz w:val="20"/>
                <w:szCs w:val="20"/>
                <w:color w:val="auto"/>
              </w:rPr>
            </w:pPr>
            <w:r>
              <w:rPr>
                <w:rFonts w:ascii="Times New Roman" w:cs="Times New Roman" w:eastAsia="Times New Roman" w:hAnsi="Times New Roman"/>
                <w:sz w:val="18"/>
                <w:szCs w:val="18"/>
                <w:color w:val="auto"/>
              </w:rPr>
              <w:t>32,435​​​​$</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41,961​</w:t>
            </w:r>
          </w:p>
        </w:tc>
        <w:tc>
          <w:tcPr>
            <w:tcW w:w="0" w:type="dxa"/>
            <w:vAlign w:val="bottom"/>
          </w:tcPr>
          <w:p>
            <w:pPr>
              <w:spacing w:after="0"/>
              <w:rPr>
                <w:sz w:val="1"/>
                <w:szCs w:val="1"/>
                <w:color w:val="auto"/>
              </w:rPr>
            </w:pPr>
          </w:p>
        </w:tc>
      </w:tr>
      <w:tr>
        <w:trPr>
          <w:trHeight w:val="270"/>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98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4,225</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98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36,660</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7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47,593</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(36,660)</w:t>
            </w:r>
          </w:p>
        </w:tc>
        <w:tc>
          <w:tcPr>
            <w:tcW w:w="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316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80" w:type="dxa"/>
            <w:vAlign w:val="bottom"/>
            <w:tcBorders>
              <w:right w:val="single" w:sz="8" w:color="CCEEFF"/>
            </w:tcBorders>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tcBorders>
              <w:left w:val="single" w:sz="8" w:color="CCEEFF"/>
            </w:tcBorders>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80" w:type="dxa"/>
            <w:vAlign w:val="bottom"/>
            <w:tcBorders>
              <w:right w:val="single" w:sz="8" w:color="CCEEFF"/>
            </w:tcBorders>
            <w:shd w:val="clear" w:color="auto" w:fill="CCEEFF"/>
          </w:tcPr>
          <w:p>
            <w:pPr>
              <w:spacing w:after="0"/>
              <w:rPr>
                <w:sz w:val="4"/>
                <w:szCs w:val="4"/>
                <w:color w:val="auto"/>
              </w:rPr>
            </w:pPr>
          </w:p>
        </w:tc>
        <w:tc>
          <w:tcPr>
            <w:tcW w:w="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40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3"/>
                <w:szCs w:val="23"/>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6"/>
              </w:rPr>
              <w:t>(15)</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20" w:type="dxa"/>
            <w:vAlign w:val="bottom"/>
            <w:shd w:val="clear" w:color="auto" w:fill="CCEEFF"/>
          </w:tcPr>
          <w:p>
            <w:pPr>
              <w:spacing w:after="0"/>
              <w:rPr>
                <w:sz w:val="5"/>
                <w:szCs w:val="5"/>
                <w:color w:val="auto"/>
              </w:rPr>
            </w:pPr>
          </w:p>
        </w:tc>
        <w:tc>
          <w:tcPr>
            <w:tcW w:w="3160" w:type="dxa"/>
            <w:vAlign w:val="bottom"/>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Borders>
              <w:left w:val="single" w:sz="8" w:color="CCEEFF"/>
            </w:tcBorders>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gridSpan w:val="2"/>
          </w:tcPr>
          <w:p>
            <w:pPr>
              <w:ind w:left="40"/>
              <w:spacing w:after="0" w:line="27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40" w:type="dxa"/>
            <w:vAlign w:val="bottom"/>
          </w:tcPr>
          <w:p>
            <w:pPr>
              <w:spacing w:after="0"/>
              <w:rPr>
                <w:sz w:val="24"/>
                <w:szCs w:val="24"/>
                <w:color w:val="auto"/>
              </w:rPr>
            </w:pPr>
          </w:p>
        </w:tc>
        <w:tc>
          <w:tcPr>
            <w:tcW w:w="640" w:type="dxa"/>
            <w:vAlign w:val="bottom"/>
            <w:gridSpan w:val="3"/>
          </w:tcPr>
          <w:p>
            <w:pPr>
              <w:jc w:val="right"/>
              <w:spacing w:after="0" w:line="276" w:lineRule="exact"/>
              <w:rPr>
                <w:sz w:val="20"/>
                <w:szCs w:val="20"/>
                <w:color w:val="auto"/>
              </w:rPr>
            </w:pPr>
            <w:r>
              <w:rPr>
                <w:rFonts w:ascii="Times New Roman" w:cs="Times New Roman" w:eastAsia="Times New Roman" w:hAnsi="Times New Roman"/>
                <w:sz w:val="17"/>
                <w:szCs w:val="17"/>
                <w:color w:val="auto"/>
              </w:rPr>
              <w:t>633</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740" w:type="dxa"/>
            <w:vAlign w:val="bottom"/>
            <w:gridSpan w:val="4"/>
          </w:tcPr>
          <w:p>
            <w:pPr>
              <w:jc w:val="right"/>
              <w:spacing w:after="0" w:line="276" w:lineRule="exact"/>
              <w:rPr>
                <w:sz w:val="20"/>
                <w:szCs w:val="20"/>
                <w:color w:val="auto"/>
              </w:rPr>
            </w:pPr>
            <w:r>
              <w:rPr>
                <w:rFonts w:ascii="Times New Roman" w:cs="Times New Roman" w:eastAsia="Times New Roman" w:hAnsi="Times New Roman"/>
                <w:sz w:val="17"/>
                <w:szCs w:val="17"/>
                <w:color w:val="auto"/>
              </w:rPr>
              <w:t>(2,256</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(36,027)</w:t>
            </w:r>
          </w:p>
        </w:tc>
        <w:tc>
          <w:tcPr>
            <w:tcW w:w="200" w:type="dxa"/>
            <w:vAlign w:val="bottom"/>
            <w:tcBorders>
              <w:lef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(49,849)</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20" w:type="dxa"/>
            <w:vAlign w:val="bottom"/>
            <w:shd w:val="clear" w:color="auto" w:fill="CCEEFF"/>
          </w:tcPr>
          <w:p>
            <w:pPr>
              <w:spacing w:after="0"/>
              <w:rPr>
                <w:sz w:val="5"/>
                <w:szCs w:val="5"/>
                <w:color w:val="auto"/>
              </w:rPr>
            </w:pPr>
          </w:p>
        </w:tc>
        <w:tc>
          <w:tcPr>
            <w:tcW w:w="3160" w:type="dxa"/>
            <w:vAlign w:val="bottom"/>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Borders>
              <w:left w:val="single" w:sz="8" w:color="CCEEFF"/>
            </w:tcBorders>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marketable securities, net</w:t>
            </w:r>
          </w:p>
        </w:tc>
        <w:tc>
          <w:tcPr>
            <w:tcW w:w="360" w:type="dxa"/>
            <w:vAlign w:val="bottom"/>
            <w:gridSpan w:val="2"/>
            <w:shd w:val="clear" w:color="auto" w:fill="CCEEFF"/>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4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40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perscript"/>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other comprehensive loss</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6"/>
              <w:spacing w:after="0"/>
              <w:rPr>
                <w:sz w:val="20"/>
                <w:szCs w:val="20"/>
                <w:color w:val="auto"/>
              </w:rPr>
            </w:pPr>
            <w:r>
              <w:rPr>
                <w:rFonts w:ascii="Times New Roman" w:cs="Times New Roman" w:eastAsia="Times New Roman" w:hAnsi="Times New Roman"/>
                <w:sz w:val="18"/>
                <w:szCs w:val="18"/>
                <w:color w:val="auto"/>
              </w:rPr>
              <w:t>(35,927)</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(49,852)</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Class A common stockholders, basic and diluted</w:t>
            </w:r>
          </w:p>
        </w:tc>
        <w:tc>
          <w:tcPr>
            <w:tcW w:w="3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6"/>
              <w:spacing w:after="0" w:line="196" w:lineRule="exact"/>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68"/>
        </w:trPr>
        <w:tc>
          <w:tcPr>
            <w:tcW w:w="30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2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Class A common shares outstanding, basic and diluted</w:t>
            </w:r>
          </w:p>
        </w:tc>
        <w:tc>
          <w:tcPr>
            <w:tcW w:w="2080" w:type="dxa"/>
            <w:vAlign w:val="bottom"/>
            <w:gridSpan w:val="10"/>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​9,339,918</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​11,080,100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-427990</wp:posOffset>
            </wp:positionV>
            <wp:extent cx="5212080" cy="2057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463740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-2245360</wp:posOffset>
            </wp:positionV>
            <wp:extent cx="463740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19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2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STOCK AND STOCKHOLDERS’ DEFICIT</w:t>
      </w:r>
    </w:p>
    <w:p>
      <w:pPr>
        <w:spacing w:after="0" w:line="9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u w:val="single" w:color="auto"/>
          <w:color w:val="auto"/>
        </w:rPr>
        <w:t>(in thousands, except share amounts)</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p>
      <w:pPr>
        <w:spacing w:after="0" w:line="40" w:lineRule="exact"/>
        <w:rPr>
          <w:sz w:val="20"/>
          <w:szCs w:val="20"/>
          <w:color w:val="auto"/>
        </w:rPr>
      </w:pPr>
    </w:p>
    <w:p>
      <w:pPr>
        <w:ind w:left="680" w:right="260" w:hanging="179"/>
        <w:spacing w:after="0" w:line="273" w:lineRule="auto"/>
        <w:rPr>
          <w:sz w:val="20"/>
          <w:szCs w:val="20"/>
          <w:color w:val="auto"/>
        </w:rPr>
      </w:pPr>
      <w:r>
        <w:rPr>
          <w:rFonts w:ascii="Times New Roman" w:cs="Times New Roman" w:eastAsia="Times New Roman" w:hAnsi="Times New Roman"/>
          <w:sz w:val="18"/>
          <w:szCs w:val="18"/>
          <w:color w:val="auto"/>
        </w:rPr>
        <w:t>Vesting of early exercised stock options</w:t>
      </w:r>
    </w:p>
    <w:p>
      <w:pPr>
        <w:spacing w:after="0" w:line="2" w:lineRule="exact"/>
        <w:rPr>
          <w:sz w:val="20"/>
          <w:szCs w:val="20"/>
          <w:color w:val="auto"/>
        </w:rPr>
      </w:pPr>
    </w:p>
    <w:p>
      <w:pPr>
        <w:ind w:left="680" w:right="420" w:hanging="179"/>
        <w:spacing w:after="0" w:line="273" w:lineRule="auto"/>
        <w:rPr>
          <w:sz w:val="20"/>
          <w:szCs w:val="20"/>
          <w:color w:val="auto"/>
        </w:rPr>
      </w:pPr>
      <w:r>
        <w:rPr>
          <w:rFonts w:ascii="Times New Roman" w:cs="Times New Roman" w:eastAsia="Times New Roman" w:hAnsi="Times New Roman"/>
          <w:sz w:val="18"/>
          <w:szCs w:val="18"/>
          <w:color w:val="auto"/>
        </w:rPr>
        <w:t>Vesting of restricted shares of common stock</w:t>
      </w:r>
    </w:p>
    <w:p>
      <w:pPr>
        <w:spacing w:after="0" w:line="2" w:lineRule="exact"/>
        <w:rPr>
          <w:sz w:val="20"/>
          <w:szCs w:val="20"/>
          <w:color w:val="auto"/>
        </w:rPr>
      </w:pPr>
    </w:p>
    <w:p>
      <w:pPr>
        <w:jc w:val="both"/>
        <w:ind w:left="680" w:right="180" w:hanging="179"/>
        <w:spacing w:after="0" w:line="266" w:lineRule="auto"/>
        <w:rPr>
          <w:sz w:val="20"/>
          <w:szCs w:val="20"/>
          <w:color w:val="auto"/>
        </w:rPr>
      </w:pPr>
      <w:r>
        <w:rPr>
          <w:rFonts w:ascii="Times New Roman" w:cs="Times New Roman" w:eastAsia="Times New Roman" w:hAnsi="Times New Roman"/>
          <w:sz w:val="18"/>
          <w:szCs w:val="18"/>
          <w:color w:val="auto"/>
        </w:rPr>
        <w:t>Repurchase of unvested common stock shares issued upon early exercised stock options</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comprehensive income, net</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loss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Balance at March 31, 2023</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3"/>
            <w:vMerge w:val="restart"/>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restart"/>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gridSpan w:val="3"/>
            <w:vMerge w:val="restart"/>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3"/>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3"/>
            <w:vMerge w:val="restart"/>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60" w:type="dxa"/>
            <w:vAlign w:val="bottom"/>
            <w:vMerge w:val="restart"/>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1260" w:type="dxa"/>
            <w:vAlign w:val="bottom"/>
            <w:gridSpan w:val="5"/>
            <w:vMerge w:val="continue"/>
          </w:tcPr>
          <w:p>
            <w:pPr>
              <w:spacing w:after="0"/>
              <w:rPr>
                <w:sz w:val="11"/>
                <w:szCs w:val="11"/>
                <w:color w:val="auto"/>
              </w:rPr>
            </w:pPr>
          </w:p>
        </w:tc>
        <w:tc>
          <w:tcPr>
            <w:tcW w:w="100" w:type="dxa"/>
            <w:vAlign w:val="bottom"/>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Comprehensive</w:t>
            </w:r>
          </w:p>
        </w:tc>
        <w:tc>
          <w:tcPr>
            <w:tcW w:w="120" w:type="dxa"/>
            <w:vAlign w:val="bottom"/>
          </w:tcPr>
          <w:p>
            <w:pPr>
              <w:spacing w:after="0"/>
              <w:rPr>
                <w:sz w:val="11"/>
                <w:szCs w:val="11"/>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1"/>
                <w:szCs w:val="11"/>
                <w:color w:val="auto"/>
              </w:rPr>
            </w:pPr>
          </w:p>
        </w:tc>
        <w:tc>
          <w:tcPr>
            <w:tcW w:w="7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Stockholders’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4"/>
            <w:vMerge w:val="restart"/>
          </w:tcPr>
          <w:p>
            <w:pPr>
              <w:ind w:lef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Amount</w:t>
            </w: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6"/>
            <w:vMerge w:val="restart"/>
          </w:tcPr>
          <w:p>
            <w:pPr>
              <w:ind w:lef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7"/>
                <w:szCs w:val="27"/>
                <w:b w:val="1"/>
                <w:bCs w:val="1"/>
                <w:color w:val="auto"/>
                <w:vertAlign w:val="subscript"/>
              </w:rPr>
              <w:t>​​</w:t>
            </w:r>
          </w:p>
        </w:tc>
        <w:tc>
          <w:tcPr>
            <w:tcW w:w="6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4"/>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6"/>
            <w:vMerge w:val="continue"/>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780" w:type="dxa"/>
            <w:vAlign w:val="bottom"/>
            <w:gridSpan w:val="12"/>
          </w:tcPr>
          <w:p>
            <w:pPr>
              <w:ind w:left="20"/>
              <w:spacing w:after="0"/>
              <w:rPr>
                <w:sz w:val="20"/>
                <w:szCs w:val="20"/>
                <w:color w:val="auto"/>
              </w:rPr>
            </w:pPr>
            <w:r>
              <w:rPr>
                <w:rFonts w:ascii="Times New Roman" w:cs="Times New Roman" w:eastAsia="Times New Roman" w:hAnsi="Times New Roman"/>
                <w:sz w:val="18"/>
                <w:szCs w:val="18"/>
                <w:b w:val="1"/>
                <w:bCs w:val="1"/>
                <w:color w:val="auto"/>
              </w:rPr>
              <w:t>​​​67,960,088​​​​$285,473​​​​12,353,021​​​</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​$ 1</w:t>
            </w: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​​​​$14,209 ​​​</w:t>
            </w:r>
          </w:p>
        </w:tc>
        <w:tc>
          <w:tcPr>
            <w:tcW w:w="20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1"/>
              </w:rPr>
              <w:t>​$ (127)</w:t>
            </w:r>
          </w:p>
        </w:tc>
        <w:tc>
          <w:tcPr>
            <w:tcW w:w="1940" w:type="dxa"/>
            <w:vAlign w:val="bottom"/>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​​​​$(209,325)​​​​$(195,242)​</w:t>
            </w:r>
          </w:p>
        </w:tc>
        <w:tc>
          <w:tcPr>
            <w:tcW w:w="0" w:type="dxa"/>
            <w:vAlign w:val="bottom"/>
          </w:tcPr>
          <w:p>
            <w:pPr>
              <w:spacing w:after="0"/>
              <w:rPr>
                <w:sz w:val="1"/>
                <w:szCs w:val="1"/>
                <w:color w:val="auto"/>
              </w:rPr>
            </w:pPr>
          </w:p>
        </w:tc>
      </w:tr>
      <w:tr>
        <w:trPr>
          <w:trHeight w:val="446"/>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73"/>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8"/>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24"/>
                <w:szCs w:val="24"/>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4"/>
                <w:szCs w:val="24"/>
                <w:color w:val="auto"/>
              </w:rPr>
            </w:pP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(62,500​​​)</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9"/>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1,831 ​​​</w:t>
            </w:r>
          </w:p>
        </w:tc>
        <w:tc>
          <w:tcPr>
            <w:tcW w:w="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100</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22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20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00" w:type="dxa"/>
            <w:vAlign w:val="bottom"/>
            <w:gridSpan w:val="4"/>
          </w:tcPr>
          <w:p>
            <w:pPr>
              <w:jc w:val="right"/>
              <w:ind w:right="8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860" w:type="dxa"/>
            <w:vAlign w:val="bottom"/>
            <w:gridSpan w:val="3"/>
          </w:tcPr>
          <w:p>
            <w:pPr>
              <w:jc w:val="right"/>
              <w:ind w:right="8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4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34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p>
        </w:tc>
        <w:tc>
          <w:tcPr>
            <w:tcW w:w="200" w:type="dxa"/>
            <w:vAlign w:val="bottom"/>
          </w:tcPr>
          <w:p>
            <w:pPr>
              <w:spacing w:after="0"/>
              <w:rPr>
                <w:sz w:val="21"/>
                <w:szCs w:val="21"/>
                <w:color w:val="auto"/>
              </w:rPr>
            </w:pPr>
          </w:p>
        </w:tc>
        <w:tc>
          <w:tcPr>
            <w:tcW w:w="18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11"/>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(36,027)</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 (36,027)</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780" w:type="dxa"/>
            <w:vAlign w:val="bottom"/>
            <w:gridSpan w:val="12"/>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​67,960,088</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285,473</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​12,290,521</w:t>
            </w:r>
            <w:r>
              <w:rPr>
                <w:rFonts w:ascii="Times New Roman" w:cs="Times New Roman" w:eastAsia="Times New Roman" w:hAnsi="Times New Roman"/>
                <w:sz w:val="28"/>
                <w:szCs w:val="28"/>
                <w:b w:val="1"/>
                <w:bCs w:val="1"/>
                <w:color w:val="auto"/>
                <w:vertAlign w:val="subscript"/>
              </w:rPr>
              <w:t>​​​</w:t>
            </w:r>
          </w:p>
        </w:tc>
        <w:tc>
          <w:tcPr>
            <w:tcW w:w="4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$ 1</w:t>
            </w:r>
          </w:p>
        </w:tc>
        <w:tc>
          <w:tcPr>
            <w:tcW w:w="88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16,739 </w:t>
            </w:r>
            <w:r>
              <w:rPr>
                <w:rFonts w:ascii="Times New Roman" w:cs="Times New Roman" w:eastAsia="Times New Roman" w:hAnsi="Times New Roman"/>
                <w:sz w:val="28"/>
                <w:szCs w:val="28"/>
                <w:b w:val="1"/>
                <w:bCs w:val="1"/>
                <w:color w:val="auto"/>
                <w:vertAlign w:val="subscript"/>
              </w:rPr>
              <w:t>​​​</w:t>
            </w:r>
          </w:p>
        </w:tc>
        <w:tc>
          <w:tcPr>
            <w:tcW w:w="200" w:type="dxa"/>
            <w:vAlign w:val="bottom"/>
          </w:tcPr>
          <w:p>
            <w:pPr>
              <w:spacing w:after="0"/>
              <w:rPr>
                <w:sz w:val="22"/>
                <w:szCs w:val="22"/>
                <w:color w:val="auto"/>
              </w:rPr>
            </w:pPr>
          </w:p>
        </w:tc>
        <w:tc>
          <w:tcPr>
            <w:tcW w:w="18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1940" w:type="dxa"/>
            <w:vAlign w:val="bottom"/>
            <w:gridSpan w:val="11"/>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(245,352)</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(228,639)</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-2407920</wp:posOffset>
            </wp:positionV>
            <wp:extent cx="6180455" cy="24085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180455" cy="2408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200"/>
            <w:col w:w="6920"/>
          </w:cols>
          <w:pgMar w:left="580" w:top="97" w:right="1039" w:bottom="1440" w:gutter="0" w:footer="0" w:header="0"/>
          <w:type w:val="continuous"/>
        </w:sectPr>
      </w:pPr>
    </w:p>
    <w:p>
      <w:pPr>
        <w:spacing w:after="0" w:line="4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22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3"/>
            <w:vMerge w:val="restart"/>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gridSpan w:val="3"/>
            <w:vMerge w:val="restart"/>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gridSpan w:val="2"/>
            <w:vMerge w:val="restart"/>
          </w:tcPr>
          <w:p>
            <w:pPr>
              <w:jc w:val="right"/>
              <w:ind w:right="25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2"/>
        </w:trPr>
        <w:tc>
          <w:tcPr>
            <w:tcW w:w="2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4"/>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100" w:type="dxa"/>
            <w:vAlign w:val="bottom"/>
            <w:vMerge w:val="restart"/>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80" w:type="dxa"/>
            <w:vAlign w:val="bottom"/>
          </w:tcPr>
          <w:p>
            <w:pPr>
              <w:spacing w:after="0"/>
              <w:rPr>
                <w:sz w:val="10"/>
                <w:szCs w:val="10"/>
                <w:color w:val="auto"/>
              </w:rPr>
            </w:pPr>
          </w:p>
        </w:tc>
        <w:tc>
          <w:tcPr>
            <w:tcW w:w="9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0"/>
                <w:szCs w:val="10"/>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Stockholders’</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3"/>
                <w:szCs w:val="3"/>
                <w:color w:val="auto"/>
              </w:rPr>
            </w:pPr>
          </w:p>
        </w:tc>
        <w:tc>
          <w:tcPr>
            <w:tcW w:w="780" w:type="dxa"/>
            <w:vAlign w:val="bottom"/>
            <w:gridSpan w:val="3"/>
            <w:vMerge w:val="restart"/>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Amount</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gridSpan w:val="6"/>
            <w:vMerge w:val="restart"/>
          </w:tcPr>
          <w:p>
            <w:pPr>
              <w:ind w:left="80"/>
              <w:spacing w:after="0" w:line="22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5"/>
                <w:szCs w:val="25"/>
                <w:b w:val="1"/>
                <w:bCs w:val="1"/>
                <w:color w:val="auto"/>
                <w:vertAlign w:val="subscript"/>
              </w:rPr>
              <w:t>​​</w:t>
            </w:r>
          </w:p>
        </w:tc>
        <w:tc>
          <w:tcPr>
            <w:tcW w:w="6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6"/>
            <w:vMerge w:val="continue"/>
          </w:tcPr>
          <w:p>
            <w:pPr>
              <w:spacing w:after="0"/>
              <w:rPr>
                <w:sz w:val="16"/>
                <w:szCs w:val="16"/>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20" w:type="dxa"/>
            <w:vAlign w:val="bottom"/>
            <w:gridSpan w:val="5"/>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Income (Loss)</w:t>
            </w:r>
          </w:p>
        </w:tc>
        <w:tc>
          <w:tcPr>
            <w:tcW w:w="20" w:type="dxa"/>
            <w:vAlign w:val="bottom"/>
          </w:tcPr>
          <w:p>
            <w:pPr>
              <w:spacing w:after="0"/>
              <w:rPr>
                <w:sz w:val="16"/>
                <w:szCs w:val="16"/>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2"/>
                <w:szCs w:val="12"/>
                <w:b w:val="1"/>
                <w:bCs w:val="1"/>
                <w:color w:val="auto"/>
              </w:rPr>
              <w:t xml:space="preserve">Deficit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880" w:type="dxa"/>
            <w:vAlign w:val="bottom"/>
            <w:gridSpan w:val="1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85,960,088​​​​$375,370​​​12,510,338​​​</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​$ 1</w:t>
            </w: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​​​​$25,055 ​​​</w:t>
            </w:r>
          </w:p>
        </w:tc>
        <w:tc>
          <w:tcPr>
            <w:tcW w:w="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​$ 2</w:t>
            </w:r>
          </w:p>
        </w:tc>
        <w:tc>
          <w:tcPr>
            <w:tcW w:w="1860" w:type="dxa"/>
            <w:vAlign w:val="bottom"/>
            <w:tcBorders>
              <w:righ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​​​​$(364,318)​​​​$(339,260)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Series C redeemable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in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2024 for cash, net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liability of $8,913 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 of $382</w:t>
            </w:r>
          </w:p>
        </w:tc>
        <w:tc>
          <w:tcPr>
            <w:tcW w:w="200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41,264,891​​​​ ​120,205​​</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 and early</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14,895​​​</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early exercised stock</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20"/>
                <w:szCs w:val="20"/>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8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494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shares of</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2,657 ​​​</w:t>
            </w:r>
          </w:p>
        </w:tc>
        <w:tc>
          <w:tcPr>
            <w:tcW w:w="8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2,657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​(3)</w:t>
            </w: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20" w:type="dxa"/>
            <w:vAlign w:val="bottom"/>
          </w:tcPr>
          <w:p>
            <w:pPr>
              <w:spacing w:after="0"/>
              <w:rPr>
                <w:sz w:val="23"/>
                <w:szCs w:val="23"/>
                <w:color w:val="auto"/>
              </w:rPr>
            </w:pPr>
          </w:p>
        </w:tc>
        <w:tc>
          <w:tcPr>
            <w:tcW w:w="7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gridSpan w:val="3"/>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80" w:type="dxa"/>
            <w:vAlign w:val="bottom"/>
            <w:gridSpan w:val="3"/>
          </w:tcPr>
          <w:p>
            <w:pPr>
              <w:jc w:val="right"/>
              <w:ind w:righ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34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880" w:type="dxa"/>
            <w:vAlign w:val="bottom"/>
            <w:gridSpan w:val="3"/>
          </w:tcPr>
          <w:p>
            <w:pPr>
              <w:ind w:left="2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920" w:type="dxa"/>
            <w:vAlign w:val="bottom"/>
            <w:gridSpan w:val="9"/>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(49,849)</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(49,849)</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2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80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2880" w:type="dxa"/>
            <w:vAlign w:val="bottom"/>
            <w:gridSpan w:val="12"/>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28"/>
                <w:szCs w:val="28"/>
                <w:b w:val="1"/>
                <w:bCs w:val="1"/>
                <w:u w:val="single" w:color="auto"/>
                <w:color w:val="auto"/>
                <w:vertAlign w:val="subscript"/>
              </w:rPr>
              <w:t>​​</w:t>
            </w:r>
            <w:r>
              <w:rPr>
                <w:rFonts w:ascii="Times New Roman" w:cs="Times New Roman" w:eastAsia="Times New Roman" w:hAnsi="Times New Roman"/>
                <w:sz w:val="15"/>
                <w:szCs w:val="15"/>
                <w:b w:val="1"/>
                <w:bCs w:val="1"/>
                <w:color w:val="auto"/>
              </w:rPr>
              <w:t>​127,224,979</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495,575</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​12,525,233</w:t>
            </w:r>
            <w:r>
              <w:rPr>
                <w:rFonts w:ascii="Times New Roman" w:cs="Times New Roman" w:eastAsia="Times New Roman" w:hAnsi="Times New Roman"/>
                <w:sz w:val="28"/>
                <w:szCs w:val="28"/>
                <w:b w:val="1"/>
                <w:bCs w:val="1"/>
                <w:color w:val="auto"/>
                <w:vertAlign w:val="subscript"/>
              </w:rPr>
              <w:t>​​​</w:t>
            </w:r>
          </w:p>
        </w:tc>
        <w:tc>
          <w:tcPr>
            <w:tcW w:w="40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$ 1</w:t>
            </w:r>
          </w:p>
        </w:tc>
        <w:tc>
          <w:tcPr>
            <w:tcW w:w="880" w:type="dxa"/>
            <w:vAlign w:val="bottom"/>
            <w:gridSpan w:val="6"/>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u w:val="single" w:color="auto"/>
                <w:color w:val="auto"/>
                <w:vertAlign w:val="superscript"/>
              </w:rPr>
              <w:t>$</w:t>
            </w:r>
            <w:r>
              <w:rPr>
                <w:rFonts w:ascii="Times New Roman" w:cs="Times New Roman" w:eastAsia="Times New Roman" w:hAnsi="Times New Roman"/>
                <w:sz w:val="28"/>
                <w:szCs w:val="28"/>
                <w:b w:val="1"/>
                <w:bCs w:val="1"/>
                <w:color w:val="auto"/>
                <w:vertAlign w:val="superscript"/>
              </w:rPr>
              <w:t>28,241</w:t>
            </w:r>
            <w:r>
              <w:rPr>
                <w:rFonts w:ascii="Times New Roman" w:cs="Times New Roman" w:eastAsia="Times New Roman" w:hAnsi="Times New Roman"/>
                <w:sz w:val="15"/>
                <w:szCs w:val="15"/>
                <w:b w:val="1"/>
                <w:bCs w:val="1"/>
                <w:color w:val="auto"/>
              </w:rPr>
              <w:t xml:space="preserve"> ​​​</w:t>
            </w:r>
          </w:p>
        </w:tc>
        <w:tc>
          <w:tcPr>
            <w:tcW w:w="880" w:type="dxa"/>
            <w:vAlign w:val="bottom"/>
            <w:gridSpan w:val="3"/>
            <w:shd w:val="clear" w:color="auto" w:fill="CCEEFF"/>
          </w:tcPr>
          <w:p>
            <w:pPr>
              <w:ind w:left="28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(1)</w:t>
            </w:r>
          </w:p>
        </w:tc>
        <w:tc>
          <w:tcPr>
            <w:tcW w:w="1860" w:type="dxa"/>
            <w:vAlign w:val="bottom"/>
            <w:tcBorders>
              <w:right w:val="single" w:sz="8" w:color="CCEEFF"/>
            </w:tcBorders>
            <w:gridSpan w:val="8"/>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(414,167)</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(385,926)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6457950</wp:posOffset>
            </wp:positionH>
            <wp:positionV relativeFrom="paragraph">
              <wp:posOffset>-213360</wp:posOffset>
            </wp:positionV>
            <wp:extent cx="342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-213360</wp:posOffset>
            </wp:positionV>
            <wp:extent cx="1028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-213360</wp:posOffset>
            </wp:positionV>
            <wp:extent cx="7543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-213360</wp:posOffset>
            </wp:positionV>
            <wp:extent cx="1371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-213360</wp:posOffset>
            </wp:positionV>
            <wp:extent cx="12001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-2973705</wp:posOffset>
            </wp:positionV>
            <wp:extent cx="5640705" cy="29743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640705" cy="2974340"/>
                    </a:xfrm>
                    <a:prstGeom prst="rect">
                      <a:avLst/>
                    </a:prstGeom>
                    <a:noFill/>
                  </pic:spPr>
                </pic:pic>
              </a:graphicData>
            </a:graphic>
          </wp:anchor>
        </w:drawing>
      </w:r>
    </w:p>
    <w:p>
      <w:pPr>
        <w:spacing w:after="0" w:line="1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1260" w:type="dxa"/>
        <w:tblCellMar>
          <w:top w:w="0" w:type="dxa"/>
          <w:left w:w="0" w:type="dxa"/>
          <w:bottom w:w="0" w:type="dxa"/>
          <w:right w:w="0" w:type="dxa"/>
        </w:tblCellMar>
      </w:tblPr>
      <w:tr>
        <w:trPr>
          <w:trHeight w:val="144"/>
        </w:trPr>
        <w:tc>
          <w:tcPr>
            <w:tcW w:w="8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3"/>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40" w:type="dxa"/>
            <w:vAlign w:val="bottom"/>
          </w:tcPr>
          <w:p>
            <w:pPr>
              <w:spacing w:after="0"/>
              <w:rPr>
                <w:sz w:val="12"/>
                <w:szCs w:val="12"/>
                <w:color w:val="auto"/>
              </w:rPr>
            </w:pPr>
          </w:p>
        </w:tc>
      </w:tr>
      <w:tr>
        <w:trPr>
          <w:trHeight w:val="214"/>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20" w:type="dxa"/>
            <w:vAlign w:val="bottom"/>
          </w:tcPr>
          <w:p>
            <w:pPr>
              <w:ind w:left="59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060" w:type="dxa"/>
            <w:vAlign w:val="bottom"/>
            <w:gridSpan w:val="2"/>
          </w:tcPr>
          <w:p>
            <w:pPr>
              <w:ind w:left="594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tcPr>
          <w:p>
            <w:pPr>
              <w:jc w:val="center"/>
              <w:ind w:right="40"/>
              <w:spacing w:after="0" w:line="196" w:lineRule="exact"/>
              <w:rPr>
                <w:sz w:val="20"/>
                <w:szCs w:val="20"/>
                <w:color w:val="auto"/>
              </w:rPr>
            </w:pPr>
            <w:r>
              <w:rPr>
                <w:rFonts w:ascii="Times New Roman" w:cs="Times New Roman" w:eastAsia="Times New Roman" w:hAnsi="Times New Roman"/>
                <w:sz w:val="12"/>
                <w:szCs w:val="12"/>
                <w:b w:val="1"/>
                <w:bCs w:val="1"/>
                <w:color w:val="auto"/>
              </w:rPr>
              <w:t xml:space="preserve">2023   </w:t>
            </w: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  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371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454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p>
      <w:pPr>
        <w:spacing w:after="0" w:line="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454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Non-cash lease expense</w:t>
      </w:r>
    </w:p>
    <w:p>
      <w:pPr>
        <w:spacing w:after="0" w:line="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454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p>
      <w:pPr>
        <w:spacing w:after="0" w:line="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Change in fair value of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460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Changes in operating assets and liabilities:</w:t>
      </w:r>
    </w:p>
    <w:p>
      <w:pPr>
        <w:spacing w:after="0" w:line="4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Research and development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454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2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Other prepaid expenses and other assets</w:t>
      </w:r>
    </w:p>
    <w:p>
      <w:pPr>
        <w:spacing w:after="0" w:line="4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454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2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Research and development accrued expenses</w:t>
      </w:r>
    </w:p>
    <w:p>
      <w:pPr>
        <w:spacing w:after="0" w:line="4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6256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5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20320</wp:posOffset>
            </wp:positionV>
            <wp:extent cx="5212080" cy="1454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Maturities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460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Purchases of marketable securities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20320</wp:posOffset>
            </wp:positionV>
            <wp:extent cx="5212080" cy="1714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p>
      <w:pPr>
        <w:spacing w:after="0" w:line="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2571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212080" cy="257175"/>
                    </a:xfrm>
                    <a:prstGeom prst="rect">
                      <a:avLst/>
                    </a:prstGeom>
                    <a:noFill/>
                  </pic:spPr>
                </pic:pic>
              </a:graphicData>
            </a:graphic>
          </wp:anchor>
        </w:drawing>
      </w:r>
    </w:p>
    <w:p>
      <w:pPr>
        <w:spacing w:after="0" w:line="41" w:lineRule="exact"/>
        <w:rPr>
          <w:sz w:val="20"/>
          <w:szCs w:val="20"/>
          <w:color w:val="auto"/>
        </w:rPr>
      </w:pPr>
    </w:p>
    <w:p>
      <w:pPr>
        <w:ind w:left="1420" w:hanging="161"/>
        <w:spacing w:after="0" w:line="245" w:lineRule="auto"/>
        <w:rPr>
          <w:sz w:val="20"/>
          <w:szCs w:val="20"/>
          <w:color w:val="auto"/>
        </w:rPr>
      </w:pPr>
      <w:r>
        <w:rPr>
          <w:rFonts w:ascii="Times New Roman" w:cs="Times New Roman" w:eastAsia="Times New Roman" w:hAnsi="Times New Roman"/>
          <w:sz w:val="16"/>
          <w:szCs w:val="16"/>
          <w:color w:val="auto"/>
        </w:rPr>
        <w:t>Proceeds from issuance of redeemable convertible preferred stock and derivative liability, net of issuance costs</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660" w:val="left"/>
          <w:tab w:leader="none" w:pos="1380" w:val="left"/>
        </w:tabs>
        <w:rPr>
          <w:sz w:val="20"/>
          <w:szCs w:val="20"/>
          <w:color w:val="auto"/>
        </w:rPr>
      </w:pPr>
      <w:r>
        <w:rPr>
          <w:rFonts w:ascii="Times New Roman" w:cs="Times New Roman" w:eastAsia="Times New Roman" w:hAnsi="Times New Roman"/>
          <w:sz w:val="16"/>
          <w:szCs w:val="16"/>
          <w:b w:val="1"/>
          <w:bCs w:val="1"/>
          <w:color w:val="auto"/>
        </w:rPr>
        <w:t>​​​ ​</w:t>
      </w:r>
      <w:r>
        <w:rPr>
          <w:sz w:val="20"/>
          <w:szCs w:val="20"/>
          <w:color w:val="auto"/>
        </w:rPr>
        <w:tab/>
      </w:r>
      <w:r>
        <w:rPr>
          <w:rFonts w:ascii="Times New Roman" w:cs="Times New Roman" w:eastAsia="Times New Roman" w:hAnsi="Times New Roman"/>
          <w:sz w:val="16"/>
          <w:szCs w:val="16"/>
          <w:b w:val="1"/>
          <w:bCs w:val="1"/>
          <w:color w:val="auto"/>
        </w:rPr>
        <w:t>​​​​ ​</w:t>
      </w:r>
      <w:r>
        <w:rPr>
          <w:sz w:val="20"/>
          <w:szCs w:val="20"/>
          <w:color w:val="auto"/>
        </w:rPr>
        <w:tab/>
      </w:r>
      <w:r>
        <w:rPr>
          <w:rFonts w:ascii="Times New Roman" w:cs="Times New Roman" w:eastAsia="Times New Roman" w:hAnsi="Times New Roman"/>
          <w:sz w:val="16"/>
          <w:szCs w:val="16"/>
          <w:b w:val="1"/>
          <w:bCs w:val="1"/>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​​​$(36,027​​​​)$ (49,849​)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w:t>
            </w:r>
          </w:p>
        </w:tc>
      </w:tr>
      <w:tr>
        <w:trPr>
          <w:trHeight w:val="23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9"/>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29"/>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3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w:t>
            </w:r>
          </w:p>
        </w:tc>
      </w:tr>
      <w:tr>
        <w:trPr>
          <w:trHeight w:val="229"/>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(2,949​)</w:t>
            </w:r>
          </w:p>
        </w:tc>
      </w:tr>
      <w:tr>
        <w:trPr>
          <w:trHeight w:val="229"/>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29"/>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5,715​</w:t>
            </w:r>
          </w:p>
        </w:tc>
      </w:tr>
      <w:tr>
        <w:trPr>
          <w:trHeight w:val="23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bl>
    <w:p>
      <w:pPr>
        <w:spacing w:after="0" w:line="6" w:lineRule="exact"/>
        <w:rPr>
          <w:sz w:val="20"/>
          <w:szCs w:val="20"/>
          <w:color w:val="auto"/>
        </w:rPr>
      </w:pPr>
    </w:p>
    <w:p>
      <w:pPr>
        <w:ind w:left="180" w:hanging="176"/>
        <w:spacing w:after="0"/>
        <w:tabs>
          <w:tab w:leader="none" w:pos="1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(1,831​​​​) ​ (3,212​)</w:t>
      </w:r>
    </w:p>
    <w:p>
      <w:pPr>
        <w:spacing w:after="0" w:line="45" w:lineRule="exact"/>
        <w:rPr>
          <w:rFonts w:ascii="Times New Roman" w:cs="Times New Roman" w:eastAsia="Times New Roman" w:hAnsi="Times New Roman"/>
          <w:sz w:val="16"/>
          <w:szCs w:val="16"/>
          <w:color w:val="auto"/>
        </w:rPr>
      </w:pPr>
    </w:p>
    <w:p>
      <w:pPr>
        <w:ind w:left="180" w:hanging="176"/>
        <w:spacing w:after="0"/>
        <w:tabs>
          <w:tab w:leader="none" w:pos="1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   (504​)</w:t>
      </w:r>
    </w:p>
    <w:p>
      <w:pPr>
        <w:spacing w:after="0" w:line="59" w:lineRule="exact"/>
        <w:rPr>
          <w:rFonts w:ascii="Times New Roman" w:cs="Times New Roman" w:eastAsia="Times New Roman" w:hAnsi="Times New Roman"/>
          <w:sz w:val="16"/>
          <w:szCs w:val="16"/>
          <w:color w:val="auto"/>
        </w:rPr>
      </w:pPr>
    </w:p>
    <w:p>
      <w:pPr>
        <w:ind w:left="180" w:hanging="176"/>
        <w:spacing w:after="0"/>
        <w:tabs>
          <w:tab w:leader="none" w:pos="1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​(34,668</w:t>
      </w:r>
      <w:r>
        <w:rPr>
          <w:rFonts w:ascii="Times New Roman" w:cs="Times New Roman" w:eastAsia="Times New Roman" w:hAnsi="Times New Roman"/>
          <w:sz w:val="16"/>
          <w:szCs w:val="16"/>
          <w:color w:val="auto"/>
        </w:rPr>
        <w:t>​​​​) ​(44,262​)</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6" w:lineRule="exact"/>
        <w:rPr>
          <w:sz w:val="20"/>
          <w:szCs w:val="20"/>
          <w:color w:val="auto"/>
        </w:rPr>
      </w:pPr>
    </w:p>
    <w:p>
      <w:pPr>
        <w:ind w:left="180" w:hanging="176"/>
        <w:spacing w:after="0"/>
        <w:tabs>
          <w:tab w:leader="none" w:pos="1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​36,250​​​​ ​  1,000​</w:t>
      </w:r>
    </w:p>
    <w:p>
      <w:pPr>
        <w:spacing w:after="0" w:line="45" w:lineRule="exact"/>
        <w:rPr>
          <w:rFonts w:ascii="Times New Roman" w:cs="Times New Roman" w:eastAsia="Times New Roman" w:hAnsi="Times New Roman"/>
          <w:sz w:val="16"/>
          <w:szCs w:val="16"/>
          <w:color w:val="auto"/>
        </w:rPr>
      </w:pPr>
    </w:p>
    <w:p>
      <w:pPr>
        <w:ind w:left="180" w:hanging="176"/>
        <w:spacing w:after="0"/>
        <w:tabs>
          <w:tab w:leader="none" w:pos="1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(4,890​​​​) ​(19,655​)</w:t>
      </w:r>
    </w:p>
    <w:p>
      <w:pPr>
        <w:spacing w:after="0" w:line="45" w:lineRule="exact"/>
        <w:rPr>
          <w:rFonts w:ascii="Times New Roman" w:cs="Times New Roman" w:eastAsia="Times New Roman" w:hAnsi="Times New Roman"/>
          <w:sz w:val="16"/>
          <w:szCs w:val="16"/>
          <w:color w:val="auto"/>
        </w:rPr>
      </w:pPr>
    </w:p>
    <w:p>
      <w:pPr>
        <w:ind w:left="180" w:hanging="176"/>
        <w:spacing w:after="0"/>
        <w:tabs>
          <w:tab w:leader="none" w:pos="1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(295</w:t>
      </w:r>
      <w:r>
        <w:rPr>
          <w:rFonts w:ascii="Times New Roman" w:cs="Times New Roman" w:eastAsia="Times New Roman" w:hAnsi="Times New Roman"/>
          <w:sz w:val="16"/>
          <w:szCs w:val="16"/>
          <w:color w:val="auto"/>
        </w:rPr>
        <w:t>​​​​) ​   (155​)</w:t>
      </w:r>
    </w:p>
    <w:p>
      <w:pPr>
        <w:spacing w:after="0" w:line="72" w:lineRule="exact"/>
        <w:rPr>
          <w:rFonts w:ascii="Times New Roman" w:cs="Times New Roman" w:eastAsia="Times New Roman" w:hAnsi="Times New Roman"/>
          <w:sz w:val="16"/>
          <w:szCs w:val="16"/>
          <w:color w:val="auto"/>
        </w:rPr>
      </w:pPr>
    </w:p>
    <w:p>
      <w:pPr>
        <w:ind w:left="180" w:hanging="176"/>
        <w:spacing w:after="0"/>
        <w:tabs>
          <w:tab w:leader="none" w:pos="1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​31,065</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 ​(18,810</w:t>
      </w:r>
      <w:r>
        <w:rPr>
          <w:rFonts w:ascii="Times New Roman" w:cs="Times New Roman" w:eastAsia="Times New Roman" w:hAnsi="Times New Roman"/>
          <w:sz w:val="16"/>
          <w:szCs w:val="16"/>
          <w:color w:val="auto"/>
        </w:rPr>
        <w: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05"/>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​129,118​</w:t>
            </w: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bl>
    <w:p>
      <w:pPr>
        <w:spacing w:after="0" w:line="20" w:lineRule="exact"/>
        <w:rPr>
          <w:sz w:val="20"/>
          <w:szCs w:val="20"/>
          <w:color w:val="auto"/>
        </w:rPr>
      </w:pPr>
    </w:p>
    <w:p>
      <w:pPr>
        <w:sectPr>
          <w:pgSz w:w="11900" w:h="16838" w:orient="portrait"/>
          <w:cols w:equalWidth="0" w:num="2">
            <w:col w:w="7800" w:space="260"/>
            <w:col w:w="18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8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unvested common stock shares issued upon early exercised stock options</w:t>
            </w:r>
          </w:p>
        </w:tc>
        <w:tc>
          <w:tcPr>
            <w:tcW w:w="1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6780" w:type="dxa"/>
            <w:vAlign w:val="bottom"/>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80" w:type="dxa"/>
            <w:vAlign w:val="bottom"/>
          </w:tcPr>
          <w:p>
            <w:pPr>
              <w:ind w:left="480"/>
              <w:spacing w:after="0" w:line="183" w:lineRule="exact"/>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90"/>
              <w:spacing w:after="0" w:line="183" w:lineRule="exact"/>
              <w:rPr>
                <w:sz w:val="20"/>
                <w:szCs w:val="20"/>
                <w:color w:val="auto"/>
              </w:rPr>
            </w:pPr>
            <w:r>
              <w:rPr>
                <w:rFonts w:ascii="Times New Roman" w:cs="Times New Roman" w:eastAsia="Times New Roman" w:hAnsi="Times New Roman"/>
                <w:sz w:val="16"/>
                <w:szCs w:val="16"/>
                <w:color w:val="auto"/>
              </w:rPr>
              <w:t>(51)</w:t>
            </w:r>
          </w:p>
        </w:tc>
        <w:tc>
          <w:tcPr>
            <w:tcW w:w="5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129,147​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67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8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(3,654​​​​)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66,075</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48260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20320</wp:posOffset>
            </wp:positionV>
            <wp:extent cx="5212080" cy="1803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p>
      <w:pPr>
        <w:spacing w:after="0" w:line="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Supplemental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154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Property and equipment acquired through tenant improvement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543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Vesting of early exercised stock options and unvested restricted shares of common stock</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Purchases of property and equipment in other accrued expenses and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543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Recognition of derivative liability upon issuance of redeemable convertible preferred stock</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Deferred offering costs in accounts payable and other accrued expenses and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543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543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Restricted cash</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Restricted cash,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20320</wp:posOffset>
            </wp:positionV>
            <wp:extent cx="5212080" cy="1803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 ​26,954</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 ​ 47,133</w:t>
      </w:r>
      <w:r>
        <w:rPr>
          <w:rFonts w:ascii="Times New Roman" w:cs="Times New Roman" w:eastAsia="Times New Roman" w:hAnsi="Times New Roman"/>
          <w:sz w:val="16"/>
          <w:szCs w:val="16"/>
          <w:color w:val="auto"/>
        </w:rPr>
        <w:t>​</w:t>
      </w:r>
    </w:p>
    <w:p>
      <w:pPr>
        <w:spacing w:after="0" w:line="219" w:lineRule="auto"/>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6"/>
          <w:szCs w:val="16"/>
          <w:u w:val="single" w:color="auto"/>
          <w:color w:val="auto"/>
        </w:rPr>
        <w:t>$ 23,300</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6"/>
          <w:szCs w:val="16"/>
          <w:u w:val="single" w:color="auto"/>
          <w:color w:val="auto"/>
        </w:rPr>
        <w:t>$113,208</w:t>
      </w:r>
      <w:r>
        <w:rPr>
          <w:rFonts w:ascii="Times New Roman" w:cs="Times New Roman" w:eastAsia="Times New Roman" w:hAnsi="Times New Roman"/>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-3175</wp:posOffset>
            </wp:positionV>
            <wp:extent cx="3860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tabs>
          <w:tab w:leader="none" w:pos="660" w:val="left"/>
          <w:tab w:leader="none" w:pos="1380" w:val="left"/>
        </w:tabs>
        <w:rPr>
          <w:sz w:val="20"/>
          <w:szCs w:val="20"/>
          <w:color w:val="auto"/>
        </w:rPr>
      </w:pPr>
      <w:r>
        <w:rPr>
          <w:rFonts w:ascii="Times New Roman" w:cs="Times New Roman" w:eastAsia="Times New Roman" w:hAnsi="Times New Roman"/>
          <w:sz w:val="16"/>
          <w:szCs w:val="16"/>
          <w:b w:val="1"/>
          <w:bCs w:val="1"/>
          <w:color w:val="auto"/>
        </w:rPr>
        <w:t>​​​ ​</w:t>
      </w:r>
      <w:r>
        <w:rPr>
          <w:sz w:val="20"/>
          <w:szCs w:val="20"/>
          <w:color w:val="auto"/>
        </w:rPr>
        <w:tab/>
      </w:r>
      <w:r>
        <w:rPr>
          <w:rFonts w:ascii="Times New Roman" w:cs="Times New Roman" w:eastAsia="Times New Roman" w:hAnsi="Times New Roman"/>
          <w:sz w:val="16"/>
          <w:szCs w:val="16"/>
          <w:b w:val="1"/>
          <w:bCs w:val="1"/>
          <w:color w:val="auto"/>
        </w:rPr>
        <w:t>​​​​ ​</w:t>
      </w:r>
      <w:r>
        <w:rPr>
          <w:sz w:val="20"/>
          <w:szCs w:val="20"/>
          <w:color w:val="auto"/>
        </w:rPr>
        <w:tab/>
      </w:r>
      <w:r>
        <w:rPr>
          <w:rFonts w:ascii="Times New Roman" w:cs="Times New Roman" w:eastAsia="Times New Roman" w:hAnsi="Times New Roman"/>
          <w:sz w:val="16"/>
          <w:szCs w:val="16"/>
          <w:b w:val="1"/>
          <w:bCs w:val="1"/>
          <w:color w:val="auto"/>
        </w:rPr>
        <w:t>​</w:t>
      </w:r>
    </w:p>
    <w:p>
      <w:pPr>
        <w:spacing w:after="0" w:line="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6"/>
          <w:szCs w:val="16"/>
          <w:color w:val="auto"/>
        </w:rPr>
        <w:t>​​​$ 14,124​​​​$</w:t>
      </w:r>
      <w:r>
        <w:rPr>
          <w:sz w:val="20"/>
          <w:szCs w:val="20"/>
          <w:color w:val="auto"/>
        </w:rPr>
        <w:tab/>
      </w:r>
      <w:r>
        <w:rPr>
          <w:rFonts w:ascii="Times New Roman" w:cs="Times New Roman" w:eastAsia="Times New Roman" w:hAnsi="Times New Roman"/>
          <w:sz w:val="16"/>
          <w:szCs w:val="16"/>
          <w:color w:val="auto"/>
        </w:rPr>
        <w:t>—​</w:t>
      </w:r>
    </w:p>
    <w:p>
      <w:pPr>
        <w:spacing w:after="0" w:line="59" w:lineRule="exact"/>
        <w:rPr>
          <w:sz w:val="20"/>
          <w:szCs w:val="20"/>
          <w:color w:val="auto"/>
        </w:rPr>
      </w:pPr>
    </w:p>
    <w:p>
      <w:pPr>
        <w:spacing w:after="0"/>
        <w:tabs>
          <w:tab w:leader="none" w:pos="300" w:val="left"/>
          <w:tab w:leader="none" w:pos="1220" w:val="left"/>
        </w:tabs>
        <w:rPr>
          <w:sz w:val="20"/>
          <w:szCs w:val="20"/>
          <w:color w:val="auto"/>
        </w:rPr>
      </w:pPr>
      <w:r>
        <w:rPr>
          <w:rFonts w:ascii="Times New Roman" w:cs="Times New Roman" w:eastAsia="Times New Roman" w:hAnsi="Times New Roman"/>
          <w:sz w:val="16"/>
          <w:szCs w:val="16"/>
          <w:color w:val="auto"/>
        </w:rPr>
        <w:t>​​​$</w:t>
        <w:tab/>
        <w:t>4,148​​​​$</w:t>
      </w:r>
      <w:r>
        <w:rPr>
          <w:sz w:val="20"/>
          <w:szCs w:val="20"/>
          <w:color w:val="auto"/>
        </w:rPr>
        <w:tab/>
      </w:r>
      <w:r>
        <w:rPr>
          <w:rFonts w:ascii="Times New Roman" w:cs="Times New Roman" w:eastAsia="Times New Roman" w:hAnsi="Times New Roman"/>
          <w:sz w:val="16"/>
          <w:szCs w:val="16"/>
          <w:color w:val="auto"/>
        </w:rPr>
        <w:t>—​</w:t>
      </w:r>
    </w:p>
    <w:p>
      <w:pPr>
        <w:spacing w:after="0" w:line="59" w:lineRule="exact"/>
        <w:rPr>
          <w:sz w:val="20"/>
          <w:szCs w:val="20"/>
          <w:color w:val="auto"/>
        </w:rPr>
      </w:pPr>
    </w:p>
    <w:p>
      <w:pPr>
        <w:spacing w:after="0"/>
        <w:tabs>
          <w:tab w:leader="none" w:pos="420" w:val="left"/>
          <w:tab w:leader="none" w:pos="11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699​​​​$</w:t>
      </w:r>
      <w:r>
        <w:rPr>
          <w:sz w:val="20"/>
          <w:szCs w:val="20"/>
          <w:color w:val="auto"/>
        </w:rPr>
        <w:tab/>
      </w:r>
      <w:r>
        <w:rPr>
          <w:rFonts w:ascii="Times New Roman" w:cs="Times New Roman" w:eastAsia="Times New Roman" w:hAnsi="Times New Roman"/>
          <w:sz w:val="16"/>
          <w:szCs w:val="16"/>
          <w:color w:val="auto"/>
        </w:rPr>
        <w:t>500​</w:t>
      </w:r>
    </w:p>
    <w:p>
      <w:pPr>
        <w:spacing w:after="0" w:line="59" w:lineRule="exact"/>
        <w:rPr>
          <w:sz w:val="20"/>
          <w:szCs w:val="20"/>
          <w:color w:val="auto"/>
        </w:rPr>
      </w:pPr>
    </w:p>
    <w:p>
      <w:pPr>
        <w:spacing w:after="0"/>
        <w:tabs>
          <w:tab w:leader="none" w:pos="500" w:val="left"/>
          <w:tab w:leader="none" w:pos="11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26​​​​$</w:t>
      </w:r>
      <w:r>
        <w:rPr>
          <w:sz w:val="20"/>
          <w:szCs w:val="20"/>
          <w:color w:val="auto"/>
        </w:rPr>
        <w:tab/>
      </w:r>
      <w:r>
        <w:rPr>
          <w:rFonts w:ascii="Times New Roman" w:cs="Times New Roman" w:eastAsia="Times New Roman" w:hAnsi="Times New Roman"/>
          <w:sz w:val="16"/>
          <w:szCs w:val="16"/>
          <w:color w:val="auto"/>
        </w:rPr>
        <w:t>301​</w:t>
      </w:r>
    </w:p>
    <w:p>
      <w:pPr>
        <w:spacing w:after="0" w:line="59" w:lineRule="exact"/>
        <w:rPr>
          <w:sz w:val="20"/>
          <w:szCs w:val="20"/>
          <w:color w:val="auto"/>
        </w:rPr>
      </w:pPr>
    </w:p>
    <w:p>
      <w:pPr>
        <w:spacing w:after="0"/>
        <w:tabs>
          <w:tab w:leader="none" w:pos="500" w:val="left"/>
          <w:tab w:leader="none" w:pos="10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tab/>
        <w:t>8,913​</w:t>
      </w:r>
    </w:p>
    <w:p>
      <w:pPr>
        <w:spacing w:after="0" w:line="59" w:lineRule="exact"/>
        <w:rPr>
          <w:sz w:val="20"/>
          <w:szCs w:val="20"/>
          <w:color w:val="auto"/>
        </w:rPr>
      </w:pPr>
    </w:p>
    <w:p>
      <w:pPr>
        <w:spacing w:after="0"/>
        <w:tabs>
          <w:tab w:leader="none" w:pos="500" w:val="left"/>
          <w:tab w:leader="none" w:pos="11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235​</w:t>
      </w:r>
    </w:p>
    <w:p>
      <w:pPr>
        <w:spacing w:after="0" w:line="71" w:lineRule="exact"/>
        <w:rPr>
          <w:sz w:val="20"/>
          <w:szCs w:val="20"/>
          <w:color w:val="auto"/>
        </w:rPr>
      </w:pPr>
    </w:p>
    <w:p>
      <w:pPr>
        <w:spacing w:after="0"/>
        <w:tabs>
          <w:tab w:leader="none" w:pos="660" w:val="left"/>
          <w:tab w:leader="none" w:pos="1380" w:val="left"/>
        </w:tabs>
        <w:rPr>
          <w:sz w:val="20"/>
          <w:szCs w:val="20"/>
          <w:color w:val="auto"/>
        </w:rPr>
      </w:pPr>
      <w:r>
        <w:rPr>
          <w:rFonts w:ascii="Times New Roman" w:cs="Times New Roman" w:eastAsia="Times New Roman" w:hAnsi="Times New Roman"/>
          <w:sz w:val="16"/>
          <w:szCs w:val="16"/>
          <w:b w:val="1"/>
          <w:bCs w:val="1"/>
          <w:color w:val="auto"/>
        </w:rPr>
        <w:t>​​​ ​</w:t>
      </w:r>
      <w:r>
        <w:rPr>
          <w:sz w:val="20"/>
          <w:szCs w:val="20"/>
          <w:color w:val="auto"/>
        </w:rPr>
        <w:tab/>
      </w:r>
      <w:r>
        <w:rPr>
          <w:rFonts w:ascii="Times New Roman" w:cs="Times New Roman" w:eastAsia="Times New Roman" w:hAnsi="Times New Roman"/>
          <w:sz w:val="16"/>
          <w:szCs w:val="16"/>
          <w:b w:val="1"/>
          <w:bCs w:val="1"/>
          <w:color w:val="auto"/>
        </w:rPr>
        <w:t>​​​​ ​</w:t>
      </w:r>
      <w:r>
        <w:rPr>
          <w:sz w:val="20"/>
          <w:szCs w:val="20"/>
          <w:color w:val="auto"/>
        </w:rPr>
        <w:tab/>
      </w:r>
      <w:r>
        <w:rPr>
          <w:rFonts w:ascii="Times New Roman" w:cs="Times New Roman" w:eastAsia="Times New Roman" w:hAnsi="Times New Roman"/>
          <w:sz w:val="16"/>
          <w:szCs w:val="16"/>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​​​$ 21,955​​​​$112,071​</w:t>
      </w:r>
    </w:p>
    <w:p>
      <w:pPr>
        <w:spacing w:after="0" w:line="59" w:lineRule="exact"/>
        <w:rPr>
          <w:sz w:val="20"/>
          <w:szCs w:val="20"/>
          <w:color w:val="auto"/>
        </w:rPr>
      </w:pPr>
    </w:p>
    <w:p>
      <w:pPr>
        <w:spacing w:after="0"/>
        <w:tabs>
          <w:tab w:leader="none" w:pos="420" w:val="left"/>
          <w:tab w:leader="none" w:pos="1160" w:val="left"/>
        </w:tabs>
        <w:rPr>
          <w:sz w:val="20"/>
          <w:szCs w:val="20"/>
          <w:color w:val="auto"/>
        </w:rPr>
      </w:pPr>
      <w:r>
        <w:rPr>
          <w:rFonts w:ascii="Times New Roman" w:cs="Times New Roman" w:eastAsia="Times New Roman" w:hAnsi="Times New Roman"/>
          <w:sz w:val="16"/>
          <w:szCs w:val="16"/>
          <w:color w:val="auto"/>
        </w:rPr>
        <w:t>​​​ ​</w:t>
        <w:tab/>
        <w:t>206​​​​ ​</w:t>
      </w:r>
      <w:r>
        <w:rPr>
          <w:sz w:val="20"/>
          <w:szCs w:val="20"/>
          <w:color w:val="auto"/>
        </w:rPr>
        <w:tab/>
      </w:r>
      <w:r>
        <w:rPr>
          <w:rFonts w:ascii="Times New Roman" w:cs="Times New Roman" w:eastAsia="Times New Roman" w:hAnsi="Times New Roman"/>
          <w:sz w:val="16"/>
          <w:szCs w:val="16"/>
          <w:color w:val="auto"/>
        </w:rPr>
        <w:t>113​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 ​ 1,139</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 ​  1,024</w:t>
      </w:r>
      <w:r>
        <w:rPr>
          <w:rFonts w:ascii="Times New Roman" w:cs="Times New Roman" w:eastAsia="Times New Roman" w:hAnsi="Times New Roman"/>
          <w:sz w:val="16"/>
          <w:szCs w:val="16"/>
          <w:color w:val="auto"/>
        </w:rPr>
        <w:t>​</w:t>
      </w:r>
    </w:p>
    <w:p>
      <w:pPr>
        <w:spacing w:after="0" w:line="219" w:lineRule="auto"/>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6"/>
          <w:szCs w:val="16"/>
          <w:u w:val="single" w:color="auto"/>
          <w:color w:val="auto"/>
        </w:rPr>
        <w:t>$ 23,300</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6"/>
          <w:szCs w:val="16"/>
          <w:u w:val="single" w:color="auto"/>
          <w:color w:val="auto"/>
        </w:rPr>
        <w:t>$113,208</w:t>
      </w:r>
      <w:r>
        <w:rPr>
          <w:rFonts w:ascii="Times New Roman" w:cs="Times New Roman" w:eastAsia="Times New Roman" w:hAnsi="Times New Roman"/>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-3175</wp:posOffset>
            </wp:positionV>
            <wp:extent cx="3683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20" w:space="440"/>
            <w:col w:w="1819"/>
          </w:cols>
          <w:pgMar w:left="580" w:top="97" w:right="1440" w:bottom="1440" w:gutter="0" w:footer="0" w:header="0"/>
          <w:type w:val="continuous"/>
        </w:sectPr>
      </w:pPr>
    </w:p>
    <w:p>
      <w:pPr>
        <w:spacing w:after="0" w:line="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Alumis Inc. (the “Company”) is a clinical stage biopharmaceutical company focused on identifying, acquiring, and accelerating the development and commercialization of transformative medicines for autoimmune disorders. The Company leverages its proprietary precision data analytics platform, biological insights, and a team of experts with deep experience in precision medicine drug discovery, development, and immunology, to create medicines that significantly improve the lives of patients by replacing broad immunosuppression with targeted therapies.</w:t>
      </w:r>
    </w:p>
    <w:p>
      <w:pPr>
        <w:spacing w:after="0" w:line="12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Company was founded on January 29, 2021 as a Delaware corporation under the name FL2021-001, Inc. FL2021-001, Inc.’s name was changed to Esker Therapeutics, Inc. on March 8, 2021 and to Alumis Inc. on January 6, 2022. The Company is headquartered in South San Francisco, California.</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 has two wholly owned subsidiaries, FronThera U.S. Holdings, Inc. and FronThera U.S.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Pharmaceuticals LLC. These subsidiaries do not have any operations.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 has incurred negative operating cash flows and significant losses from operations since its inception. For the three months ended March 31, 2023 and 2024, the Company incurred net losses of $36.0 million and $49.8 million, respectively. Cash used in operating activities was $34.7 million and $44.3 million for the three months ended March 31, 2023 and 2024, respectively. As of March 31, 2024, the Company had an accumulated deficit of $414.2 million.</w:t>
      </w:r>
    </w:p>
    <w:p>
      <w:pPr>
        <w:spacing w:after="0" w:line="116"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issuance of redeemable convertible preferred stock and convertible promissory notes in private placements. The Company expects to continue to incur substantial losses for the foreseeable future,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As of March 31, 2024, the Company had cash, cash equivalents and marketable securities of $133.7 million. In connection with the Series C redeemable convertible preferred stock financing closed in March 2024, at the discretion of the Company’s board of directors, the Company is obligated to sell and Series C investors are obligated to purchase up to $129.5 million worth of additional shares of Series C redeemable convertible preferred stock on the same terms and at the same purchase price per share as in the first tranche Series C closing on or before the earliest of (i) December 31, 2024, (ii) the execution of a letter of intent for the sale of the Company, or (iii) the closing date of the Company’s initial public offering (the “Second Tranche Series C Closing”). The Second Tranche Series C Closing is subject to certain conditions and events as described in Note 8, Redeemable Convertible Preferred Stock.</w:t>
      </w:r>
    </w:p>
    <w:p>
      <w:pPr>
        <w:spacing w:after="0" w:line="11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Management expects that existing cash, cash equivalents and marketable securities are not sufficient to fund its current operating plan for at least the next 12 months from the date of issuance of these condensed consolidated financial statements. Additional funds are necessary to maintain current operations and to continue research and development activities. The Company’s management plans to monitor expenses and may raise additional capital through a combination of public and private equity, debt financings, strategic alliances, and licensing arrangements. The Company’s ability to access capital when needed is not assured and, if capital is not available to the Company when, and in the amounts, needed, on the terms which are favorable, the Company could be required to delay, scale back, or abandon some or all of its development programs and other operations, which could materially harm the Company’s business, financial condition and results of operations. These factors raise substantial doubt about the Company’s ability to continue as a going concern.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 (Continued)</w:t>
      </w:r>
    </w:p>
    <w:p>
      <w:pPr>
        <w:spacing w:after="0" w:line="22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which contemplates the realization of assets and satisfaction of liabilities in the normal course of business. The accompanying condensed consolidated financial statements do not reflect any adjustments relating to the recoverability and reclassifications of assets and liabilities that might be necessary if the Company is unable to continue as a going concern.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are unaudited and have been prepared in accordance with accounting principles generally accepted in the United States of America (“U.S. GAAP”) and applicable rules and regulations of the Securities and Exchange Commission (the “SEC”) regarding interim financial reporting.</w:t>
      </w:r>
    </w:p>
    <w:p>
      <w:pPr>
        <w:spacing w:after="0" w:line="5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FronThera U.S. Holdings, Inc. and FronThera U.S. Pharmaceuticals LLC, two wholly owned subsidiaries, and all intercompany transactions are eliminated.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94"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was derived from the Company’s audited consolidated financial statements. The accompanying unaudited interim condensed consolidated financial statements as of March 31, 2024 and for the three months ended March 31, 2023 and 2024, have been prepared by the Company, pursuant to the rules and regulations of the SEC for interim financial statements. Certain information and footnote disclosures normally included in financial statements prepared in accordance with U.S. GAAP have been condensed or omitted pursuant to such rules and regulations. However, the Company believes that the disclosures are adequate to make the information presented not misleading. Accordingly, these unaudited interim condensed consolidated financial statements should be read in conjunction with the audited consolidated financial statements as of and for the year ended December 31, 2023. In the opinion of management, all adjustments, consisting only of normal recurring adjustments necessary for a fair statement of the Company’s condensed consolidated financial position as of March 31, 2024 and condensed consolidated results of operations, condensed consolidated statements of redeemable convertible preferred stock and stockholders’ deficit and condensed consolidated cash flows for the three months ended March 31, 2023 and 2024 have been made. The results of operations for the three months ended March 31, 2024 are not necessarily indicative of the results of operations that may be expected for the year ending December 31, 2024.</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 On an ongoing basis, the Company evaluates estimates and assumptions, including but not limited to those related to the fair value of its common and redeemable convertible preferred stock, the fair value of derivative liability, stock-based compensation expense, accruals for research and development expenses and the valuation of deferred tax assets.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Geographical Information</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developing medicines for autoimmune disorders. The chief executive officer, who is the chief operating decision maker, reviews financial information on an aggregate basis for purposes of allocating resources and evaluating financial performance. All of the Company’s long-lived assets are located in the United States.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primarily of cash, investments in marketable securities and restricted cash. The Company maintains bank deposits in federally insured financial institutions and these deposits exceed federally insured limits. To date, the Company has not experienced any losses on its deposits of cash and periodically evaluates the creditworthiness of its financial institutions.</w:t>
      </w:r>
    </w:p>
    <w:p>
      <w:pPr>
        <w:spacing w:after="0" w:line="11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Company also invests in money market funds and U.S. treasuries, which are subject to certain credit risks. The Company mitigates the risks by investing in high-grade instruments, limiting its exposure to any one issuer and monitoring the ongoing creditworthiness of the financial institutions and issuers. The Company has not experienced any loss of principal on its financial instruments.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Company is subject to certain risks and uncertainties, including, but not limited to, changes in any of the following areas that the Company believes could have a material adverse effect on the future financial position or results of operations: the Company’s ability to advance the development of its proprietary precision data analytics platform, timing and ability to advance its product candidates through preclinical and clinical development; costs and timelines associated with the manufacturing of clinical supplies; regulatory approval, market acceptance of, and reimbursement for, any product candidates the Company may develop; performance of third-party vendors; competition from pharmaceutical or other biotechnology companies with greater financial resources or expertise; protection of intellectual property; litigation or claims against the Company based on intellectual property or other factors; and its ability to attract and retain employees necessary to support its growth.</w:t>
      </w:r>
    </w:p>
    <w:p>
      <w:pPr>
        <w:spacing w:after="0" w:line="12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Company’s business and operations may be affected by worldwide economic conditions, which may continue to be impacted by global macroeconomic challenges, such as the effects of the ongoing military conflicts in Ukraine, Israel, and the Middle East, tensions in U.S.-China relations, uncertainty in the markets, including disruptions in the banking industry, the COVID-19 pandemic and inflationary trends. Fiscal year 2023 was marked by significant market uncertainty and increasing inflationary pressures. These market dynamics continue into 2024, and these and similar adverse market conditions may negatively impact the Company’s business, financial position and results of operations.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4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as amended (the “JOBS Act”),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7" w:name="page248"/>
    <w:bookmarkEnd w:id="2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(Continued)</w:t>
      </w:r>
    </w:p>
    <w:p>
      <w:pPr>
        <w:spacing w:after="0" w:line="22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emerging growth company. The Company may choose to early adopt any new or revised accounting standards whenever such early adoption is permitted for nonpublic companies.</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Recently Issued and not Yet Adopted Accounting Pronouncements</w:t>
      </w:r>
    </w:p>
    <w:p>
      <w:pPr>
        <w:spacing w:after="0" w:line="15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This ASU requires public entities to disclose information about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reportable segments’ significant expenses and other segment items on an interim and annual basis. Public entities with a single reportable segment are required to apply the disclosure requirements in ASU 2023 -07,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 on its condensed consolidated financial statements.</w:t>
      </w:r>
    </w:p>
    <w:p>
      <w:pPr>
        <w:spacing w:after="0" w:line="321"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which requires the disclosure of specific categories in the rate reconciliation and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for income taxes paid. This standard is effective for annual periods beginning after December 15, 2024 and should be adopted prospectively with the option to be adopted retrospectively. The Company is currently evaluating the impact of this standard on its disclosure in its condensed consolidated financial statements.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The guidance establishes three levels of the fair value hierarchy as follows:</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4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95"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The Company recognizes transfers into and out of levels within the fair value hierarchy in the period in which the actual event or change in circumstances that caused the transfer occurs.</w:t>
      </w:r>
    </w:p>
    <w:p>
      <w:pPr>
        <w:spacing w:after="0" w:line="32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of Level 1, Level 2 and Level 3 financial instruments. Changes in the ability to observe valuation inputs may result in a reclassification of levels of certain securities within the fair value hierarchy.</w:t>
      </w:r>
    </w:p>
    <w:p>
      <w:pPr>
        <w:spacing w:after="0" w:line="10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Level 1 financial instruments are comprised of money market funds and U.S. treasuries. Level 2 financial instruments are comprised of U.S. treasuries. Level 3 financial instruments include a derivative liability issued in March 2024 in connection with the closing of the initial tranche of the Series C redeemable convertible preferred stock financing.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8" w:name="page249"/>
    <w:bookmarkEnd w:id="2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Fair Value Measurements (Continued)</w:t>
      </w:r>
    </w:p>
    <w:p>
      <w:pPr>
        <w:spacing w:after="0" w:line="22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fair value hierarchy for financial assets and liabilities measured at fair value on a recurring basis as of December 31, 2023 and March 31, 2024 (in thousands):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4"/>
                <w:szCs w:val="14"/>
                <w:b w:val="1"/>
                <w:bCs w:val="1"/>
                <w:color w:val="auto"/>
                <w:w w:val="98"/>
              </w:rPr>
              <w:t>Fair Value Measurements as of December 31, 2023</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27"/>
                <w:szCs w:val="27"/>
                <w:b w:val="1"/>
                <w:bCs w:val="1"/>
                <w:color w:val="auto"/>
                <w:vertAlign w:val="subscript"/>
              </w:rPr>
              <w:t>​</w:t>
            </w:r>
          </w:p>
        </w:tc>
        <w:tc>
          <w:tcPr>
            <w:tcW w:w="60" w:type="dxa"/>
            <w:vAlign w:val="bottom"/>
          </w:tcPr>
          <w:p>
            <w:pPr>
              <w:spacing w:after="0"/>
              <w:rPr>
                <w:sz w:val="20"/>
                <w:szCs w:val="20"/>
                <w:color w:val="auto"/>
              </w:rPr>
            </w:pPr>
          </w:p>
        </w:tc>
        <w:tc>
          <w:tcPr>
            <w:tcW w:w="600" w:type="dxa"/>
            <w:vAlign w:val="bottom"/>
            <w:gridSpan w:val="6"/>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Level 3</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vMerge w:val="continue"/>
          </w:tcPr>
          <w:p>
            <w:pPr>
              <w:spacing w:after="0"/>
              <w:rPr>
                <w:sz w:val="21"/>
                <w:szCs w:val="21"/>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21"/>
                <w:szCs w:val="21"/>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500" w:type="dxa"/>
            <w:vAlign w:val="bottom"/>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6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5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18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​$21,310 ​​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​$21,310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18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 ​ ​ ​ 2,000 ​​ ​</w:t>
            </w: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 ​ 2,000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6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5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180" w:type="dxa"/>
            <w:vAlign w:val="bottom"/>
            <w:gridSpan w:val="9"/>
          </w:tcPr>
          <w:p>
            <w:pPr>
              <w:ind w:left="10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1,958</w:t>
            </w:r>
            <w:r>
              <w:rPr>
                <w:rFonts w:ascii="Times New Roman" w:cs="Times New Roman" w:eastAsia="Times New Roman" w:hAnsi="Times New Roman"/>
                <w:sz w:val="17"/>
                <w:szCs w:val="17"/>
                <w:color w:val="auto"/>
              </w:rPr>
              <w:t xml:space="preserve"> ​​ ​</w:t>
            </w:r>
          </w:p>
        </w:tc>
        <w:tc>
          <w:tcPr>
            <w:tcW w:w="460" w:type="dxa"/>
            <w:vAlign w:val="bottom"/>
            <w:gridSpan w:val="3"/>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​998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98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2,956 </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gridSpan w:val="3"/>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tcBorders>
              <w:lef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180" w:type="dxa"/>
            <w:vAlign w:val="bottom"/>
            <w:gridSpan w:val="9"/>
            <w:shd w:val="clear" w:color="auto" w:fill="CCEEFF"/>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25,268 </w:t>
            </w:r>
            <w:r>
              <w:rPr>
                <w:rFonts w:ascii="Times New Roman" w:cs="Times New Roman" w:eastAsia="Times New Roman" w:hAnsi="Times New Roman"/>
                <w:sz w:val="28"/>
                <w:szCs w:val="28"/>
                <w:color w:val="auto"/>
                <w:vertAlign w:val="subscript"/>
              </w:rPr>
              <w:t>​​ ​</w:t>
            </w:r>
          </w:p>
        </w:tc>
        <w:tc>
          <w:tcPr>
            <w:tcW w:w="680" w:type="dxa"/>
            <w:vAlign w:val="bottom"/>
            <w:gridSpan w:val="5"/>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998 </w:t>
            </w:r>
            <w:r>
              <w:rPr>
                <w:rFonts w:ascii="Times New Roman" w:cs="Times New Roman" w:eastAsia="Times New Roman" w:hAnsi="Times New Roman"/>
                <w:sz w:val="28"/>
                <w:szCs w:val="28"/>
                <w:color w:val="auto"/>
                <w:vertAlign w:val="subscript"/>
              </w:rPr>
              <w:t>​​</w:t>
            </w:r>
          </w:p>
        </w:tc>
        <w:tc>
          <w:tcPr>
            <w:tcW w:w="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920" w:type="dxa"/>
            <w:vAlign w:val="bottom"/>
            <w:tcBorders>
              <w:right w:val="single" w:sz="8" w:color="CCEEFF"/>
            </w:tcBorders>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26,266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9"/>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Fair Value Measurements as of March 31, 2024</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gridSpan w:val="2"/>
          </w:tcPr>
          <w:p>
            <w:pPr>
              <w:spacing w:after="0"/>
              <w:rPr>
                <w:sz w:val="20"/>
                <w:szCs w:val="20"/>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tcBorders>
              <w:right w:val="single" w:sz="8" w:color="CCEEFF"/>
            </w:tcBorders>
            <w:shd w:val="clear" w:color="auto" w:fill="CCEEFF"/>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56,750​​</w:t>
            </w:r>
          </w:p>
        </w:tc>
        <w:tc>
          <w:tcPr>
            <w:tcW w:w="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6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56,750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 54,591​​</w:t>
            </w: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2"/>
                <w:szCs w:val="22"/>
                <w:color w:val="auto"/>
              </w:rPr>
            </w:pPr>
          </w:p>
        </w:tc>
        <w:tc>
          <w:tcPr>
            <w:tcW w:w="1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 54,591​</w:t>
            </w: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tcBorders>
              <w:right w:val="single" w:sz="8" w:color="CCEEFF"/>
            </w:tcBorders>
            <w:shd w:val="clear" w:color="auto" w:fill="CCEEFF"/>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6"/>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19,673</w:t>
            </w:r>
            <w:r>
              <w:rPr>
                <w:rFonts w:ascii="Times New Roman" w:cs="Times New Roman" w:eastAsia="Times New Roman" w:hAnsi="Times New Roman"/>
                <w:sz w:val="31"/>
                <w:szCs w:val="31"/>
                <w:color w:val="auto"/>
                <w:vertAlign w:val="subscript"/>
              </w:rPr>
              <w:t>​​</w:t>
            </w:r>
          </w:p>
        </w:tc>
        <w:tc>
          <w:tcPr>
            <w:tcW w:w="740" w:type="dxa"/>
            <w:vAlign w:val="bottom"/>
            <w:gridSpan w:val="6"/>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​1,983</w:t>
            </w:r>
            <w:r>
              <w:rPr>
                <w:rFonts w:ascii="Times New Roman" w:cs="Times New Roman" w:eastAsia="Times New Roman" w:hAnsi="Times New Roman"/>
                <w:sz w:val="31"/>
                <w:szCs w:val="31"/>
                <w:color w:val="auto"/>
                <w:vertAlign w:val="subscript"/>
              </w:rPr>
              <w:t>​​</w:t>
            </w:r>
          </w:p>
        </w:tc>
        <w:tc>
          <w:tcPr>
            <w:tcW w:w="260" w:type="dxa"/>
            <w:vAlign w:val="bottom"/>
            <w:gridSpan w:val="4"/>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80" w:type="dxa"/>
            <w:vAlign w:val="bottom"/>
          </w:tcPr>
          <w:p>
            <w:pPr>
              <w:spacing w:after="0"/>
              <w:rPr>
                <w:sz w:val="23"/>
                <w:szCs w:val="23"/>
                <w:color w:val="auto"/>
              </w:rPr>
            </w:pPr>
          </w:p>
        </w:tc>
        <w:tc>
          <w:tcPr>
            <w:tcW w:w="1200" w:type="dxa"/>
            <w:vAlign w:val="bottom"/>
            <w:gridSpan w:val="7"/>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21,656</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6"/>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131,014</w:t>
            </w:r>
            <w:r>
              <w:rPr>
                <w:rFonts w:ascii="Times New Roman" w:cs="Times New Roman" w:eastAsia="Times New Roman" w:hAnsi="Times New Roman"/>
                <w:sz w:val="28"/>
                <w:szCs w:val="28"/>
                <w:color w:val="auto"/>
                <w:vertAlign w:val="subscript"/>
              </w:rPr>
              <w:t>​​</w:t>
            </w:r>
          </w:p>
        </w:tc>
        <w:tc>
          <w:tcPr>
            <w:tcW w:w="740" w:type="dxa"/>
            <w:vAlign w:val="bottom"/>
            <w:gridSpan w:val="6"/>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1,983</w:t>
            </w:r>
            <w:r>
              <w:rPr>
                <w:rFonts w:ascii="Times New Roman" w:cs="Times New Roman" w:eastAsia="Times New Roman" w:hAnsi="Times New Roman"/>
                <w:sz w:val="28"/>
                <w:szCs w:val="28"/>
                <w:color w:val="auto"/>
                <w:vertAlign w:val="subscript"/>
              </w:rPr>
              <w:t>​​</w:t>
            </w:r>
          </w:p>
        </w:tc>
        <w:tc>
          <w:tcPr>
            <w:tcW w:w="260" w:type="dxa"/>
            <w:vAlign w:val="bottom"/>
            <w:tcBorders>
              <w:right w:val="single" w:sz="8" w:color="CCEEFF"/>
            </w:tcBorders>
            <w:gridSpan w:val="4"/>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80" w:type="dxa"/>
            <w:vAlign w:val="bottom"/>
            <w:shd w:val="clear" w:color="auto" w:fill="CCEEFF"/>
          </w:tcPr>
          <w:p>
            <w:pPr>
              <w:spacing w:after="0"/>
              <w:rPr>
                <w:sz w:val="24"/>
                <w:szCs w:val="24"/>
                <w:color w:val="auto"/>
              </w:rPr>
            </w:pPr>
          </w:p>
        </w:tc>
        <w:tc>
          <w:tcPr>
            <w:tcW w:w="1140" w:type="dxa"/>
            <w:vAlign w:val="bottom"/>
            <w:tcBorders>
              <w:right w:val="single" w:sz="8" w:color="CCEEFF"/>
            </w:tcBorders>
            <w:gridSpan w:val="5"/>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132,997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440" w:type="dxa"/>
            <w:vAlign w:val="bottom"/>
            <w:gridSpan w:val="4"/>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360" w:type="dxa"/>
            <w:vAlign w:val="bottom"/>
            <w:gridSpan w:val="4"/>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60" w:type="dxa"/>
            <w:vAlign w:val="bottom"/>
            <w:gridSpan w:val="4"/>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tcPr>
          <w:p>
            <w:pPr>
              <w:spacing w:after="0"/>
              <w:rPr>
                <w:sz w:val="16"/>
                <w:szCs w:val="16"/>
                <w:color w:val="auto"/>
              </w:rPr>
            </w:pPr>
          </w:p>
        </w:tc>
        <w:tc>
          <w:tcPr>
            <w:tcW w:w="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26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360" w:type="dxa"/>
            <w:vAlign w:val="bottom"/>
            <w:gridSpan w:val="4"/>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38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1080" w:type="dxa"/>
            <w:vAlign w:val="bottom"/>
            <w:gridSpan w:val="9"/>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12,008</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12,008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580" w:type="dxa"/>
            <w:vAlign w:val="bottom"/>
            <w:tcBorders>
              <w:right w:val="single" w:sz="8" w:color="auto"/>
            </w:tcBorders>
            <w:gridSpan w:val="5"/>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60" w:type="dxa"/>
            <w:vAlign w:val="bottom"/>
          </w:tcPr>
          <w:p>
            <w:pPr>
              <w:spacing w:after="0"/>
              <w:rPr>
                <w:sz w:val="22"/>
                <w:szCs w:val="22"/>
                <w:color w:val="auto"/>
              </w:rPr>
            </w:pPr>
          </w:p>
        </w:tc>
        <w:tc>
          <w:tcPr>
            <w:tcW w:w="46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360" w:type="dxa"/>
            <w:vAlign w:val="bottom"/>
            <w:gridSpan w:val="4"/>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8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1080" w:type="dxa"/>
            <w:vAlign w:val="bottom"/>
            <w:gridSpan w:val="9"/>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12,008</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p>
        </w:tc>
        <w:tc>
          <w:tcPr>
            <w:tcW w:w="56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color w:val="auto"/>
              </w:rPr>
              <w:t>12,008</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-2734310</wp:posOffset>
            </wp:positionV>
            <wp:extent cx="5212080" cy="1631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-2399665</wp:posOffset>
            </wp:positionV>
            <wp:extent cx="342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-2399665</wp:posOffset>
            </wp:positionV>
            <wp:extent cx="480060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-3394075</wp:posOffset>
            </wp:positionV>
            <wp:extent cx="5212080" cy="1714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-736600</wp:posOffset>
            </wp:positionV>
            <wp:extent cx="14605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-736600</wp:posOffset>
            </wp:positionV>
            <wp:extent cx="425196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251960" cy="88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-1731010</wp:posOffset>
            </wp:positionV>
            <wp:extent cx="1371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-1731010</wp:posOffset>
            </wp:positionV>
            <wp:extent cx="42430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9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connection with the Series C redeemable convertible preferred stock financing in March 2024, the Company issued to investors two freestanding financial instruments: the Series C second tranche option liability and the put right option liability (see Note 8 for details). The Company estimated their fair value using a Black-Scholes option pricing model weighted by the probability of each option exercise until the expiration date, December 31, 2024. Significant estimates and assumptions impacting the derivative liability fair value include the probability of each option exercise, preferred stock fair value, estimated stock volatility and the expected term. Significant increases (decreases) in any of those inputs in isolation may result in a significantly higher (lower) fair value measurement.</w:t>
      </w:r>
    </w:p>
    <w:p>
      <w:pPr>
        <w:spacing w:after="0" w:line="12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fair value of the Company’s Level 3 financial instrument, the derivative liability, for the three months ended March 31, 2024 (in thousands):</w:t>
      </w:r>
    </w:p>
    <w:p>
      <w:pPr>
        <w:sectPr>
          <w:pgSz w:w="11900" w:h="16838" w:orient="portrait"/>
          <w:cols w:equalWidth="0" w:num="1">
            <w:col w:w="9879"/>
          </w:cols>
          <w:pgMar w:left="580" w:top="97" w:right="1440" w:bottom="1440" w:gutter="0" w:footer="0" w:header="0"/>
        </w:sectPr>
      </w:pP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Balance​ 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Fair​ value upon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803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line="190" w:lineRule="auto"/>
        <w:rPr>
          <w:sz w:val="20"/>
          <w:szCs w:val="20"/>
          <w:color w:val="auto"/>
        </w:rPr>
      </w:pPr>
      <w:r>
        <w:rPr>
          <w:rFonts w:ascii="Times New Roman" w:cs="Times New Roman" w:eastAsia="Times New Roman" w:hAnsi="Times New Roman"/>
          <w:sz w:val="18"/>
          <w:szCs w:val="18"/>
          <w:color w:val="auto"/>
        </w:rPr>
        <w:t>Changes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in fair value .</w:t>
      </w:r>
    </w:p>
    <w:p>
      <w:pPr>
        <w:ind w:left="1260"/>
        <w:spacing w:after="0" w:line="185" w:lineRule="auto"/>
        <w:rPr>
          <w:sz w:val="20"/>
          <w:szCs w:val="20"/>
          <w:color w:val="auto"/>
        </w:rPr>
      </w:pPr>
      <w:r>
        <w:rPr>
          <w:rFonts w:ascii="Times New Roman" w:cs="Times New Roman" w:eastAsia="Times New Roman" w:hAnsi="Times New Roman"/>
          <w:sz w:val="18"/>
          <w:szCs w:val="18"/>
          <w:color w:val="auto"/>
        </w:rPr>
        <w:t>Balance</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as of March 31, 2024</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8,913​</w:t>
      </w:r>
    </w:p>
    <w:p>
      <w:pPr>
        <w:spacing w:after="0" w:line="19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3,095</w:t>
      </w:r>
      <w:r>
        <w:rPr>
          <w:rFonts w:ascii="Times New Roman" w:cs="Times New Roman" w:eastAsia="Times New Roman" w:hAnsi="Times New Roman"/>
          <w:sz w:val="35"/>
          <w:szCs w:val="35"/>
          <w:color w:val="auto"/>
          <w:vertAlign w:val="subscript"/>
        </w:rPr>
        <w:t>​</w:t>
      </w:r>
    </w:p>
    <w:p>
      <w:pPr>
        <w:spacing w:after="0" w:line="185"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$12,008</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8000" w:space="720"/>
            <w:col w:w="1159"/>
          </w:cols>
          <w:pgMar w:left="580" w:top="97" w:right="1440" w:bottom="1440" w:gutter="0" w:footer="0" w:header="0"/>
          <w:type w:val="continuous"/>
        </w:sectPr>
      </w:pPr>
    </w:p>
    <w:p>
      <w:pPr>
        <w:spacing w:after="0" w:line="2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9" w:name="page250"/>
    <w:bookmarkEnd w:id="2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Fair Value Measurements (Continued)</w:t>
      </w:r>
    </w:p>
    <w:p>
      <w:pPr>
        <w:spacing w:after="0" w:line="22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range of assumptions used in the valuation of the derivative liability for the three months ended March 31, 2024:</w:t>
      </w:r>
    </w:p>
    <w:p>
      <w:pPr>
        <w:sectPr>
          <w:pgSz w:w="11900" w:h="16838" w:orient="portrait"/>
          <w:cols w:equalWidth="0" w:num="1">
            <w:col w:w="9879"/>
          </w:cols>
          <w:pgMar w:left="580" w:top="97" w:right="1440" w:bottom="1440" w:gutter="0" w:footer="0" w:header="0"/>
        </w:sectPr>
      </w:pP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Probability​ of option exercise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tabs>
          <w:tab w:leader="none" w:pos="360" w:val="left"/>
          <w:tab w:leader="none" w:pos="1340" w:val="left"/>
        </w:tabs>
        <w:rPr>
          <w:sz w:val="20"/>
          <w:szCs w:val="20"/>
          <w:color w:val="auto"/>
        </w:rPr>
      </w:pPr>
      <w:r>
        <w:rPr>
          <w:rFonts w:ascii="Times New Roman" w:cs="Times New Roman" w:eastAsia="Times New Roman" w:hAnsi="Times New Roman"/>
          <w:sz w:val="18"/>
          <w:szCs w:val="18"/>
          <w:color w:val="auto"/>
        </w:rPr>
        <w:t>​ ​</w:t>
        <w:tab/>
        <w:t>0.16 – 0.36</w:t>
        <w:tab/>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55.1% – 59.9%​</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 – 5.5%</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 90%</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sectPr>
          <w:pgSz w:w="11900" w:h="16838" w:orient="portrait"/>
          <w:cols w:equalWidth="0" w:num="2">
            <w:col w:w="7380" w:space="720"/>
            <w:col w:w="1779"/>
          </w:cols>
          <w:pgMar w:left="580" w:top="97" w:right="1440" w:bottom="1440" w:gutter="0" w:footer="0" w:header="0"/>
          <w:type w:val="continuous"/>
        </w:sect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categories for the three months ended March 31, 2023 and 2024.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Marketable securities, which are classified as available-for-sale marketable securities, consisted of the following as of December 31, 2023 and March 31, 2024 (in thousands):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as of</w:t>
            </w:r>
          </w:p>
        </w:tc>
        <w:tc>
          <w:tcPr>
            <w:tcW w:w="4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80" w:type="dxa"/>
            <w:vAlign w:val="bottom"/>
            <w:gridSpan w:val="2"/>
          </w:tcPr>
          <w:p>
            <w:pPr>
              <w:ind w:left="22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Basis</w:t>
            </w:r>
          </w:p>
        </w:tc>
        <w:tc>
          <w:tcPr>
            <w:tcW w:w="9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Gains</w:t>
            </w:r>
          </w:p>
        </w:tc>
        <w:tc>
          <w:tcPr>
            <w:tcW w:w="11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Losses   </w:t>
            </w:r>
            <w:r>
              <w:rPr>
                <w:rFonts w:ascii="Times New Roman" w:cs="Times New Roman" w:eastAsia="Times New Roman" w:hAnsi="Times New Roman"/>
                <w:sz w:val="24"/>
                <w:szCs w:val="24"/>
                <w:b w:val="1"/>
                <w:bCs w:val="1"/>
                <w:color w:val="auto"/>
                <w:vertAlign w:val="subscript"/>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Short-term marketable securities: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U.S. treasuries</w:t>
      </w:r>
    </w:p>
    <w:p>
      <w:pPr>
        <w:spacing w:after="0" w:line="9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short-term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$ 2,954</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3"/>
          </w:tcPr>
          <w:p>
            <w:pPr>
              <w:ind w:left="1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2,956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$ 2,954</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3"/>
          </w:tcPr>
          <w:p>
            <w:pPr>
              <w:ind w:lef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2,956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-213995</wp:posOffset>
            </wp:positionV>
            <wp:extent cx="5212080" cy="1968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162"/>
        </w:trPr>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2"/>
        </w:trPr>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0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214"/>
        </w:trPr>
        <w:tc>
          <w:tcPr>
            <w:tcW w:w="84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Basis</w:t>
            </w:r>
          </w:p>
        </w:tc>
        <w:tc>
          <w:tcPr>
            <w:tcW w:w="88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Gains</w:t>
            </w:r>
          </w:p>
        </w:tc>
        <w:tc>
          <w:tcPr>
            <w:tcW w:w="9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Losses</w:t>
            </w:r>
          </w:p>
        </w:tc>
        <w:tc>
          <w:tcPr>
            <w:tcW w:w="9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2024   </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-8255</wp:posOffset>
            </wp:positionV>
            <wp:extent cx="5212080" cy="1714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5060" w:space="720"/>
            <w:col w:w="409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Short-term marketable securities: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U.S. treasuries</w:t>
      </w:r>
    </w:p>
    <w:p>
      <w:pPr>
        <w:spacing w:after="0" w:line="9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short-term marketable securities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48"/>
        </w:trPr>
        <w:tc>
          <w:tcPr>
            <w:tcW w:w="1200" w:type="dxa"/>
            <w:vAlign w:val="bottom"/>
            <w:gridSpan w:val="3"/>
          </w:tcPr>
          <w:p>
            <w:pPr>
              <w:jc w:val="right"/>
              <w:ind w:right="70"/>
              <w:spacing w:after="0" w:line="247"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21,657 </w:t>
            </w:r>
            <w:r>
              <w:rPr>
                <w:rFonts w:ascii="Times New Roman" w:cs="Times New Roman" w:eastAsia="Times New Roman" w:hAnsi="Times New Roman"/>
                <w:sz w:val="28"/>
                <w:szCs w:val="28"/>
                <w:color w:val="auto"/>
                <w:vertAlign w:val="subscript"/>
              </w:rPr>
              <w:t>​​ ​</w:t>
            </w:r>
          </w:p>
        </w:tc>
        <w:tc>
          <w:tcPr>
            <w:tcW w:w="4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r>
      <w:tr>
        <w:trPr>
          <w:trHeight w:val="20"/>
        </w:trPr>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200" w:type="dxa"/>
            <w:vAlign w:val="bottom"/>
            <w:gridSpan w:val="3"/>
          </w:tcPr>
          <w:p>
            <w:pPr>
              <w:jc w:val="right"/>
              <w:ind w:right="7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21,657 </w:t>
            </w:r>
            <w:r>
              <w:rPr>
                <w:rFonts w:ascii="Times New Roman" w:cs="Times New Roman" w:eastAsia="Times New Roman" w:hAnsi="Times New Roman"/>
                <w:sz w:val="28"/>
                <w:szCs w:val="28"/>
                <w:color w:val="auto"/>
                <w:vertAlign w:val="subscript"/>
              </w:rPr>
              <w:t>​​ ​</w:t>
            </w:r>
          </w:p>
        </w:tc>
        <w:tc>
          <w:tcPr>
            <w:tcW w:w="4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r>
      <w:tr>
        <w:trPr>
          <w:trHeight w:val="20"/>
        </w:trPr>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-213995</wp:posOffset>
            </wp:positionV>
            <wp:extent cx="5212080" cy="1968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63" w:hanging="163"/>
        <w:spacing w:after="0"/>
        <w:tabs>
          <w:tab w:leader="none" w:pos="16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w:t>
      </w:r>
    </w:p>
    <w:p>
      <w:pPr>
        <w:spacing w:after="0" w:line="27" w:lineRule="exact"/>
        <w:rPr>
          <w:rFonts w:ascii="Times New Roman" w:cs="Times New Roman" w:eastAsia="Times New Roman" w:hAnsi="Times New Roman"/>
          <w:sz w:val="18"/>
          <w:szCs w:val="18"/>
          <w:color w:val="auto"/>
        </w:rPr>
      </w:pPr>
    </w:p>
    <w:p>
      <w:pPr>
        <w:ind w:left="163" w:hanging="163"/>
        <w:spacing w:after="0" w:line="181" w:lineRule="auto"/>
        <w:tabs>
          <w:tab w:leader="none" w:pos="163" w:val="left"/>
        </w:tabs>
        <w:numPr>
          <w:ilvl w:val="0"/>
          <w:numId w:val="145"/>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u w:val="single" w:color="auto"/>
          <w:color w:val="auto"/>
          <w:vertAlign w:val="subscript"/>
        </w:rPr>
        <w:t>​</w:t>
      </w:r>
      <w:r>
        <w:rPr>
          <w:rFonts w:ascii="Times New Roman" w:cs="Times New Roman" w:eastAsia="Times New Roman" w:hAnsi="Times New Roman"/>
          <w:sz w:val="16"/>
          <w:szCs w:val="16"/>
          <w:u w:val="single" w:color="auto"/>
          <w:color w:val="auto"/>
        </w:rPr>
        <w:t>$(1</w:t>
      </w:r>
      <w:r>
        <w:rPr>
          <w:rFonts w:ascii="Times New Roman" w:cs="Times New Roman" w:eastAsia="Times New Roman" w:hAnsi="Times New Roman"/>
          <w:sz w:val="16"/>
          <w:szCs w:val="16"/>
          <w:color w:val="auto"/>
        </w:rPr>
        <w:t>)</w:t>
      </w:r>
    </w:p>
    <w:p>
      <w:pPr>
        <w:spacing w:after="0" w:line="9" w:lineRule="exact"/>
        <w:rPr>
          <w:rFonts w:ascii="Times New Roman" w:cs="Times New Roman" w:eastAsia="Times New Roman" w:hAnsi="Times New Roman"/>
          <w:sz w:val="31"/>
          <w:szCs w:val="31"/>
          <w:color w:val="auto"/>
          <w:vertAlign w:val="subscript"/>
        </w:rPr>
      </w:pPr>
    </w:p>
    <w:p>
      <w:pPr>
        <w:ind w:left="163" w:hanging="163"/>
        <w:spacing w:after="0"/>
        <w:tabs>
          <w:tab w:leader="none" w:pos="16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35"/>
          <w:szCs w:val="35"/>
          <w:u w:val="single" w:color="auto"/>
          <w:color w:val="auto"/>
          <w:vertAlign w:val="superscript"/>
        </w:rPr>
        <w:t>$(1</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 ​ ​ ​</w:t>
      </w:r>
      <w:r>
        <w:rPr>
          <w:sz w:val="20"/>
          <w:szCs w:val="20"/>
          <w:color w:val="auto"/>
        </w:rPr>
        <w:tab/>
      </w:r>
      <w:r>
        <w:rPr>
          <w:rFonts w:ascii="Times New Roman" w:cs="Times New Roman" w:eastAsia="Times New Roman" w:hAnsi="Times New Roman"/>
          <w:sz w:val="18"/>
          <w:szCs w:val="18"/>
          <w:color w:val="auto"/>
        </w:rPr>
        <w:t>​​</w:t>
      </w:r>
    </w:p>
    <w:p>
      <w:pPr>
        <w:ind w:left="180" w:hanging="176"/>
        <w:spacing w:after="0" w:line="182" w:lineRule="auto"/>
        <w:tabs>
          <w:tab w:leader="none" w:pos="180" w:val="left"/>
        </w:tabs>
        <w:numPr>
          <w:ilvl w:val="0"/>
          <w:numId w:val="14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u w:val="single" w:color="auto"/>
          <w:color w:val="auto"/>
          <w:vertAlign w:val="subscript"/>
        </w:rPr>
        <w:t>​</w:t>
      </w:r>
      <w:r>
        <w:rPr>
          <w:rFonts w:ascii="Times New Roman" w:cs="Times New Roman" w:eastAsia="Times New Roman" w:hAnsi="Times New Roman"/>
          <w:sz w:val="17"/>
          <w:szCs w:val="17"/>
          <w:u w:val="single" w:color="auto"/>
          <w:color w:val="auto"/>
        </w:rPr>
        <w:t>$21,656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bscript"/>
        </w:rPr>
        <w:t>​</w:t>
      </w:r>
    </w:p>
    <w:p>
      <w:pPr>
        <w:ind w:left="180" w:hanging="176"/>
        <w:spacing w:after="0" w:line="180" w:lineRule="auto"/>
        <w:tabs>
          <w:tab w:leader="none" w:pos="180" w:val="left"/>
        </w:tabs>
        <w:numPr>
          <w:ilvl w:val="0"/>
          <w:numId w:val="146"/>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$21,656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bscript"/>
        </w:rPr>
        <w:t>​</w:t>
      </w:r>
    </w:p>
    <w:p>
      <w:pPr>
        <w:spacing w:after="0" w:line="224" w:lineRule="exact"/>
        <w:rPr>
          <w:sz w:val="20"/>
          <w:szCs w:val="20"/>
          <w:color w:val="auto"/>
        </w:rPr>
      </w:pPr>
    </w:p>
    <w:p>
      <w:pPr>
        <w:sectPr>
          <w:pgSz w:w="11900" w:h="16838" w:orient="portrait"/>
          <w:cols w:equalWidth="0" w:num="4">
            <w:col w:w="5240" w:space="720"/>
            <w:col w:w="1600" w:space="117"/>
            <w:col w:w="763" w:space="140"/>
            <w:col w:w="1299"/>
          </w:cols>
          <w:pgMar w:left="580" w:top="97" w:right="1440" w:bottom="1440" w:gutter="0" w:footer="0" w:header="0"/>
          <w:type w:val="continuous"/>
        </w:sect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All marketable securities held as of December 31, 2023 and March 31, 2024 had contractual maturities of less than one year.</w:t>
      </w:r>
    </w:p>
    <w:p>
      <w:pPr>
        <w:spacing w:after="0" w:line="8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As of December 31, 2023 and March 31, 2024, no significant facts or circumstances were present to indicate a deterioration in the creditworthiness of the issuers of the marketable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For all securities with a fair value less than its amortized cost basis, the Company determined the decline in fair value below amortized cost basis to be immaterial and non-credit related, and therefore no allowance for losses has been recorded. During the three months ended March 31, 2023 and 2024, the Company did not recognize any impairment losses on its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0" w:name="page251"/>
    <w:bookmarkEnd w:id="2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Prepaid Expenses and Current Assets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prepaid expenses and current assets consist of the following (in thousands):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1"/>
              </w:rPr>
              <w:t>March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3"/>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4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w:t>
            </w:r>
          </w:p>
        </w:tc>
        <w:tc>
          <w:tcPr>
            <w:tcW w:w="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w:t>
            </w:r>
          </w:p>
        </w:tc>
        <w:tc>
          <w:tcPr>
            <w:tcW w:w="4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w:t>
            </w:r>
          </w:p>
        </w:tc>
        <w:tc>
          <w:tcPr>
            <w:tcW w:w="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4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500" w:type="dxa"/>
            <w:vAlign w:val="bottom"/>
            <w:gridSpan w:val="4"/>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prepaid expenses and current assets</w:t>
            </w:r>
          </w:p>
        </w:tc>
        <w:tc>
          <w:tcPr>
            <w:tcW w:w="4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1,631</w:t>
            </w:r>
          </w:p>
        </w:tc>
        <w:tc>
          <w:tcPr>
            <w:tcW w:w="940" w:type="dxa"/>
            <w:vAlign w:val="bottom"/>
            <w:gridSpan w:val="7"/>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1,796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0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Useful Life</w:t>
            </w:r>
          </w:p>
        </w:tc>
        <w:tc>
          <w:tcPr>
            <w:tcW w:w="220" w:type="dxa"/>
            <w:vAlign w:val="bottom"/>
          </w:tcPr>
          <w:p>
            <w:pPr>
              <w:spacing w:after="0"/>
              <w:rPr>
                <w:sz w:val="24"/>
                <w:szCs w:val="24"/>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1"/>
              </w:rPr>
              <w:t>March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3"/>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-1628140</wp:posOffset>
            </wp:positionV>
            <wp:extent cx="480060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3086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Laboratory equipment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Computer equipment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Capitalized software</w:t>
      </w:r>
    </w:p>
    <w:p>
      <w:pPr>
        <w:spacing w:after="0" w:line="7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Total property and equipment, gross</w:t>
      </w:r>
    </w:p>
    <w:p>
      <w:pPr>
        <w:spacing w:after="0" w:line="50" w:lineRule="exact"/>
        <w:rPr>
          <w:sz w:val="20"/>
          <w:szCs w:val="20"/>
          <w:color w:val="auto"/>
        </w:rPr>
      </w:pPr>
    </w:p>
    <w:p>
      <w:pPr>
        <w:ind w:left="1440" w:hanging="179"/>
        <w:spacing w:after="0" w:line="376" w:lineRule="auto"/>
        <w:rPr>
          <w:sz w:val="20"/>
          <w:szCs w:val="20"/>
          <w:color w:val="auto"/>
        </w:rPr>
      </w:pPr>
      <w:r>
        <w:rPr>
          <w:rFonts w:ascii="Times New Roman" w:cs="Times New Roman" w:eastAsia="Times New Roman" w:hAnsi="Times New Roman"/>
          <w:sz w:val="18"/>
          <w:szCs w:val="18"/>
          <w:color w:val="auto"/>
        </w:rPr>
        <w:t>Less: Accumulated depreciation and amortization Total property and equipment,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useful life or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lease term</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​$17,592</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​$17,592 </w:t>
            </w:r>
            <w:r>
              <w:rPr>
                <w:rFonts w:ascii="Times New Roman" w:cs="Times New Roman" w:eastAsia="Times New Roman" w:hAnsi="Times New Roman"/>
                <w:sz w:val="18"/>
                <w:szCs w:val="18"/>
                <w:b w:val="1"/>
                <w:bCs w:val="1"/>
                <w:color w:val="auto"/>
              </w:rPr>
              <w:t>​</w:t>
            </w:r>
          </w:p>
        </w:tc>
      </w:tr>
      <w:tr>
        <w:trPr>
          <w:trHeight w:val="279"/>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 3,577</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 ​ 3,985 </w:t>
            </w:r>
            <w:r>
              <w:rPr>
                <w:rFonts w:ascii="Times New Roman" w:cs="Times New Roman" w:eastAsia="Times New Roman" w:hAnsi="Times New Roman"/>
                <w:sz w:val="18"/>
                <w:szCs w:val="18"/>
                <w:b w:val="1"/>
                <w:bCs w:val="1"/>
                <w:color w:val="auto"/>
              </w:rPr>
              <w:t>​</w:t>
            </w:r>
          </w:p>
        </w:tc>
      </w:tr>
      <w:tr>
        <w:trPr>
          <w:trHeight w:val="256"/>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 1,709</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 ​ 1,709 </w:t>
            </w:r>
            <w:r>
              <w:rPr>
                <w:rFonts w:ascii="Times New Roman" w:cs="Times New Roman" w:eastAsia="Times New Roman" w:hAnsi="Times New Roman"/>
                <w:sz w:val="18"/>
                <w:szCs w:val="18"/>
                <w:b w:val="1"/>
                <w:bCs w:val="1"/>
                <w:color w:val="auto"/>
              </w:rPr>
              <w:t>​</w:t>
            </w:r>
          </w:p>
        </w:tc>
      </w:tr>
      <w:tr>
        <w:trPr>
          <w:trHeight w:val="257"/>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896 </w:t>
            </w:r>
            <w:r>
              <w:rPr>
                <w:rFonts w:ascii="Times New Roman" w:cs="Times New Roman" w:eastAsia="Times New Roman" w:hAnsi="Times New Roman"/>
                <w:sz w:val="18"/>
                <w:szCs w:val="18"/>
                <w:b w:val="1"/>
                <w:bCs w:val="1"/>
                <w:color w:val="auto"/>
              </w:rPr>
              <w:t>​</w:t>
            </w:r>
          </w:p>
        </w:tc>
      </w:tr>
      <w:tr>
        <w:trPr>
          <w:trHeight w:val="248"/>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gridSpan w:val="3"/>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52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44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75 </w:t>
            </w:r>
            <w:r>
              <w:rPr>
                <w:rFonts w:ascii="Times New Roman" w:cs="Times New Roman" w:eastAsia="Times New Roman" w:hAnsi="Times New Roman"/>
                <w:sz w:val="28"/>
                <w:szCs w:val="28"/>
                <w:b w:val="1"/>
                <w:bCs w:val="1"/>
                <w:color w:val="auto"/>
                <w:vertAlign w:val="subscript"/>
              </w:rPr>
              <w:t>​</w:t>
            </w:r>
          </w:p>
        </w:tc>
      </w:tr>
      <w:tr>
        <w:trPr>
          <w:trHeight w:val="20"/>
        </w:trPr>
        <w:tc>
          <w:tcPr>
            <w:tcW w:w="2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2"/>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​23,849</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 ​24,257 </w:t>
            </w:r>
            <w:r>
              <w:rPr>
                <w:rFonts w:ascii="Times New Roman" w:cs="Times New Roman" w:eastAsia="Times New Roman" w:hAnsi="Times New Roman"/>
                <w:sz w:val="18"/>
                <w:szCs w:val="18"/>
                <w:b w:val="1"/>
                <w:bCs w:val="1"/>
                <w:color w:val="auto"/>
              </w:rPr>
              <w:t>​</w:t>
            </w:r>
          </w:p>
        </w:tc>
      </w:tr>
      <w:tr>
        <w:trPr>
          <w:trHeight w:val="248"/>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jc w:val="right"/>
              <w:ind w:right="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​(1,408)</w:t>
            </w:r>
          </w:p>
        </w:tc>
        <w:tc>
          <w:tcPr>
            <w:tcW w:w="960" w:type="dxa"/>
            <w:vAlign w:val="bottom"/>
            <w:gridSpan w:val="5"/>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​(2,166)</w:t>
            </w:r>
            <w:r>
              <w:rPr>
                <w:rFonts w:ascii="Times New Roman" w:cs="Times New Roman" w:eastAsia="Times New Roman" w:hAnsi="Times New Roman"/>
                <w:sz w:val="28"/>
                <w:szCs w:val="28"/>
                <w:b w:val="1"/>
                <w:bCs w:val="1"/>
                <w:color w:val="auto"/>
                <w:vertAlign w:val="subscript"/>
              </w:rPr>
              <w:t>​</w:t>
            </w:r>
          </w:p>
        </w:tc>
      </w:tr>
      <w:tr>
        <w:trPr>
          <w:trHeight w:val="20"/>
        </w:trPr>
        <w:tc>
          <w:tcPr>
            <w:tcW w:w="2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4"/>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jc w:val="right"/>
              <w:ind w:righ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22,441</w:t>
            </w:r>
          </w:p>
        </w:tc>
        <w:tc>
          <w:tcPr>
            <w:tcW w:w="96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22,091 </w:t>
            </w:r>
            <w:r>
              <w:rPr>
                <w:rFonts w:ascii="Times New Roman" w:cs="Times New Roman" w:eastAsia="Times New Roman" w:hAnsi="Times New Roman"/>
                <w:sz w:val="28"/>
                <w:szCs w:val="28"/>
                <w:b w:val="1"/>
                <w:bCs w:val="1"/>
                <w:color w:val="auto"/>
                <w:vertAlign w:val="subscript"/>
              </w:rPr>
              <w:t>​</w:t>
            </w:r>
          </w:p>
        </w:tc>
      </w:tr>
      <w:tr>
        <w:trPr>
          <w:trHeight w:val="20"/>
        </w:trPr>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-1053465</wp:posOffset>
            </wp:positionV>
            <wp:extent cx="5212080" cy="16256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-384810</wp:posOffset>
            </wp:positionV>
            <wp:extent cx="5212080" cy="1797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-727710</wp:posOffset>
            </wp:positionV>
            <wp:extent cx="5212080" cy="1797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000" w:space="500"/>
            <w:col w:w="4379"/>
          </w:cols>
          <w:pgMar w:left="580" w:top="97" w:right="1440" w:bottom="1440" w:gutter="0" w:footer="0" w:header="0"/>
          <w:type w:val="continuous"/>
        </w:sect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$0.1 million and $0.8 million for the three months ended March 31, 2023 and 2024, respectively.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Accrued Expenses and Current Liabilities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14"/>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320" w:type="dxa"/>
            <w:vAlign w:val="bottom"/>
          </w:tcPr>
          <w:p>
            <w:pPr>
              <w:ind w:left="31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2024   </w:t>
            </w:r>
            <w:r>
              <w:rPr>
                <w:rFonts w:ascii="Times New Roman" w:cs="Times New Roman" w:eastAsia="Times New Roman" w:hAnsi="Times New Roman"/>
                <w:sz w:val="24"/>
                <w:szCs w:val="24"/>
                <w:b w:val="1"/>
                <w:bCs w:val="1"/>
                <w:color w:val="auto"/>
                <w:vertAlign w:val="subscript"/>
              </w:rPr>
              <w:t>​</w:t>
            </w:r>
          </w:p>
        </w:tc>
      </w:tr>
      <w:tr>
        <w:trPr>
          <w:trHeight w:val="20"/>
        </w:trPr>
        <w:tc>
          <w:tcPr>
            <w:tcW w:w="3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personnel and related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other expenses</w:t>
      </w:r>
    </w:p>
    <w:p>
      <w:pPr>
        <w:spacing w:after="0" w:line="9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​$5,585</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 ​ ​$1,645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​1,093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 ​1,907 </w:t>
            </w:r>
            <w:r>
              <w:rPr>
                <w:rFonts w:ascii="Times New Roman" w:cs="Times New Roman" w:eastAsia="Times New Roman" w:hAnsi="Times New Roman"/>
                <w:sz w:val="18"/>
                <w:szCs w:val="18"/>
                <w:b w:val="1"/>
                <w:bCs w:val="1"/>
                <w:color w:val="auto"/>
              </w:rPr>
              <w:t>​</w:t>
            </w:r>
          </w:p>
        </w:tc>
      </w:tr>
      <w:tr>
        <w:trPr>
          <w:trHeight w:val="248"/>
        </w:trPr>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ind w:left="1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409</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3"/>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802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7,087</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4,354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20" w:space="720"/>
            <w:col w:w="23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1" w:name="page252"/>
    <w:bookmarkEnd w:id="2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Foresite Labs Services Agreement</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Foresite Labs, LLC (“Foresite Labs”) is an affiliate of Foresite Capital Management, a stockholder of the Company. In January 2021, the Company entered into a services agreement with Foresite Labs, which was amended and restated in August 2021 and in December 2023, and expires in December 2026, unless terminated earlier by the parties. Thereafter, on each anniversary of the effective date, the agreement will automatically renew for an additional one year term, unless terminated earlier by the parties. Foresite Labs provides services to assist the Company in exploring specified immunology genetic targets. For the three months ended March 31, 2023 and 2024, the Company recognized $0.3 million and $0.4 million as research and development expenses under the service agreement, respectively. Accrued expenses under the service agreement were less than $0.1 million as of December 31, 2023 and were zero as of March 31, 2024.</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Commitments and Contingent Liabilities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62"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In 2021, the Company entered into a lease agreement for 14,000 square feet of office space in South San Francisco, California, which commenced in August 2021 and had a contractual termination date of September 2024. In September 2023, the Company abandoned this right-of-use asset as it had moved to its new office space described below; the Company recognized a loss on this abandonment in the amount of $0.6 million.</w:t>
      </w:r>
    </w:p>
    <w:p>
      <w:pPr>
        <w:spacing w:after="0" w:line="32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January 2022, the Company entered into a lease agreement for 12,000 square feet of office and laboratory space in South San Francisco, California, that commenced in July 2022 and had a contractual termination date of July 2029. This lease contained an early termination option, allowing the Company to terminate this lease before the expiry of the lease term. The Company concluded the lease term for accounting purposes ended in August 2023. In April 2023, this lease was modified to reduce the contractual lease term to terminate in October 2023. The accounting impact of the modification was not material.</w:t>
      </w:r>
    </w:p>
    <w:p>
      <w:pPr>
        <w:spacing w:after="0" w:line="120"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In August 2022, the Company entered into a lease agreement for 55,000 square feet of additional office and laboratory space in South San Francisco, California, which commenced in January 2023 and has a contractual termination date in August 2033. The Company constructed leasehold improvements in the space, which were concluded to be lessee assets. The lessor provided the Company a tenant improvement allowance of $17.2 million, of which $16.7 million and $0 was received and was accounted for as a reduction to lease payments for the year ended December 31, 2023 and March 31, 2024, respectively. At the commencement date, future lease payments totaled $37.9 million, including $54.6 million in gross fixed payments less $16.7 million in lease incentives expected to be received during the first year of the lease. The lease liability at lease commencement was calculated to be $14.1 million, which is equal to the present value of the future lease payments, discounted at the incremental borrowing rate of 11.4%. Following the commencement date, the Company measured its lease liability and right-of-use asset in accordance with ASC 842-20-35-3. In accordance with this guidance, future lease payments increased as the $16.7 million incentive was received and future gross fixed payments were no longer offset by these incentives. The Company recorded the leasehold improvements in property and equipment, net in the condensed consolidated balance sheets as of December 31, 2023 and March 31, 2024. The lease agreement also includes a renewal option allowing the Company to extend this lease for an additional three years at the prevailing rental rate, which the Company was not reasonably certain to exercise.</w:t>
      </w:r>
    </w:p>
    <w:p>
      <w:pPr>
        <w:spacing w:after="0" w:line="343"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Company maintains letters of credit on these leases in the amount of $1.1 million at December 31, 2023 and March 31, 2024. The lease letters of credit are reflected on the Company’s condensed consolidated balance sheets in restricted cash, current and restricted cash, noncurrent as of December 31, 2023 and March 31,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2" w:name="page253"/>
    <w:bookmarkEnd w:id="2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Commitments and Contingent Liabilities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(Continued)</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components of lease costs were as follows (in thousands):</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Pr>
          <w:p>
            <w:pPr>
              <w:ind w:left="258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Borders>
              <w:bottom w:val="single" w:sz="8" w:color="auto"/>
            </w:tcBorders>
            <w:gridSpan w:val="4"/>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Pr>
          <w:p>
            <w:pPr>
              <w:ind w:left="26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7"/>
                <w:szCs w:val="27"/>
                <w:b w:val="1"/>
                <w:bCs w:val="1"/>
                <w:color w:val="auto"/>
                <w:vertAlign w:val="subscript"/>
              </w:rPr>
              <w:t>​</w:t>
            </w:r>
          </w:p>
        </w:tc>
        <w:tc>
          <w:tcPr>
            <w:tcW w:w="66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7"/>
                <w:szCs w:val="27"/>
                <w:b w:val="1"/>
                <w:bCs w:val="1"/>
                <w:color w:val="auto"/>
                <w:vertAlign w:val="subscript"/>
              </w:rPr>
              <w:t>​</w:t>
            </w:r>
          </w:p>
        </w:tc>
      </w:tr>
      <w:tr>
        <w:trPr>
          <w:trHeight w:val="20"/>
        </w:trPr>
        <w:tc>
          <w:tcPr>
            <w:tcW w:w="4180" w:type="dxa"/>
            <w:vAlign w:val="bottom"/>
            <w:shd w:val="clear" w:color="auto" w:fill="CCEEFF"/>
          </w:tcPr>
          <w:p>
            <w:pPr>
              <w:spacing w:after="0" w:line="20" w:lineRule="exact"/>
              <w:rPr>
                <w:sz w:val="1"/>
                <w:szCs w:val="1"/>
                <w:color w:val="auto"/>
              </w:rPr>
            </w:pPr>
          </w:p>
        </w:tc>
        <w:tc>
          <w:tcPr>
            <w:tcW w:w="28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800" w:type="dxa"/>
            <w:vAlign w:val="bottom"/>
            <w:tcBorders>
              <w:right w:val="single" w:sz="8" w:color="CCEEFF"/>
            </w:tcBorders>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​​$1,272​​</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876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8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  46</w:t>
            </w:r>
            <w:r>
              <w:rPr>
                <w:rFonts w:ascii="Times New Roman" w:cs="Times New Roman" w:eastAsia="Times New Roman" w:hAnsi="Times New Roman"/>
                <w:sz w:val="17"/>
                <w:szCs w:val="17"/>
                <w:color w:val="auto"/>
              </w:rPr>
              <w:t>​​</w:t>
            </w:r>
          </w:p>
        </w:tc>
        <w:tc>
          <w:tcPr>
            <w:tcW w:w="32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330</w:t>
            </w:r>
            <w:r>
              <w:rPr>
                <w:rFonts w:ascii="Times New Roman" w:cs="Times New Roman" w:eastAsia="Times New Roman" w:hAnsi="Times New Roman"/>
                <w:sz w:val="31"/>
                <w:szCs w:val="31"/>
                <w:color w:val="auto"/>
                <w:vertAlign w:val="subscript"/>
              </w:rPr>
              <w:t>​</w:t>
            </w:r>
          </w:p>
        </w:tc>
      </w:tr>
      <w:tr>
        <w:trPr>
          <w:trHeight w:val="20"/>
        </w:trPr>
        <w:tc>
          <w:tcPr>
            <w:tcW w:w="4180" w:type="dxa"/>
            <w:vAlign w:val="bottom"/>
            <w:shd w:val="clear" w:color="auto" w:fill="CCEEFF"/>
          </w:tcPr>
          <w:p>
            <w:pPr>
              <w:spacing w:after="0" w:line="20" w:lineRule="exact"/>
              <w:rPr>
                <w:sz w:val="1"/>
                <w:szCs w:val="1"/>
                <w:color w:val="auto"/>
              </w:rPr>
            </w:pPr>
          </w:p>
        </w:tc>
        <w:tc>
          <w:tcPr>
            <w:tcW w:w="28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costs</w:t>
            </w:r>
          </w:p>
        </w:tc>
        <w:tc>
          <w:tcPr>
            <w:tcW w:w="2800" w:type="dxa"/>
            <w:vAlign w:val="bottom"/>
            <w:tcBorders>
              <w:right w:val="single" w:sz="8" w:color="CCEEFF"/>
            </w:tcBorders>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1,318</w:t>
            </w:r>
            <w:r>
              <w:rPr>
                <w:rFonts w:ascii="Times New Roman" w:cs="Times New Roman" w:eastAsia="Times New Roman" w:hAnsi="Times New Roman"/>
                <w:sz w:val="28"/>
                <w:szCs w:val="28"/>
                <w:color w:val="auto"/>
                <w:vertAlign w:val="subscript"/>
              </w:rPr>
              <w:t>​​</w:t>
            </w:r>
          </w:p>
        </w:tc>
        <w:tc>
          <w:tcPr>
            <w:tcW w:w="600" w:type="dxa"/>
            <w:vAlign w:val="bottom"/>
            <w:gridSpan w:val="3"/>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94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894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88632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were as follows (in thousands):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60" w:type="dxa"/>
            <w:vAlign w:val="bottom"/>
          </w:tcPr>
          <w:p>
            <w:pPr>
              <w:spacing w:after="0"/>
              <w:rPr>
                <w:sz w:val="14"/>
                <w:szCs w:val="14"/>
                <w:color w:val="auto"/>
              </w:rPr>
            </w:pPr>
          </w:p>
        </w:tc>
      </w:tr>
      <w:tr>
        <w:trPr>
          <w:trHeight w:val="214"/>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jc w:val="center"/>
              <w:ind w:righ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6120" w:type="dxa"/>
            <w:vAlign w:val="bottom"/>
            <w:shd w:val="clear" w:color="auto" w:fill="CCEEFF"/>
          </w:tcPr>
          <w:p>
            <w:pPr>
              <w:spacing w:after="0" w:line="20" w:lineRule="exact"/>
              <w:rPr>
                <w:sz w:val="1"/>
                <w:szCs w:val="1"/>
                <w:color w:val="auto"/>
              </w:rPr>
            </w:pPr>
          </w:p>
        </w:tc>
        <w:tc>
          <w:tcPr>
            <w:tcW w:w="84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included in the measurement of operating lease liabilities</w:t>
            </w:r>
          </w:p>
        </w:tc>
        <w:tc>
          <w:tcPr>
            <w:tcW w:w="2080" w:type="dxa"/>
            <w:vAlign w:val="bottom"/>
            <w:gridSpan w:val="5"/>
            <w:shd w:val="clear" w:color="auto" w:fill="CCEEFF"/>
          </w:tcPr>
          <w:p>
            <w:pPr>
              <w:ind w:left="68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xml:space="preserve">$426 </w:t>
            </w: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$1,350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84314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97"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Weighted-average remaining lease term and incremental borrowing rate for the operating leases were as follows:</w:t>
      </w:r>
    </w:p>
    <w:p>
      <w:pPr>
        <w:spacing w:after="0" w:line="36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60" w:type="dxa"/>
            <w:vAlign w:val="bottom"/>
          </w:tcPr>
          <w:p>
            <w:pPr>
              <w:spacing w:after="0"/>
              <w:rPr>
                <w:sz w:val="14"/>
                <w:szCs w:val="14"/>
                <w:color w:val="auto"/>
              </w:rPr>
            </w:pPr>
          </w:p>
        </w:tc>
      </w:tr>
      <w:tr>
        <w:trPr>
          <w:trHeight w:val="214"/>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CCEEFF"/>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5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9.3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5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-350520</wp:posOffset>
            </wp:positionV>
            <wp:extent cx="48006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83"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Future minimum lease payments under non-cancelable leases as of March 31, 2024, were as detailed below (in thousands):</w:t>
      </w:r>
    </w:p>
    <w:p>
      <w:pPr>
        <w:sectPr>
          <w:pgSz w:w="11900" w:h="16838" w:orient="portrait"/>
          <w:cols w:equalWidth="0" w:num="1">
            <w:col w:w="9879"/>
          </w:cols>
          <w:pgMar w:left="580" w:top="97" w:right="1440" w:bottom="1440" w:gutter="0" w:footer="0" w:header="0"/>
        </w:sectPr>
      </w:pP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2024​ (remainder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2026​</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2028​</w:t>
      </w:r>
    </w:p>
    <w:p>
      <w:pPr>
        <w:ind w:left="1260"/>
        <w:spacing w:after="0" w:line="190" w:lineRule="auto"/>
        <w:rPr>
          <w:sz w:val="20"/>
          <w:szCs w:val="20"/>
          <w:color w:val="auto"/>
        </w:rPr>
      </w:pPr>
      <w:r>
        <w:rPr>
          <w:rFonts w:ascii="Times New Roman" w:cs="Times New Roman" w:eastAsia="Times New Roman" w:hAnsi="Times New Roman"/>
          <w:sz w:val="18"/>
          <w:szCs w:val="18"/>
          <w:color w:val="auto"/>
        </w:rPr>
        <w:t>Thereafter</w:t>
      </w:r>
      <w:r>
        <w:rPr>
          <w:rFonts w:ascii="Times New Roman" w:cs="Times New Roman" w:eastAsia="Times New Roman" w:hAnsi="Times New Roman"/>
          <w:sz w:val="35"/>
          <w:szCs w:val="35"/>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1714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Total​ undiscounted lease payments</w:t>
      </w:r>
    </w:p>
    <w:p>
      <w:pPr>
        <w:ind w:left="1260"/>
        <w:spacing w:after="0" w:line="193" w:lineRule="auto"/>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1968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ind w:left="1260"/>
        <w:spacing w:after="0" w:line="185" w:lineRule="auto"/>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operating lease liabilities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tab/>
        <w:t>3,919​</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4,962​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5,128​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5,299​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5,477​</w:t>
      </w:r>
    </w:p>
    <w:p>
      <w:pPr>
        <w:spacing w:after="0" w:line="19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27,526</w:t>
      </w:r>
      <w:r>
        <w:rPr>
          <w:rFonts w:ascii="Times New Roman" w:cs="Times New Roman" w:eastAsia="Times New Roman" w:hAnsi="Times New Roman"/>
          <w:sz w:val="35"/>
          <w:szCs w:val="35"/>
          <w:color w:val="auto"/>
          <w:vertAlign w:val="subscript"/>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52,311​</w:t>
      </w:r>
    </w:p>
    <w:p>
      <w:pPr>
        <w:ind w:left="120" w:hanging="115"/>
        <w:spacing w:after="0" w:line="188" w:lineRule="auto"/>
        <w:tabs>
          <w:tab w:leader="none" w:pos="120" w:val="left"/>
        </w:tabs>
        <w:numPr>
          <w:ilvl w:val="0"/>
          <w:numId w:val="147"/>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​(20,235</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p>
      <w:pPr>
        <w:ind w:left="120" w:hanging="115"/>
        <w:spacing w:after="0" w:line="180" w:lineRule="auto"/>
        <w:tabs>
          <w:tab w:leader="none" w:pos="120" w:val="left"/>
        </w:tabs>
        <w:numPr>
          <w:ilvl w:val="0"/>
          <w:numId w:val="147"/>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$ 32,076</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7920" w:space="720"/>
            <w:col w:w="1239"/>
          </w:cols>
          <w:pgMar w:left="580" w:top="97" w:right="1440" w:bottom="1440" w:gutter="0" w:footer="0" w:header="0"/>
          <w:type w:val="continuous"/>
        </w:sectPr>
      </w:pP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FronThera Contingent Consideration</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March, 2021, the Company entered into a stock purchase agreement to acquire FronThera U.S. Holdings, Inc. and its wholly owned subsidiary, FronThera U.S. Pharmaceuticals LLC., and the transaction was accounted for as an asset acquisition. Under the stock purchase agreement, the Company is obligated to pay contingent consideration of up to an aggregate of $120.0 million based on the achievement of specified clinical and approval milestones, for up to an aggregate of $70.0 million payable for clinical milestones, and for up to an aggregate of $50.0 million payable for approval milestones, all related to technology acquired under the agreement. The Company incurred and paid a $37.0 million milestone in 2022 for the first administration of</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3" w:name="page254"/>
    <w:bookmarkEnd w:id="2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Commitments and Contingent Liabilities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FronThera Contingent Consideration (Continued)</w:t>
      </w:r>
    </w:p>
    <w:p>
      <w:pPr>
        <w:spacing w:after="0" w:line="22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ESK-001 to a patient enrolled in a Phase 2 clinical trial of ESK-001, which was recorded as research and development expense in the consolidated statement of operations and comprehensive loss for the year ended December 31, 2022. The Company will be obligated to pay a $23.0 million milestone payment in connection with the first administration of ESK-001 to a patient enrolled in a Phase 3 clinical trial of ESK-001. No remaining milestones were achieved or probable as of December 31, 2023 and March 31, 2024.</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Agreements</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Company enters into various agreements in the ordinary course of business, such as those with suppliers, CROs, CMOs and clinical trial sites. These agreements provide for termination at the request of either party, generally with less than one-year notice and are, therefore, cancellable contracts and, if cancelled, are not anticipated to have a material effect on the Company’s condensed consolidated financial condition, results of operations, or cash flows.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Management is currently not aware of any legal matters that could have a material adverse effect on the Company’s financial position, results of operations or cash flows.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Its exposure under these agreements is unknown because it involves claims that may be made against the Company in the future. To the extent permitted under Delaware law, the Company has agreed to indemnify its directors and officers for certain events or occurrences while the director or officer is, or was serving, at a request in such capacity. To date, the Company has not paid any claims or been required to defend any action related to its indemnification obligations. As of December 31, 2023 and March 31, 2024, the Company did not have any material indemnification claims that were probable or reasonably possible and consequently has not recorded related liabilities.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March 2024, the Company issued and sold an aggregate of 41,264,891 shares of Series C redeemable convertible preferred stock for gross cash proceeds of $129.5 million and incurred $0.4 million of issuance costs. The purchase price for Series C redeemable convertible preferred stock was $3.13826 per share. Under the Series C stock purchase agreement, any time prior to the earliest of (i) December 31, 2024, (ii) the execution of a letter of intent for the sale of the Company, or (iii) the closing date of the Company’s initial public offering, at the discretion of the Company’s board of directors, the Company is obligated to sell and each Series C purchaser is obligated to purchase additional shares of Series C redeemable convertible preferred stock with the amount equal to the purchaser’s aggregate purchase price in the first tranche Series C closing less any previous payments by the purchaser as part of the Put Right (as defined below) exercise. If the purchaser does not purchase its full share in the Second Tranche Series C Closing, all of its existing shares of Series C redeemable convertible stock and Series C-1 redeemable convertible preferred stock convert into common stock at a 10 -to-1 basis. Additionally, a purchaser has a right to purchase shares of Series C-1 redeemable convertible preferred stock at a purchase price of $4.00 per share beginning from the earlier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4" w:name="page255"/>
    <w:bookmarkEnd w:id="2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 (Continued)</w:t>
      </w:r>
    </w:p>
    <w:p>
      <w:pPr>
        <w:spacing w:after="0" w:line="229" w:lineRule="exact"/>
        <w:rPr>
          <w:sz w:val="20"/>
          <w:szCs w:val="20"/>
          <w:color w:val="auto"/>
        </w:rPr>
      </w:pPr>
    </w:p>
    <w:p>
      <w:pPr>
        <w:jc w:val="both"/>
        <w:ind w:left="1260" w:right="1260"/>
        <w:spacing w:after="0" w:line="256" w:lineRule="auto"/>
        <w:tabs>
          <w:tab w:leader="none" w:pos="153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4, 2024 or (b) the date of a significant partnering or collaboration agreement and expiring upon the earlier of (a) December 31, 2024, (b) the public filing of a registration statement on Form S-1 for the initial public offering, (c) the Second Tranche Series C Closing and (d) the execution of a letter of intent for the sale of the Company (the “Put Right”). The Put Right can only be exercised once. The Company determined that the Second Tranche Series C Closing and the Put Right are two freestanding financial instruments and estimated their fair value of $8.9 million at the issuance date.</w:t>
      </w:r>
    </w:p>
    <w:p>
      <w:pPr>
        <w:spacing w:after="0" w:line="120" w:lineRule="exact"/>
        <w:rPr>
          <w:sz w:val="20"/>
          <w:szCs w:val="20"/>
          <w:color w:val="auto"/>
        </w:rPr>
      </w:pPr>
    </w:p>
    <w:p>
      <w:pPr>
        <w:jc w:val="both"/>
        <w:ind w:left="1260" w:right="1260"/>
        <w:spacing w:after="0" w:line="261" w:lineRule="auto"/>
        <w:rPr>
          <w:sz w:val="20"/>
          <w:szCs w:val="20"/>
          <w:color w:val="auto"/>
        </w:rPr>
      </w:pPr>
      <w:r>
        <w:rPr>
          <w:rFonts w:ascii="Times New Roman" w:cs="Times New Roman" w:eastAsia="Times New Roman" w:hAnsi="Times New Roman"/>
          <w:sz w:val="18"/>
          <w:szCs w:val="18"/>
          <w:color w:val="auto"/>
        </w:rPr>
        <w:t>The Series Seed and Series A redeemable convertible preferred stock are collectively referred to as the “Junior Redeemable Convertible Preferred Stock”. The Series B, Series B-1, Series B-2, Series B-2A, Series C and Series C-1 redeemable convertible preferred stock are collectively referred to as the “Senior Redeemable Convertible Preferred Stock”.</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Company’s redeemable convertible preferred stock as of each period, consisted of the following:</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7"/>
              </w:rPr>
              <w:t>Shares Issued</w:t>
            </w:r>
          </w:p>
        </w:tc>
        <w:tc>
          <w:tcPr>
            <w:tcW w:w="24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960" w:type="dxa"/>
            <w:vAlign w:val="bottom"/>
            <w:gridSpan w:val="4"/>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8"/>
              </w:rPr>
              <w:t>Liquidation</w:t>
            </w:r>
          </w:p>
        </w:tc>
        <w:tc>
          <w:tcPr>
            <w:tcW w:w="22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214"/>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Authorized</w:t>
            </w:r>
          </w:p>
        </w:tc>
        <w:tc>
          <w:tcPr>
            <w:tcW w:w="10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Outstanding</w:t>
            </w:r>
          </w:p>
        </w:tc>
        <w:tc>
          <w:tcPr>
            <w:tcW w:w="960" w:type="dxa"/>
            <w:vAlign w:val="bottom"/>
            <w:gridSpan w:val="4"/>
          </w:tcPr>
          <w:p>
            <w:pPr>
              <w:jc w:val="right"/>
              <w:ind w:righ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Preference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 except share amounts)</w:t>
            </w: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Seed redeemable convertible preferred stock</w:t>
            </w: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​​10,500,000​​ ​​10,500,000​​ ​​$</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120" w:type="dxa"/>
            <w:vAlign w:val="bottom"/>
            <w:tcBorders>
              <w:left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 redeemable convertible preferred stock</w:t>
            </w:r>
          </w:p>
        </w:tc>
        <w:tc>
          <w:tcPr>
            <w:tcW w:w="4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7,500,000​​ ​​ 7,500,000​​ ​​ ​ 30,000​​ ​</w:t>
            </w:r>
          </w:p>
        </w:tc>
        <w:tc>
          <w:tcPr>
            <w:tcW w:w="6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29,972 </w:t>
            </w:r>
            <w:r>
              <w:rPr>
                <w:rFonts w:ascii="Times New Roman" w:cs="Times New Roman" w:eastAsia="Times New Roman" w:hAnsi="Times New Roman"/>
                <w:sz w:val="18"/>
                <w:szCs w:val="18"/>
                <w:b w:val="1"/>
                <w:bCs w:val="1"/>
                <w:color w:val="auto"/>
              </w:rPr>
              <w:t>​</w:t>
            </w:r>
          </w:p>
        </w:tc>
      </w:tr>
      <w:tr>
        <w:trPr>
          <w:trHeight w:val="25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 redeemable convertible preferred stock</w:t>
            </w: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​​40,200,000​​ ​​40,200,000​​ ​​ ​201,000​​ ​</w:t>
            </w:r>
          </w:p>
        </w:tc>
        <w:tc>
          <w:tcPr>
            <w:tcW w:w="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​200,711</w:t>
            </w:r>
          </w:p>
        </w:tc>
        <w:tc>
          <w:tcPr>
            <w:tcW w:w="120" w:type="dxa"/>
            <w:vAlign w:val="bottom"/>
            <w:tcBorders>
              <w:left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B-1 redeemable convertible preferred stock</w:t>
            </w:r>
          </w:p>
        </w:tc>
        <w:tc>
          <w:tcPr>
            <w:tcW w:w="4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9,760,088​​ ​​ 9,760,088​​ ​​ ​ 39,040​​ ​</w:t>
            </w:r>
          </w:p>
        </w:tc>
        <w:tc>
          <w:tcPr>
            <w:tcW w:w="60" w:type="dxa"/>
            <w:vAlign w:val="bottom"/>
          </w:tcPr>
          <w:p>
            <w:pPr>
              <w:spacing w:after="0"/>
              <w:rPr>
                <w:sz w:val="22"/>
                <w:szCs w:val="22"/>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44,310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B-2 redeemable convertible preferred stock</w:t>
            </w: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 ​​16,221,170​​ ​​ ​ 81,106​​ ​</w:t>
            </w:r>
          </w:p>
        </w:tc>
        <w:tc>
          <w:tcPr>
            <w:tcW w:w="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80,969</w:t>
            </w:r>
          </w:p>
        </w:tc>
        <w:tc>
          <w:tcPr>
            <w:tcW w:w="120" w:type="dxa"/>
            <w:vAlign w:val="bottom"/>
            <w:tcBorders>
              <w:left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B-2A redeemable convertible preferred stock</w:t>
            </w:r>
          </w:p>
        </w:tc>
        <w:tc>
          <w:tcPr>
            <w:tcW w:w="40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6"/>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3,056,490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1,778,830</w:t>
            </w: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w:t>
            </w:r>
          </w:p>
        </w:tc>
        <w:tc>
          <w:tcPr>
            <w:tcW w:w="76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8,894</w:t>
            </w:r>
            <w:r>
              <w:rPr>
                <w:rFonts w:ascii="Times New Roman" w:cs="Times New Roman" w:eastAsia="Times New Roman" w:hAnsi="Times New Roman"/>
                <w:sz w:val="31"/>
                <w:szCs w:val="31"/>
                <w:color w:val="auto"/>
                <w:vertAlign w:val="subscript"/>
              </w:rPr>
              <w:t>​​ ​</w:t>
            </w:r>
          </w:p>
        </w:tc>
        <w:tc>
          <w:tcPr>
            <w:tcW w:w="60" w:type="dxa"/>
            <w:vAlign w:val="bottom"/>
          </w:tcPr>
          <w:p>
            <w:pPr>
              <w:spacing w:after="0"/>
              <w:rPr>
                <w:sz w:val="23"/>
                <w:szCs w:val="23"/>
                <w:color w:val="auto"/>
              </w:rPr>
            </w:pPr>
          </w:p>
        </w:tc>
        <w:tc>
          <w:tcPr>
            <w:tcW w:w="1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-1156335</wp:posOffset>
            </wp:positionV>
            <wp:extent cx="13716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-1156335</wp:posOffset>
            </wp:positionV>
            <wp:extent cx="1371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-1156335</wp:posOffset>
            </wp:positionV>
            <wp:extent cx="13716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60" w:type="dxa"/>
            <w:vAlign w:val="bottom"/>
            <w:gridSpan w:val="9"/>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​89,016,578</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​85,960,088</w:t>
            </w:r>
            <w:r>
              <w:rPr>
                <w:rFonts w:ascii="Times New Roman" w:cs="Times New Roman" w:eastAsia="Times New Roman" w:hAnsi="Times New Roman"/>
                <w:sz w:val="28"/>
                <w:szCs w:val="28"/>
                <w:color w:val="auto"/>
                <w:vertAlign w:val="subscript"/>
              </w:rPr>
              <w:t>​​</w:t>
            </w:r>
          </w:p>
        </w:tc>
        <w:tc>
          <w:tcPr>
            <w:tcW w:w="104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370,540</w:t>
            </w:r>
            <w:r>
              <w:rPr>
                <w:rFonts w:ascii="Times New Roman" w:cs="Times New Roman" w:eastAsia="Times New Roman" w:hAnsi="Times New Roman"/>
                <w:sz w:val="28"/>
                <w:szCs w:val="28"/>
                <w:color w:val="auto"/>
                <w:vertAlign w:val="subscript"/>
              </w:rPr>
              <w:t>​​ ​</w:t>
            </w:r>
          </w:p>
        </w:tc>
        <w:tc>
          <w:tcPr>
            <w:tcW w:w="2080" w:type="dxa"/>
            <w:vAlign w:val="bottom"/>
            <w:gridSpan w:val="4"/>
          </w:tcPr>
          <w:p>
            <w:pPr>
              <w:jc w:val="right"/>
              <w:ind w:right="1117"/>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375,370 </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3"/>
        </w:trPr>
        <w:tc>
          <w:tcPr>
            <w:tcW w:w="12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2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Shares Issued</w:t>
            </w:r>
          </w:p>
        </w:tc>
        <w:tc>
          <w:tcPr>
            <w:tcW w:w="100" w:type="dxa"/>
            <w:vAlign w:val="bottom"/>
          </w:tcPr>
          <w:p>
            <w:pPr>
              <w:spacing w:after="0"/>
              <w:rPr>
                <w:sz w:val="14"/>
                <w:szCs w:val="14"/>
                <w:color w:val="auto"/>
              </w:rPr>
            </w:pPr>
          </w:p>
        </w:tc>
        <w:tc>
          <w:tcPr>
            <w:tcW w:w="7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820" w:type="dxa"/>
            <w:vAlign w:val="bottom"/>
            <w:gridSpan w:val="5"/>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Liquidation</w:t>
            </w: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Net Carrying</w:t>
            </w: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5"/>
          </w:tcPr>
          <w:p>
            <w:pPr>
              <w:ind w:lef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Authorized  </w:t>
            </w:r>
            <w:r>
              <w:rPr>
                <w:rFonts w:ascii="Times New Roman" w:cs="Times New Roman" w:eastAsia="Times New Roman" w:hAnsi="Times New Roman"/>
                <w:sz w:val="24"/>
                <w:szCs w:val="24"/>
                <w:b w:val="1"/>
                <w:bCs w:val="1"/>
                <w:color w:val="auto"/>
                <w:vertAlign w:val="subscript"/>
              </w:rPr>
              <w:t>​ ​</w:t>
            </w:r>
          </w:p>
        </w:tc>
        <w:tc>
          <w:tcPr>
            <w:tcW w:w="98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Outstanding  </w:t>
            </w:r>
            <w:r>
              <w:rPr>
                <w:rFonts w:ascii="Times New Roman" w:cs="Times New Roman" w:eastAsia="Times New Roman" w:hAnsi="Times New Roman"/>
                <w:sz w:val="24"/>
                <w:szCs w:val="24"/>
                <w:b w:val="1"/>
                <w:bCs w:val="1"/>
                <w:color w:val="auto"/>
                <w:vertAlign w:val="subscript"/>
              </w:rPr>
              <w:t>​</w:t>
            </w:r>
          </w:p>
        </w:tc>
        <w:tc>
          <w:tcPr>
            <w:tcW w:w="820" w:type="dxa"/>
            <w:vAlign w:val="bottom"/>
            <w:gridSpan w:val="5"/>
          </w:tcPr>
          <w:p>
            <w:pPr>
              <w:jc w:val="right"/>
              <w:ind w:righ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Preference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6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12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 except share amounts)</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6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1260" w:type="dxa"/>
            <w:vAlign w:val="bottom"/>
          </w:tcPr>
          <w:p>
            <w:pPr>
              <w:spacing w:after="0"/>
              <w:rPr>
                <w:sz w:val="22"/>
                <w:szCs w:val="22"/>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Seed redeemable convertible preferred stock</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10,500,000​​ ​​</w:t>
            </w:r>
          </w:p>
        </w:tc>
        <w:tc>
          <w:tcPr>
            <w:tcW w:w="2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10,500,000​​ ​​$</w:t>
            </w:r>
          </w:p>
        </w:tc>
        <w:tc>
          <w:tcPr>
            <w:tcW w:w="1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10,480</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 redeemable convertible preferred stock</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7,500,000​​ ​​</w:t>
            </w:r>
          </w:p>
        </w:tc>
        <w:tc>
          <w:tcPr>
            <w:tcW w:w="20" w:type="dxa"/>
            <w:vAlign w:val="bottom"/>
          </w:tcPr>
          <w:p>
            <w:pPr>
              <w:spacing w:after="0"/>
              <w:rPr>
                <w:sz w:val="22"/>
                <w:szCs w:val="22"/>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7,500,000​​ ​​</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30,000​​ ​</w:t>
            </w:r>
          </w:p>
        </w:tc>
        <w:tc>
          <w:tcPr>
            <w:tcW w:w="2080" w:type="dxa"/>
            <w:vAlign w:val="bottom"/>
            <w:gridSpan w:val="4"/>
          </w:tcPr>
          <w:p>
            <w:pPr>
              <w:jc w:val="right"/>
              <w:ind w:right="1117"/>
              <w:spacing w:after="0"/>
              <w:rPr>
                <w:sz w:val="20"/>
                <w:szCs w:val="20"/>
                <w:color w:val="auto"/>
              </w:rPr>
            </w:pPr>
            <w:r>
              <w:rPr>
                <w:rFonts w:ascii="Times New Roman" w:cs="Times New Roman" w:eastAsia="Times New Roman" w:hAnsi="Times New Roman"/>
                <w:sz w:val="18"/>
                <w:szCs w:val="18"/>
                <w:color w:val="auto"/>
              </w:rPr>
              <w:t xml:space="preserve">​ ​ 29,972 </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 redeemable convertible preferred stock</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40,200,000​​ ​​</w:t>
            </w:r>
          </w:p>
        </w:tc>
        <w:tc>
          <w:tcPr>
            <w:tcW w:w="2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40,200,000​​ ​​</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​201,000​​ ​</w:t>
            </w:r>
          </w:p>
        </w:tc>
        <w:tc>
          <w:tcPr>
            <w:tcW w:w="8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​200,711</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B-1 redeemable convertible preferred stock</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9,760,088​​ ​​</w:t>
            </w:r>
          </w:p>
        </w:tc>
        <w:tc>
          <w:tcPr>
            <w:tcW w:w="20" w:type="dxa"/>
            <w:vAlign w:val="bottom"/>
          </w:tcPr>
          <w:p>
            <w:pPr>
              <w:spacing w:after="0"/>
              <w:rPr>
                <w:sz w:val="22"/>
                <w:szCs w:val="22"/>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9,760,088​​ ​​</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39,040​​ ​</w:t>
            </w:r>
          </w:p>
        </w:tc>
        <w:tc>
          <w:tcPr>
            <w:tcW w:w="2080" w:type="dxa"/>
            <w:vAlign w:val="bottom"/>
            <w:gridSpan w:val="4"/>
          </w:tcPr>
          <w:p>
            <w:pPr>
              <w:jc w:val="right"/>
              <w:ind w:right="1117"/>
              <w:spacing w:after="0"/>
              <w:rPr>
                <w:sz w:val="20"/>
                <w:szCs w:val="20"/>
                <w:color w:val="auto"/>
              </w:rPr>
            </w:pPr>
            <w:r>
              <w:rPr>
                <w:rFonts w:ascii="Times New Roman" w:cs="Times New Roman" w:eastAsia="Times New Roman" w:hAnsi="Times New Roman"/>
                <w:sz w:val="18"/>
                <w:szCs w:val="18"/>
                <w:color w:val="auto"/>
              </w:rPr>
              <w:t xml:space="preserve">​ ​ 44,310 </w:t>
            </w: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B-2 redeemable convertible preferred stock</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18,000,000​​ ​​</w:t>
            </w:r>
          </w:p>
        </w:tc>
        <w:tc>
          <w:tcPr>
            <w:tcW w:w="2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16,221,170​​ ​​</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81,106​​ ​</w:t>
            </w:r>
          </w:p>
        </w:tc>
        <w:tc>
          <w:tcPr>
            <w:tcW w:w="8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80,969</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B-2A redeemable convertible preferred stock</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1,778,830​​ ​​</w:t>
            </w:r>
          </w:p>
        </w:tc>
        <w:tc>
          <w:tcPr>
            <w:tcW w:w="20" w:type="dxa"/>
            <w:vAlign w:val="bottom"/>
          </w:tcPr>
          <w:p>
            <w:pPr>
              <w:spacing w:after="0"/>
              <w:rPr>
                <w:sz w:val="22"/>
                <w:szCs w:val="22"/>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1,778,830​​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8,894​​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gridSpan w:val="2"/>
          </w:tcPr>
          <w:p>
            <w:pPr>
              <w:jc w:val="right"/>
              <w:ind w:right="1117"/>
              <w:spacing w:after="0"/>
              <w:rPr>
                <w:sz w:val="20"/>
                <w:szCs w:val="20"/>
                <w:color w:val="auto"/>
              </w:rPr>
            </w:pPr>
            <w:r>
              <w:rPr>
                <w:rFonts w:ascii="Times New Roman" w:cs="Times New Roman" w:eastAsia="Times New Roman" w:hAnsi="Times New Roman"/>
                <w:sz w:val="18"/>
                <w:szCs w:val="18"/>
                <w:color w:val="auto"/>
              </w:rPr>
              <w:t xml:space="preserve">8,928 </w:t>
            </w: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redeemable convertible preferred stock</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82,529,809​​ ​​</w:t>
            </w:r>
          </w:p>
        </w:tc>
        <w:tc>
          <w:tcPr>
            <w:tcW w:w="2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41,264,891​​ ​​</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​129,500​​ ​</w:t>
            </w:r>
          </w:p>
        </w:tc>
        <w:tc>
          <w:tcPr>
            <w:tcW w:w="8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​120,205</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C-1 redeemable convertible preferred stock</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7"/>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32,375,000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11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p>
        </w:tc>
        <w:tc>
          <w:tcPr>
            <w:tcW w:w="240" w:type="dxa"/>
            <w:vAlign w:val="bottom"/>
            <w:gridSpan w:val="2"/>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840" w:type="dxa"/>
            <w:vAlign w:val="bottom"/>
            <w:gridSpan w:val="2"/>
          </w:tcPr>
          <w:p>
            <w:pPr>
              <w:jc w:val="right"/>
              <w:ind w:right="1117"/>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84"/>
        </w:trPr>
        <w:tc>
          <w:tcPr>
            <w:tcW w:w="1260" w:type="dxa"/>
            <w:vAlign w:val="bottom"/>
          </w:tcPr>
          <w:p>
            <w:pPr>
              <w:spacing w:after="0"/>
              <w:rPr>
                <w:sz w:val="24"/>
                <w:szCs w:val="2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3720" w:type="dxa"/>
            <w:vAlign w:val="bottom"/>
            <w:gridSpan w:val="17"/>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​202,643,727</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​127,224,979</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500,040</w:t>
            </w:r>
            <w:r>
              <w:rPr>
                <w:rFonts w:ascii="Times New Roman" w:cs="Times New Roman" w:eastAsia="Times New Roman" w:hAnsi="Times New Roman"/>
                <w:sz w:val="28"/>
                <w:szCs w:val="28"/>
                <w:color w:val="auto"/>
                <w:vertAlign w:val="subscript"/>
              </w:rPr>
              <w:t>​​ ​</w:t>
            </w:r>
          </w:p>
        </w:tc>
        <w:tc>
          <w:tcPr>
            <w:tcW w:w="820" w:type="dxa"/>
            <w:vAlign w:val="bottom"/>
            <w:tcBorders>
              <w:right w:val="single" w:sz="8" w:color="CCEEFF"/>
            </w:tcBorders>
            <w:gridSpan w:val="3"/>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495,575</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743"/>
        </w:trPr>
        <w:tc>
          <w:tcPr>
            <w:tcW w:w="1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F-48</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5969000</wp:posOffset>
            </wp:positionH>
            <wp:positionV relativeFrom="paragraph">
              <wp:posOffset>-967740</wp:posOffset>
            </wp:positionV>
            <wp:extent cx="431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-967740</wp:posOffset>
            </wp:positionV>
            <wp:extent cx="19685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-967740</wp:posOffset>
            </wp:positionV>
            <wp:extent cx="14541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-967740</wp:posOffset>
            </wp:positionV>
            <wp:extent cx="336867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368675"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-2442210</wp:posOffset>
            </wp:positionV>
            <wp:extent cx="1371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-2442210</wp:posOffset>
            </wp:positionV>
            <wp:extent cx="13716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-2442210</wp:posOffset>
            </wp:positionV>
            <wp:extent cx="13716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55" w:name="page256"/>
    <w:bookmarkEnd w:id="2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 (Continued)</w:t>
      </w:r>
    </w:p>
    <w:p>
      <w:pPr>
        <w:spacing w:after="0" w:line="22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significant rights and obligations of the Company’s redeemable convertible preferred stock are as follows:</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the Company, or a deemed liquidation event, including a merger or consolidation, or a sale or other disposition of all or substantially all of the Company’s assets, the holders of shares of the Senior Redeemable Convertible Preferred Stock are entitled to receive, before any payments are made to the holders of the Junior Redeemable Convertible Preferred Stock and holders of common stock, an amount per share equal to the greater of (i) the Series B, Series B-1, Series B- 2, Series B -2A, Series C and Series C-1 original issuance price of $5.00, $4.00, $ 5.00, $5.00, $3.13826 and $4.00, respectively, plus any dividends declared but unpaid, or (ii) such amount per share as would have been payable had all shares of the applicable series of Senior Redeemable Convertible Preferred Stock been converted into common stock immediately prior to such liquidation, dissolution, winding up or deemed liquidation. If the proceeds are insufficient to pay the holders of shares of Senior Redeemable Convertible Preferred Stock their full liquidation preference, then the proceeds available for distribution are payable ratably among the holders of the Senior Redeemable Convertible Preferred Stock in proportion to the full preferential amount that each such holder is entitled to receive.</w:t>
      </w:r>
    </w:p>
    <w:p>
      <w:pPr>
        <w:spacing w:after="0" w:line="12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After the distributions to the holders of the Senior Redeemable Convertible Preferred Stock have been paid in full, the holder of shares of Junior Redeemable Convertible Preferred Stock will be entitled to receive, prior to and in preference to any distributions of the assets of the Company to the holders of common stock, an amount equal to the greater of (i) the Series Seed and Series A original issuance price of $1.00 and $4.00, respectively, plus any dividends declared but unpaid, or (ii) such amount per share as would have been payable had all shares of such series of Junior Redeemable Convertible Preferred Stock been converted into common stock immediately prior to such liquidation, dissolution, winding up or deemed liquidation. If the proceeds are insufficient to pay the holder of share of Junior Redeemable Convertible Preferred Stock their full liquidation preference, then the proceeds available for distribution are payable ratably among the holders of the Junior Redeemable Convertible Preferred Stock in proportion to the full preferential amount that each such holder is entitled to receive.</w:t>
      </w:r>
    </w:p>
    <w:p>
      <w:pPr>
        <w:spacing w:after="0" w:line="32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After the distributions described above have been paid in full, the remaining assets of the Company available for distribution to its stockholders will be distributed among the holders of shares of common stock, pro rata based on the number of shares held by each such holder.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Each share of Series B-2 redeemable convertible preferred stock is convertible at the option of a holder into one share of Series B-2A redeemable convertible preferred stock.</w:t>
      </w:r>
    </w:p>
    <w:p>
      <w:pPr>
        <w:spacing w:after="0" w:line="9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Each share of Series B-2A redeemable convertible preferred stock is convertible at the option of a holder into one share of Series B-2 redeemable convertible preferred stock.</w:t>
      </w:r>
    </w:p>
    <w:p>
      <w:pPr>
        <w:spacing w:after="0" w:line="95"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Each share of redeemable convertible preferred stock is convertible at the option of a holder into shares of Class A common stock or Class B common stock at a conversion rate, which is the redeemable convertible preferred stock original issuance price per share divided by the conversion price in effect at the time of conversion. No shares of Series C and Series C-1 redeemable convertible preferred stock may be converted into shares of common stock at any time during the period commencing on March 4, 2024 and ending on the first to occur of (i) the Second Tranche Series C Closing, (ii) the day after December 31, 2024, (iii) a termination event as specified in the Series C stock purchase agreement and (iv) such other time as determined by the board of directors in its good faith judgment. The conversion price is initially equal to the redeemable convertible preferred stock original issuance price, and is subject to adjustments for recapitalization, dilutive issuances, stock dividends, stock splits, and other distributions. No adjustment in the conversion price of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6" w:name="page257"/>
    <w:bookmarkEnd w:id="2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 (Continued)</w:t>
      </w:r>
    </w:p>
    <w:p>
      <w:pPr>
        <w:spacing w:after="0" w:line="22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series of redeemable convertible preferred stock will be made as the result of the issuance or deemed issuance of additional shares of common stock if the Company receives written notice from a majority of the then outstanding shares of such series of redeemable convertible preferred stock agreeing that no such adjustment will be made as the result of the issuance or deemed issuance of such additional shares of common stock. As of December 31, 2023 and March 31, 2024, the conversion rate was one-for-one.</w:t>
      </w:r>
    </w:p>
    <w:p>
      <w:pPr>
        <w:spacing w:after="0" w:line="11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All outstanding shares of redeemable convertible preferred stock are automatically converted into shares of Class A common stock, provided that, a holder of shares of redeemable convertible preferred stock may elect, upon written notice to the Company at least seven days prior to a qualified public offering, to have all or a portion of its shares of redeemable convertible preferred stock automatically convert into shares of Class B common stock at the then effective conversion rate, upon the earlier of: (i) the closing of the sale of shares of common stock to the public at a price of at least $3.76591, in a firm-commitment underwritten public offering pursuant to an effective registration statement under the Securities Act of 1933, as amended, resulting in at least $75.0 million of proceeds to the Company, net of underwriting discount and commissions, and in connection with such offering the common stock is listed for trading on the Nasdaq Stock Market’s National Market, the New York Stock Exchange or another exchange or marketplace approved by the board of directors, or (ii) the date and time, or the occurrence of an event, specified by a vote or a written consent of (a) the holders of a majority of outstanding shares of redeemable convertible preferred stock, voting together as a single class and on an as-converted basis, and (b) the holders of a majority of Series C and Series C-1 redeemable convertible preferred stock, voting together as a single class and on an as-converted basis.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Company cannot declare, pay or set aside any dividends on shares of any other class or series of capital stock of the Company (other than dividends on shares of common stock payable in shares of common stock), unless the holders of the redeemable convertible preferred stock then outstanding will first receive, or simultaneously receive, a dividend on each outstanding share of redeemable convertible preferred stock in an amount at least equal to (i) in the case of a dividend on common stock or any class or series that is convertible into common stock, the product of (a) the dividend payable on each share of such series determined as if all shares of such series had been converted into common stock and (b) the number of shares of common stock issuable upon conversion of a share of redeemable convertible preferred stock, calculated on the record date for determination of holders entitled to receive such dividend or (ii) in the case of a dividend on any class or series that is not convertible into common stock, at a rate per share of redeemable convertible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If the Company declares, pays or sets aside, on the same date, a dividend on shares of more than one class or series of capital stock of the Company, the dividend payable to the holders of redeemable convertible preferred stock will be calculated based upon the dividend on the class or series of capital stock that would result in the highest redeemable convertible preferred stock dividend. No dividends were declared and paid or payable for the year ended December 31, 2023 and for the three months ended March 31, 2024.</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Each holder of outstanding shares of redeemable convertible preferred stock is entitled to cast the number of votes equal to the number of whole shares of common stock into which the shares of redeemable convertible preferred stock held by such holder are convertible. Holders of redeemable convertible preferred stock vote together with the holders of common stock as a single class and on an as-converted to common stock basis.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7" w:name="page258"/>
    <w:bookmarkEnd w:id="2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 (Continued)</w:t>
      </w:r>
    </w:p>
    <w:p>
      <w:pPr>
        <w:spacing w:after="0" w:line="22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Holders of Series B-2A redeemable convertible preferred stock have no voting rights for election of directors or for the size of the board.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At any time when at least 1,875,000 shares of Series A redeemable convertible preferred stock are outstanding, the holders of the shares of Series A redeemable convertible preferred stock, voting as a separate class on an as-converted to common stock basis, are entitled to elect one director of the Company.</w:t>
      </w:r>
    </w:p>
    <w:p>
      <w:pPr>
        <w:spacing w:after="0" w:line="10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At any time when at least 10,050,000 shares of Series B, Series B-1 and Series B-2 redeemable convertible preferred stock are outstanding, the holders of the shares of Series B, Series B -1 and Series B-2 redeemable convertible preferred stock, voting as a separate class on an as-converted to common stock basis, are entitled to elect two directors of the Company.</w:t>
      </w:r>
    </w:p>
    <w:p>
      <w:pPr>
        <w:spacing w:after="0" w:line="11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At any time when at least 10,316,222 shares of Series C and Series C-1 redeemable convertible preferred stock are outstanding, the holders of the shares of Series C and Series C-1 redeemable convertible preferred stock, voting as a separate class on an as-converted to common stock basis, are entitled to elect two directors of the Company.</w:t>
      </w:r>
    </w:p>
    <w:p>
      <w:pPr>
        <w:spacing w:after="0" w:line="11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holders of the shares of common stock, voting as a separate class, are entitled to elect one director of the Company.</w:t>
      </w:r>
    </w:p>
    <w:p>
      <w:pPr>
        <w:spacing w:after="0" w:line="8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holders of common stock and voting redeemable convertible preferred stock, voting together as a single class on an as-converted basis, are entitled to elect all remaining members of the board of directors, if 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62"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The redeemable convertible preferred stock is recorded in mezzanine equity because while it is not mandatorily redeemable, it will become redeemable at the option of the preferred stockholders upon the occurrence of certain deemed liquidation events that are considered not solely within the Company’s control.</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As of March 31, 2024, the Company was authorized to issue 225,000,000 shares of Class A common stock and 168,489,897 shares of Class B common stock, both with par values of $0.0001 per share (Class A common stock and Class B common stock, collectively referred to as “common stock”). As of December 31, 2023 and March 31, 2024, there were no shares of Class B common stock outstanding.</w:t>
      </w:r>
    </w:p>
    <w:p>
      <w:pPr>
        <w:spacing w:after="0" w:line="11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rights, powers and preferences of the holders of the Class A common stock and Class B common stock are subject to and qualified by the rights, powers and preferences of the holders of the redeemable convertible preferred stock. The holders of Class A and Class B common stock have the same rights except that Class B common stock do not have voting rights, except as may be required by law. Each holder of Class B common stock has a right to convert each share of Class B common stock to one share of Class A common stock. The Company cannot issue shares of Class B common stock other than upon conversion of redeemable convertible preferred stock. At any time following the Company’s registration of any class of equity securities under the Securities Exchange Act of 1934, as amended (the “Exchange Act”), the holders of shares of Class B common stock may not convert a number of shares of Class B common stock into shares of Class A common stock in excess of that number of shares of Class B common stock which would cause the holder thereof to beneficially own (for purposes of Section 13(d) of the Exchange Act), in excess of 4.99% of the total number of issued and outstanding shares of Class A common stock (including shares of Class A common stock issuable upon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8" w:name="page259"/>
    <w:bookmarkEnd w:id="2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Common Stock (Continued)</w:t>
      </w:r>
    </w:p>
    <w:p>
      <w:pPr>
        <w:spacing w:after="0" w:line="22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conversion of the redeemable convertible preferred stock). Such maximum percentage may be increased or decreased to such other percentage as any holder of outstanding shares of Class B common stock may designate in writing upon 61 days’ prior written notice.</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Common  stock  reserved  for  issuance,  on  an  as-converted  basis,  consisted  of  the  following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2023 and March 31, 2024:</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4"/>
                <w:szCs w:val="14"/>
                <w:color w:val="auto"/>
              </w:rPr>
            </w:pPr>
          </w:p>
        </w:tc>
      </w:tr>
      <w:tr>
        <w:trPr>
          <w:trHeight w:val="21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4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right="500"/>
        <w:spacing w:after="0" w:line="313" w:lineRule="auto"/>
        <w:rPr>
          <w:sz w:val="20"/>
          <w:szCs w:val="20"/>
          <w:color w:val="auto"/>
        </w:rPr>
      </w:pPr>
      <w:r>
        <w:rPr>
          <w:rFonts w:ascii="Times New Roman" w:cs="Times New Roman" w:eastAsia="Times New Roman" w:hAnsi="Times New Roman"/>
          <w:sz w:val="18"/>
          <w:szCs w:val="18"/>
          <w:color w:val="auto"/>
        </w:rPr>
        <w:t>Redeemable convertible preferred stock issued and outstanding Outstanding and issued common stock options Shares available for grant under 2021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-201930</wp:posOffset>
            </wp:positionV>
            <wp:extent cx="5212080" cy="1803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85,960,088​​ ​​127,224,979​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23,825,003​​ ​​ 26,019,851​</w:t>
      </w:r>
    </w:p>
    <w:p>
      <w:pPr>
        <w:spacing w:after="0" w:line="190" w:lineRule="auto"/>
        <w:tabs>
          <w:tab w:leader="none" w:pos="1460" w:val="left"/>
        </w:tabs>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1,384,688</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2,954,063</w:t>
      </w:r>
      <w:r>
        <w:rPr>
          <w:rFonts w:ascii="Times New Roman" w:cs="Times New Roman" w:eastAsia="Times New Roman" w:hAnsi="Times New Roman"/>
          <w:sz w:val="35"/>
          <w:szCs w:val="35"/>
          <w:color w:val="auto"/>
          <w:vertAlign w:val="subscript"/>
        </w:rPr>
        <w:t>​</w:t>
      </w:r>
    </w:p>
    <w:p>
      <w:pPr>
        <w:spacing w:after="0" w:line="185"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​111,169,779</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​156,198,893</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6540" w:space="720"/>
            <w:col w:w="2619"/>
          </w:cols>
          <w:pgMar w:left="580" w:top="97" w:right="1440" w:bottom="1440" w:gutter="0" w:footer="0" w:header="0"/>
          <w:type w:val="continuous"/>
        </w:sectPr>
      </w:pPr>
    </w:p>
    <w:p>
      <w:pPr>
        <w:spacing w:after="0" w:line="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Common Stock Issued to Executives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In February 2021, the Company issued 470,000 shares of common stock to two executives at a purchase price of $0.20 per share. The shares vest over a four-year period with a one-year cliff. The holders have voting and dividends rights. The Company has the right to repurchase unvested shares at the price paid by the holder in the event of termination of the holder’s continuous status as a service provider. The Company estimated the fair value of the restricted stock awards based on the fair value of common stock at the grant dates. The expense is recognized ratably over the vesting terms. The Company recognized less than $0.1 million of stock-based compensation expense for the three months ended March 31, 2023 and 2024.</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for</w:t>
            </w:r>
          </w:p>
        </w:tc>
        <w:tc>
          <w:tcPr>
            <w:tcW w:w="3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Company’s  restricted  common  stock</w:t>
            </w:r>
          </w:p>
        </w:tc>
        <w:tc>
          <w:tcPr>
            <w:tcW w:w="700" w:type="dxa"/>
            <w:vAlign w:val="bottom"/>
          </w:tcPr>
          <w:p>
            <w:pPr>
              <w:jc w:val="center"/>
              <w:ind w:left="41"/>
              <w:spacing w:after="0"/>
              <w:rPr>
                <w:sz w:val="20"/>
                <w:szCs w:val="20"/>
                <w:color w:val="auto"/>
              </w:rPr>
            </w:pPr>
            <w:r>
              <w:rPr>
                <w:rFonts w:ascii="Times New Roman" w:cs="Times New Roman" w:eastAsia="Times New Roman" w:hAnsi="Times New Roman"/>
                <w:sz w:val="18"/>
                <w:szCs w:val="18"/>
                <w:color w:val="auto"/>
              </w:rPr>
              <w:t>for  the</w:t>
            </w:r>
          </w:p>
        </w:tc>
        <w:tc>
          <w:tcPr>
            <w:tcW w:w="60" w:type="dxa"/>
            <w:vAlign w:val="bottom"/>
          </w:tcPr>
          <w:p>
            <w:pPr>
              <w:spacing w:after="0"/>
              <w:rPr>
                <w:sz w:val="18"/>
                <w:szCs w:val="18"/>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2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3"/>
        </w:trPr>
        <w:tc>
          <w:tcPr>
            <w:tcW w:w="4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0" w:type="dxa"/>
            <w:vAlign w:val="bottom"/>
          </w:tcPr>
          <w:p>
            <w:pPr>
              <w:spacing w:after="0"/>
              <w:rPr>
                <w:sz w:val="24"/>
                <w:szCs w:val="24"/>
                <w:color w:val="auto"/>
              </w:rPr>
            </w:pPr>
          </w:p>
        </w:tc>
      </w:tr>
      <w:tr>
        <w:trPr>
          <w:trHeight w:val="162"/>
        </w:trPr>
        <w:tc>
          <w:tcPr>
            <w:tcW w:w="4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6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60" w:type="dxa"/>
            <w:vAlign w:val="bottom"/>
          </w:tcPr>
          <w:p>
            <w:pPr>
              <w:spacing w:after="0"/>
              <w:rPr>
                <w:sz w:val="14"/>
                <w:szCs w:val="14"/>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gridSpan w:val="3"/>
          </w:tcPr>
          <w:p>
            <w:pPr>
              <w:ind w:left="23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Shares   </w:t>
            </w:r>
            <w:r>
              <w:rPr>
                <w:rFonts w:ascii="Times New Roman" w:cs="Times New Roman" w:eastAsia="Times New Roman" w:hAnsi="Times New Roman"/>
                <w:sz w:val="24"/>
                <w:szCs w:val="24"/>
                <w:b w:val="1"/>
                <w:bCs w:val="1"/>
                <w:color w:val="auto"/>
                <w:vertAlign w:val="subscript"/>
              </w:rPr>
              <w:t>​ ​</w:t>
            </w:r>
          </w:p>
        </w:tc>
        <w:tc>
          <w:tcPr>
            <w:tcW w:w="76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24"/>
                <w:szCs w:val="24"/>
                <w:b w:val="1"/>
                <w:bCs w:val="1"/>
                <w:color w:val="auto"/>
                <w:vertAlign w:val="subscript"/>
              </w:rPr>
              <w:t>​</w:t>
            </w:r>
          </w:p>
        </w:tc>
      </w:tr>
      <w:tr>
        <w:trPr>
          <w:trHeight w:val="20"/>
        </w:trPr>
        <w:tc>
          <w:tcPr>
            <w:tcW w:w="4100" w:type="dxa"/>
            <w:vAlign w:val="bottom"/>
            <w:shd w:val="clear" w:color="auto" w:fill="CCEEFF"/>
          </w:tcPr>
          <w:p>
            <w:pPr>
              <w:spacing w:after="0" w:line="20" w:lineRule="exact"/>
              <w:rPr>
                <w:sz w:val="1"/>
                <w:szCs w:val="1"/>
                <w:color w:val="auto"/>
              </w:rPr>
            </w:pPr>
          </w:p>
        </w:tc>
        <w:tc>
          <w:tcPr>
            <w:tcW w:w="25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3400" w:type="dxa"/>
            <w:vAlign w:val="bottom"/>
            <w:gridSpan w:val="3"/>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137,084 ​​ ​</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400" w:type="dxa"/>
            <w:vAlign w:val="bottom"/>
            <w:gridSpan w:val="3"/>
          </w:tcPr>
          <w:p>
            <w:pPr>
              <w:ind w:left="23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(29,375)</w:t>
            </w:r>
            <w:r>
              <w:rPr>
                <w:rFonts w:ascii="Times New Roman" w:cs="Times New Roman" w:eastAsia="Times New Roman" w:hAnsi="Times New Roman"/>
                <w:sz w:val="31"/>
                <w:szCs w:val="31"/>
                <w:color w:val="auto"/>
                <w:vertAlign w:val="subscript"/>
              </w:rPr>
              <w:t>​​ ​</w:t>
            </w:r>
          </w:p>
        </w:tc>
        <w:tc>
          <w:tcPr>
            <w:tcW w:w="70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$0.62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00" w:type="dxa"/>
            <w:vAlign w:val="bottom"/>
            <w:shd w:val="clear" w:color="auto" w:fill="CCEEFF"/>
          </w:tcPr>
          <w:p>
            <w:pPr>
              <w:spacing w:after="0" w:line="20" w:lineRule="exact"/>
              <w:rPr>
                <w:sz w:val="1"/>
                <w:szCs w:val="1"/>
                <w:color w:val="auto"/>
              </w:rPr>
            </w:pPr>
          </w:p>
        </w:tc>
        <w:tc>
          <w:tcPr>
            <w:tcW w:w="25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March 31, 2024</w:t>
            </w:r>
          </w:p>
        </w:tc>
        <w:tc>
          <w:tcPr>
            <w:tcW w:w="3400" w:type="dxa"/>
            <w:vAlign w:val="bottom"/>
            <w:gridSpan w:val="3"/>
            <w:shd w:val="clear" w:color="auto" w:fill="CCEEFF"/>
          </w:tcPr>
          <w:p>
            <w:pPr>
              <w:ind w:left="2340"/>
              <w:spacing w:after="0" w:line="236" w:lineRule="exact"/>
              <w:rPr>
                <w:sz w:val="20"/>
                <w:szCs w:val="20"/>
                <w:color w:val="auto"/>
              </w:rPr>
            </w:pPr>
            <w:r>
              <w:rPr>
                <w:rFonts w:ascii="Times New Roman" w:cs="Times New Roman" w:eastAsia="Times New Roman" w:hAnsi="Times New Roman"/>
                <w:sz w:val="27"/>
                <w:szCs w:val="27"/>
                <w:color w:val="auto"/>
                <w:vertAlign w:val="subscript"/>
              </w:rPr>
              <w:t>​ ​ ​</w:t>
            </w:r>
            <w:r>
              <w:rPr>
                <w:rFonts w:ascii="Times New Roman" w:cs="Times New Roman" w:eastAsia="Times New Roman" w:hAnsi="Times New Roman"/>
                <w:sz w:val="15"/>
                <w:szCs w:val="15"/>
                <w:color w:val="auto"/>
              </w:rPr>
              <w:t xml:space="preserve">​107,709 </w:t>
            </w:r>
            <w:r>
              <w:rPr>
                <w:rFonts w:ascii="Times New Roman" w:cs="Times New Roman" w:eastAsia="Times New Roman" w:hAnsi="Times New Roman"/>
                <w:sz w:val="27"/>
                <w:szCs w:val="27"/>
                <w:color w:val="auto"/>
                <w:vertAlign w:val="subscript"/>
              </w:rPr>
              <w:t>​​ ​</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52120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-548005</wp:posOffset>
            </wp:positionV>
            <wp:extent cx="475742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19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As of March 31, 2024, the remaining unamortized stock-based compensation expense of $0.1 million will be recognized over the remaining vesting period of 0.9 year.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Stock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2021 Stock Plan</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February 2021, the Company adopted the 2021 Stock Plan (the “2021 Plan”), which provides for stock awards to eligible employees, directors and consultants of the Company. Awards issuable under the 2021 Plan include incentive stock options (“ISO”), non-statutory stock options (“NSO”), restricted stock units (“RSU”) and stock grants.</w:t>
      </w:r>
    </w:p>
    <w:p>
      <w:pPr>
        <w:spacing w:after="0" w:line="11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exercise price of ISOs shall not be less than the estimated fair value of the underlying common stock on the date of grant. The exercise price of ISOs granted to an employee who owns more than 10% of the voting power of all classes of stock of the Company shall be no less than 110% of the estimated fair market value of</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9" w:name="page260"/>
    <w:bookmarkEnd w:id="2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Stock Compensation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2021 Stock Plan (Continued)</w:t>
      </w:r>
    </w:p>
    <w:p>
      <w:pPr>
        <w:spacing w:after="0" w:line="229"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the underlying common stock on the grant date. Stock option grants under the 2021 Plan generally vest over four years. The contractual term of an option is no longer than five years for ISOs for which an employee owns greater than 10% of the voting power of all classes of stock and no longer than ten years for all other options. As of March 31, 2024, the Company was authorized to grant 34,229,147 shares, and 2,954,063 shares were available for issuance under the 2021 Plan.</w:t>
      </w:r>
    </w:p>
    <w:p>
      <w:pPr>
        <w:spacing w:after="0" w:line="105"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The terms of the 2021 Plan permit option holders to exercise options before their options are vested. The shares of common stock granted upon early exercise that have not yet vested are subject to repurchase by the Company in the event of termination of the holder’s continuous status as a service provider, at the price paid by the holder.</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Repricing</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March 2024, the Company’s board of directors approved the repricing of all outstanding options as of March 29, 2024, which have an exercise price exceeding $1.89 per share. The exercise price of outstanding options with a weighted average exercise price of $2.19 for 21,521,882 common stock shares was reduced to the estimated common stock fair value of $1.89 per share at the date of the repricing. The vesting terms and expiration dates remain unchanged from the original grant dates.</w:t>
      </w:r>
    </w:p>
    <w:p>
      <w:pPr>
        <w:spacing w:after="0" w:line="108"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The stock option repricing was treated as an option modification for accounting purposes and resulted in total incremental expense of $0.7 million, of which $0.1 million incremental expense associated with the vested options was recognized on the modification date. The remaining $0.6 million incremental expense associated with the unvested options as of the modification date will be recognized over the remainder of the original requisite service period.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table summarizes the Company’s option activity for the three months ended March 31, 2024.</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table includes early exercised shares as part of options exercised.</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c>
          <w:tcPr>
            <w:tcW w:w="1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Exercise Price</w:t>
            </w:r>
          </w:p>
        </w:tc>
        <w:tc>
          <w:tcPr>
            <w:tcW w:w="120" w:type="dxa"/>
            <w:vAlign w:val="bottom"/>
          </w:tcPr>
          <w:p>
            <w:pPr>
              <w:spacing w:after="0"/>
              <w:rPr>
                <w:sz w:val="14"/>
                <w:szCs w:val="14"/>
                <w:color w:val="auto"/>
              </w:rPr>
            </w:pPr>
          </w:p>
        </w:tc>
        <w:tc>
          <w:tcPr>
            <w:tcW w:w="520" w:type="dxa"/>
            <w:vAlign w:val="bottom"/>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tcPr>
          <w:p>
            <w:pPr>
              <w:jc w:val="right"/>
              <w:ind w:right="29"/>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Options   </w:t>
            </w:r>
            <w:r>
              <w:rPr>
                <w:rFonts w:ascii="Times New Roman" w:cs="Times New Roman" w:eastAsia="Times New Roman" w:hAnsi="Times New Roman"/>
                <w:sz w:val="24"/>
                <w:szCs w:val="24"/>
                <w:b w:val="1"/>
                <w:bCs w:val="1"/>
                <w:color w:val="auto"/>
                <w:vertAlign w:val="subscript"/>
              </w:rPr>
              <w:t>​​</w:t>
            </w:r>
          </w:p>
        </w:tc>
        <w:tc>
          <w:tcPr>
            <w:tcW w:w="82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02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(in thousands)</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0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​​​23,825,003​​​</w:t>
            </w:r>
          </w:p>
        </w:tc>
        <w:tc>
          <w:tcPr>
            <w:tcW w:w="820" w:type="dxa"/>
            <w:vAlign w:val="bottom"/>
            <w:tcBorders>
              <w:right w:val="single" w:sz="8" w:color="CCEEFF"/>
            </w:tcBorders>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8.50</w:t>
            </w:r>
          </w:p>
        </w:tc>
        <w:tc>
          <w:tcPr>
            <w:tcW w:w="22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​$15,033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2,431,929​​​</w:t>
            </w:r>
          </w:p>
        </w:tc>
        <w:tc>
          <w:tcPr>
            <w:tcW w:w="820" w:type="dxa"/>
            <w:vAlign w:val="bottom"/>
          </w:tcPr>
          <w:p>
            <w:pPr>
              <w:jc w:val="right"/>
              <w:ind w:right="167"/>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Options exercised</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ind w:right="89"/>
              <w:spacing w:after="0" w:line="202" w:lineRule="exact"/>
              <w:rPr>
                <w:sz w:val="20"/>
                <w:szCs w:val="20"/>
                <w:color w:val="auto"/>
              </w:rPr>
            </w:pPr>
            <w:r>
              <w:rPr>
                <w:rFonts w:ascii="Times New Roman" w:cs="Times New Roman" w:eastAsia="Times New Roman" w:hAnsi="Times New Roman"/>
                <w:sz w:val="18"/>
                <w:szCs w:val="18"/>
                <w:color w:val="auto"/>
              </w:rPr>
              <w:t>(14,895)</w:t>
            </w:r>
          </w:p>
        </w:tc>
        <w:tc>
          <w:tcPr>
            <w:tcW w:w="820" w:type="dxa"/>
            <w:vAlign w:val="bottom"/>
            <w:tcBorders>
              <w:right w:val="single" w:sz="8" w:color="CCEEFF"/>
            </w:tcBorders>
            <w:shd w:val="clear" w:color="auto" w:fill="CCEEFF"/>
          </w:tcPr>
          <w:p>
            <w:pPr>
              <w:jc w:val="right"/>
              <w:ind w:right="167"/>
              <w:spacing w:after="0" w:line="202" w:lineRule="exact"/>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460" w:type="dxa"/>
            <w:vAlign w:val="bottom"/>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jc w:val="right"/>
              <w:ind w:right="9"/>
              <w:spacing w:after="0" w:line="54" w:lineRule="exact"/>
              <w:rPr>
                <w:sz w:val="20"/>
                <w:szCs w:val="20"/>
                <w:color w:val="auto"/>
              </w:rPr>
            </w:pPr>
            <w:r>
              <w:rPr>
                <w:rFonts w:ascii="Times New Roman" w:cs="Times New Roman" w:eastAsia="Times New Roman" w:hAnsi="Times New Roman"/>
                <w:sz w:val="6"/>
                <w:szCs w:val="6"/>
                <w:color w:val="auto"/>
              </w:rPr>
              <w:t>​​​</w:t>
            </w:r>
          </w:p>
        </w:tc>
        <w:tc>
          <w:tcPr>
            <w:tcW w:w="820" w:type="dxa"/>
            <w:vAlign w:val="bottom"/>
            <w:tcBorders>
              <w:right w:val="single" w:sz="8" w:color="CCEEFF"/>
            </w:tcBorders>
            <w:shd w:val="clear" w:color="auto" w:fill="CCEEFF"/>
          </w:tcPr>
          <w:p>
            <w:pPr>
              <w:jc w:val="right"/>
              <w:ind w:right="547"/>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520" w:type="dxa"/>
            <w:vAlign w:val="bottom"/>
            <w:vMerge w:val="continue"/>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240" w:type="dxa"/>
            <w:vAlign w:val="bottom"/>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color w:val="auto"/>
              </w:rPr>
              <w:t>​</w:t>
            </w:r>
          </w:p>
        </w:tc>
        <w:tc>
          <w:tcPr>
            <w:tcW w:w="56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Options forfeited or expired</w:t>
            </w:r>
          </w:p>
        </w:tc>
        <w:tc>
          <w:tcPr>
            <w:tcW w:w="12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89"/>
              <w:spacing w:after="0" w:line="202" w:lineRule="exact"/>
              <w:rPr>
                <w:sz w:val="20"/>
                <w:szCs w:val="20"/>
                <w:color w:val="auto"/>
              </w:rPr>
            </w:pPr>
            <w:r>
              <w:rPr>
                <w:rFonts w:ascii="Times New Roman" w:cs="Times New Roman" w:eastAsia="Times New Roman" w:hAnsi="Times New Roman"/>
                <w:sz w:val="18"/>
                <w:szCs w:val="18"/>
                <w:color w:val="auto"/>
              </w:rPr>
              <w:t>(222,186)</w:t>
            </w:r>
          </w:p>
        </w:tc>
        <w:tc>
          <w:tcPr>
            <w:tcW w:w="820" w:type="dxa"/>
            <w:vAlign w:val="bottom"/>
          </w:tcPr>
          <w:p>
            <w:pPr>
              <w:jc w:val="right"/>
              <w:ind w:right="167"/>
              <w:spacing w:after="0" w:line="202" w:lineRule="exact"/>
              <w:rPr>
                <w:sz w:val="20"/>
                <w:szCs w:val="20"/>
                <w:color w:val="auto"/>
              </w:rPr>
            </w:pPr>
            <w:r>
              <w:rPr>
                <w:rFonts w:ascii="Times New Roman" w:cs="Times New Roman" w:eastAsia="Times New Roman" w:hAnsi="Times New Roman"/>
                <w:sz w:val="18"/>
                <w:szCs w:val="18"/>
                <w:color w:val="auto"/>
              </w:rPr>
              <w:t>$2.48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22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jc w:val="right"/>
              <w:ind w:right="9"/>
              <w:spacing w:after="0" w:line="68" w:lineRule="exact"/>
              <w:rPr>
                <w:sz w:val="20"/>
                <w:szCs w:val="20"/>
                <w:color w:val="auto"/>
              </w:rPr>
            </w:pPr>
            <w:r>
              <w:rPr>
                <w:rFonts w:ascii="Times New Roman" w:cs="Times New Roman" w:eastAsia="Times New Roman" w:hAnsi="Times New Roman"/>
                <w:sz w:val="7"/>
                <w:szCs w:val="7"/>
                <w:color w:val="auto"/>
              </w:rPr>
              <w:t>​​​</w:t>
            </w:r>
          </w:p>
        </w:tc>
        <w:tc>
          <w:tcPr>
            <w:tcW w:w="820" w:type="dxa"/>
            <w:vAlign w:val="bottom"/>
          </w:tcPr>
          <w:p>
            <w:pPr>
              <w:jc w:val="right"/>
              <w:ind w:right="547"/>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as of March 31, 2024</w:t>
            </w:r>
          </w:p>
        </w:tc>
        <w:tc>
          <w:tcPr>
            <w:tcW w:w="1100" w:type="dxa"/>
            <w:vAlign w:val="bottom"/>
            <w:tcBorders>
              <w:right w:val="single" w:sz="8" w:color="CCEEFF"/>
            </w:tcBorders>
            <w:gridSpan w:val="5"/>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​26,019,851</w:t>
            </w:r>
            <w:r>
              <w:rPr>
                <w:rFonts w:ascii="Times New Roman" w:cs="Times New Roman" w:eastAsia="Times New Roman" w:hAnsi="Times New Roman"/>
                <w:sz w:val="30"/>
                <w:szCs w:val="30"/>
                <w:color w:val="auto"/>
                <w:vertAlign w:val="subscript"/>
              </w:rPr>
              <w:t>​​​</w:t>
            </w:r>
          </w:p>
        </w:tc>
        <w:tc>
          <w:tcPr>
            <w:tcW w:w="820" w:type="dxa"/>
            <w:vAlign w:val="bottom"/>
            <w:tcBorders>
              <w:right w:val="single" w:sz="8" w:color="CCEEFF"/>
            </w:tcBorders>
            <w:shd w:val="clear" w:color="auto" w:fill="CCEEFF"/>
          </w:tcPr>
          <w:p>
            <w:pPr>
              <w:jc w:val="right"/>
              <w:ind w:right="167"/>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$1.80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1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8.40</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8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9,535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March 31, 2024</w:t>
            </w:r>
          </w:p>
        </w:tc>
        <w:tc>
          <w:tcPr>
            <w:tcW w:w="1100" w:type="dxa"/>
            <w:vAlign w:val="bottom"/>
            <w:gridSpan w:val="5"/>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​26,019,851</w:t>
            </w:r>
            <w:r>
              <w:rPr>
                <w:rFonts w:ascii="Times New Roman" w:cs="Times New Roman" w:eastAsia="Times New Roman" w:hAnsi="Times New Roman"/>
                <w:sz w:val="27"/>
                <w:szCs w:val="27"/>
                <w:color w:val="auto"/>
                <w:vertAlign w:val="subscript"/>
              </w:rPr>
              <w:t>​​​</w:t>
            </w:r>
          </w:p>
        </w:tc>
        <w:tc>
          <w:tcPr>
            <w:tcW w:w="820" w:type="dxa"/>
            <w:vAlign w:val="bottom"/>
          </w:tcPr>
          <w:p>
            <w:pPr>
              <w:jc w:val="right"/>
              <w:ind w:right="167"/>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8.40</w:t>
            </w: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9,535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-385445</wp:posOffset>
            </wp:positionV>
            <wp:extent cx="521208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-1053465</wp:posOffset>
            </wp:positionV>
            <wp:extent cx="685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-1053465</wp:posOffset>
            </wp:positionV>
            <wp:extent cx="6858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-1053465</wp:posOffset>
            </wp:positionV>
            <wp:extent cx="34886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32"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No options were exercised during the three months ended March 31, 2023. The weighted-average grant date fair value of options granted was $1.83 and $1.80 for the three months ended March 31, 2023, and 2024, respectively. The total fair value of shares vested was $2.8 million and $4.5 million for the three months ended March 31, 2023, and 2024, respectively.</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0" w:name="page261"/>
    <w:bookmarkEnd w:id="2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Stock Compensation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fair value of stock options granted for the three months ended March 31, 2023 and 2024 was estimated using the Black-Scholes option pricing model with the following assumptions: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326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CCEEFF"/>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​6.03 – 6.07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​6.08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​102.08% – 102.54% ​ ​104.61% – 104.63%​</w:t>
            </w:r>
          </w:p>
        </w:tc>
      </w:tr>
      <w:tr>
        <w:trPr>
          <w:trHeight w:val="25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rPr>
              <w:t>3.66% – 3.89%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ind w:left="17"/>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-676910</wp:posOffset>
            </wp:positionV>
            <wp:extent cx="424307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243070" cy="8890"/>
                    </a:xfrm>
                    <a:prstGeom prst="rect">
                      <a:avLst/>
                    </a:prstGeom>
                    <a:noFill/>
                  </pic:spPr>
                </pic:pic>
              </a:graphicData>
            </a:graphic>
          </wp:anchor>
        </w:drawing>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146"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expected term represents the weighted-average period the stock options are expected to remain outstanding and is based on the options’ vesting terms and contractual terms, as the Company did not have sufficient historical information to develop reasonable expectations about future exercise patterns and post-vesting employment termination behavior.</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146"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1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risk -free interest rate assumption is based on the U.S. Treasury instruments whose term was consistent with the expected term of the Company’s stock options.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4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Company has not paid any cash dividends on common stock since inception and does not anticipate paying any dividends in the foreseeable future. Consequently, an expected dividend yield of zero was used.</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Common Stock Fair Value</w:t>
      </w:r>
    </w:p>
    <w:p>
      <w:pPr>
        <w:spacing w:after="0" w:line="16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fair market value of the Company’s common stock is determined by the board of directors with assistance from management and external valuation experts. The approach to estimating the fair market value of common stock is consistent with the methods outlined in the Practice Aid.</w:t>
      </w:r>
    </w:p>
    <w:p>
      <w:pPr>
        <w:spacing w:after="0" w:line="10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Prior to May 2023, the Company utilized an Option Pricing Method (“OPM”) based analysis, primarily the OPM backsolve methodology, to determine the estimated fair value of the common stock. Within the OPM framework, the backsolve method, for inferring the total equity value implied by a recent financing transaction or by an estimated equity value of the Company’s pipeline product candidates, involves the construction of an allocation model that takes into account the Company’s capital structure and the rights, preferences and privileges of each class of stock, then assumes reasonable inputs for the other OPM variables (expected time to liquidity, volatility,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1" w:name="page262"/>
    <w:bookmarkEnd w:id="2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Stock Compensation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 (Continued)</w:t>
      </w:r>
    </w:p>
    <w:p>
      <w:pPr>
        <w:spacing w:after="0" w:line="22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choices and options available), and the enterprise’s value depends on how well it follows an uncharted path through the various possible opportunities and challenges. In determining the estimated fair value of the common stock, the board of directors also considered the fact that the stockholders could not freely trade the common stock in the public markets. Accordingly, the Company applied discounts to reflect the lack of marketability of its common stock based on the weighted-average expected time to liquidity. The estimated fair value of the common stock at each grant date reflected a non-marketability discount partially based on the anticipated likelihood and timing of a future liquidity event.</w:t>
      </w:r>
    </w:p>
    <w:p>
      <w:pPr>
        <w:spacing w:after="0" w:line="114"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For valuations performed on and after May 2023, the Company utilized a hybrid method that combines the Probability-Weighted Expected Return Method (“PWERM”), an accepted valuation method described in the Practice Aid, and the OPM. The Company determined this was the most appropriate method for determining the fair value of its common stock based on the stage of development and other relevant factors. The PWERM is a scenario-based analysis that estimates the value per share of common stock based on the probability-weighted present value of expected future equity values for the common stock, under various possible future liquidity event scenarios, considering the rights and preferences of each class of shares, discounted for a lack of marketability. Under the hybrid method, an option pricing model was utilized to determine the fair value of the Company’s common stock in certain of the PWERM scenarios (capturing situations where its development path and future liquidity events were difficult to forecast), potential exit events were explicitly modeled in the other PWERM scenarios. A discount for lack of marketability was applied to the value derived under each scenario to account for a lack of access to an active public market to estimate the common stock fair value. The assumptions underlying these valuations represented management’s best estimates, which involved inherent uncertainties and the application of management’s judgment. As a result, if the Company had used significantly different assumptions or estimates, the fair value of the common stock and the stock-based compensation expense could have been materially different.</w:t>
      </w:r>
    </w:p>
    <w:p>
      <w:pPr>
        <w:spacing w:after="0" w:line="127"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The Company also considers the amount of time between the independent third-party valuation dates and the grant dates and performs an interpolation of the fair value between the two valuation dates to estimate common stock fair value at each grant date. This determination includes an evaluation of whether the subsequent valuation indicated that any significant change in valuation had occurred between the previous valuation and the grant date.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Employee Options</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Proceeds from the early exercise of stock options are recorded as share repurchase liability, and as shares vest are recognized to additional paid-in capital in the condensed consolidated balance sheets. As of December 31, 2023 and March 31, 2024, there was $1.8 million and $1.3 million share repurchase liability related to the unvested shares, respectively.</w:t>
      </w:r>
    </w:p>
    <w:p>
      <w:pPr>
        <w:spacing w:after="0" w:line="9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the Company’s early exercisable shares for the three months ended March 31, 2024:</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60" w:type="dxa"/>
            <w:vAlign w:val="bottom"/>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Shares   ​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42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2920" w:type="dxa"/>
            <w:vAlign w:val="bottom"/>
            <w:gridSpan w:val="4"/>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1,529,219​​ ​</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32"/>
              <w:spacing w:after="0" w:line="189" w:lineRule="exact"/>
              <w:rPr>
                <w:sz w:val="20"/>
                <w:szCs w:val="20"/>
                <w:color w:val="auto"/>
              </w:rPr>
            </w:pPr>
            <w:r>
              <w:rPr>
                <w:rFonts w:ascii="Times New Roman" w:cs="Times New Roman" w:eastAsia="Times New Roman" w:hAnsi="Times New Roman"/>
                <w:sz w:val="18"/>
                <w:szCs w:val="18"/>
                <w:color w:val="auto"/>
                <w:w w:val="99"/>
              </w:rPr>
              <w:t>(349,905)</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420" w:type="dxa"/>
            <w:vAlign w:val="bottom"/>
            <w:vMerge w:val="continue"/>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42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March 31, 2024</w:t>
            </w:r>
          </w:p>
        </w:tc>
        <w:tc>
          <w:tcPr>
            <w:tcW w:w="2920" w:type="dxa"/>
            <w:vAlign w:val="bottom"/>
            <w:gridSpan w:val="4"/>
            <w:shd w:val="clear" w:color="auto" w:fill="CCEEFF"/>
          </w:tcPr>
          <w:p>
            <w:pPr>
              <w:ind w:left="180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​1,179,314</w:t>
            </w:r>
            <w:r>
              <w:rPr>
                <w:rFonts w:ascii="Times New Roman" w:cs="Times New Roman" w:eastAsia="Times New Roman" w:hAnsi="Times New Roman"/>
                <w:sz w:val="25"/>
                <w:szCs w:val="25"/>
                <w:color w:val="auto"/>
                <w:vertAlign w:val="subscript"/>
              </w:rPr>
              <w:t>​​ ​</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465455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2" w:name="page263"/>
    <w:bookmarkEnd w:id="2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Stock Compensation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stock-based compensation expense granted to employees and non-employees for the three months ended March 31, 2023 and 2024 (in thousands):</w:t>
      </w:r>
    </w:p>
    <w:p>
      <w:pPr>
        <w:spacing w:after="0" w:line="2"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192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r>
              <w:rPr>
                <w:rFonts w:ascii="Times New Roman" w:cs="Times New Roman" w:eastAsia="Times New Roman" w:hAnsi="Times New Roman"/>
                <w:sz w:val="28"/>
                <w:szCs w:val="28"/>
                <w:b w:val="1"/>
                <w:bCs w:val="1"/>
                <w:color w:val="auto"/>
                <w:vertAlign w:val="subscript"/>
              </w:rPr>
              <w:t>​</w:t>
            </w:r>
          </w:p>
        </w:tc>
      </w:tr>
      <w:tr>
        <w:trPr>
          <w:trHeight w:val="237"/>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bottom w:val="single" w:sz="8" w:color="CCEEFF"/>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top w:val="single" w:sz="8" w:color="auto"/>
              <w:bottom w:val="single" w:sz="8" w:color="auto"/>
            </w:tcBorders>
            <w:gridSpan w:val="2"/>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center"/>
              <w:ind w:left="2"/>
              <w:spacing w:after="0"/>
              <w:rPr>
                <w:sz w:val="20"/>
                <w:szCs w:val="20"/>
                <w:color w:val="auto"/>
              </w:rPr>
            </w:pPr>
            <w:r>
              <w:rPr>
                <w:rFonts w:ascii="Times New Roman" w:cs="Times New Roman" w:eastAsia="Times New Roman" w:hAnsi="Times New Roman"/>
                <w:sz w:val="18"/>
                <w:szCs w:val="18"/>
                <w:color w:val="auto"/>
              </w:rPr>
              <w:t>​$1,002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580" w:type="dxa"/>
            <w:vAlign w:val="bottom"/>
            <w:gridSpan w:val="2"/>
          </w:tcPr>
          <w:p>
            <w:pPr>
              <w:jc w:val="center"/>
              <w:ind w:righ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​1,213</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center"/>
              <w:ind w:righ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1,831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2,657</w:t>
            </w:r>
          </w:p>
        </w:tc>
        <w:tc>
          <w:tcPr>
            <w:tcW w:w="8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68884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1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stock-based compensation expense related to the following equity-based awards (in thousands):</w:t>
      </w:r>
    </w:p>
    <w:tbl>
      <w:tblPr>
        <w:tblLayout w:type="fixed"/>
        <w:tblInd w:w="1260" w:type="dxa"/>
        <w:tblCellMar>
          <w:top w:w="0" w:type="dxa"/>
          <w:left w:w="0" w:type="dxa"/>
          <w:bottom w:w="0" w:type="dxa"/>
          <w:right w:w="0" w:type="dxa"/>
        </w:tblCellMar>
      </w:tblPr>
      <w:tr>
        <w:trPr>
          <w:trHeight w:val="378"/>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192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r>
              <w:rPr>
                <w:rFonts w:ascii="Times New Roman" w:cs="Times New Roman" w:eastAsia="Times New Roman" w:hAnsi="Times New Roman"/>
                <w:sz w:val="28"/>
                <w:szCs w:val="28"/>
                <w:b w:val="1"/>
                <w:bCs w:val="1"/>
                <w:color w:val="auto"/>
                <w:vertAlign w:val="subscript"/>
              </w:rPr>
              <w:t>​</w:t>
            </w:r>
          </w:p>
        </w:tc>
      </w:tr>
      <w:tr>
        <w:trPr>
          <w:trHeight w:val="237"/>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bottom w:val="single" w:sz="8" w:color="CCEEFF"/>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top w:val="single" w:sz="8" w:color="auto"/>
              <w:bottom w:val="single" w:sz="8" w:color="auto"/>
            </w:tcBorders>
            <w:gridSpan w:val="2"/>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center"/>
              <w:ind w:left="2"/>
              <w:spacing w:after="0"/>
              <w:rPr>
                <w:sz w:val="20"/>
                <w:szCs w:val="20"/>
                <w:color w:val="auto"/>
              </w:rPr>
            </w:pPr>
            <w:r>
              <w:rPr>
                <w:rFonts w:ascii="Times New Roman" w:cs="Times New Roman" w:eastAsia="Times New Roman" w:hAnsi="Times New Roman"/>
                <w:sz w:val="18"/>
                <w:szCs w:val="18"/>
                <w:color w:val="auto"/>
              </w:rPr>
              <w:t>​$1,813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​$2,639</w:t>
            </w:r>
          </w:p>
        </w:tc>
        <w:tc>
          <w:tcPr>
            <w:tcW w:w="8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580" w:type="dxa"/>
            <w:vAlign w:val="bottom"/>
            <w:gridSpan w:val="2"/>
          </w:tcPr>
          <w:p>
            <w:pPr>
              <w:jc w:val="center"/>
              <w:ind w:righ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18</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center"/>
              <w:ind w:righ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1,831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2,657</w:t>
            </w:r>
          </w:p>
        </w:tc>
        <w:tc>
          <w:tcPr>
            <w:tcW w:w="8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-556260</wp:posOffset>
            </wp:positionV>
            <wp:extent cx="468884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1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related to non-employee awards was immaterial for all periods presented.</w:t>
      </w:r>
    </w:p>
    <w:p>
      <w:pPr>
        <w:spacing w:after="0" w:line="355" w:lineRule="exact"/>
        <w:rPr>
          <w:sz w:val="20"/>
          <w:szCs w:val="20"/>
          <w:color w:val="auto"/>
        </w:rPr>
      </w:pPr>
    </w:p>
    <w:p>
      <w:pPr>
        <w:jc w:val="both"/>
        <w:ind w:left="1260" w:right="419"/>
        <w:spacing w:after="0" w:line="285" w:lineRule="auto"/>
        <w:rPr>
          <w:sz w:val="20"/>
          <w:szCs w:val="20"/>
          <w:color w:val="auto"/>
        </w:rPr>
      </w:pPr>
      <w:r>
        <w:rPr>
          <w:rFonts w:ascii="Times New Roman" w:cs="Times New Roman" w:eastAsia="Times New Roman" w:hAnsi="Times New Roman"/>
          <w:sz w:val="18"/>
          <w:szCs w:val="18"/>
          <w:color w:val="auto"/>
        </w:rPr>
        <w:t>As of March 31, 2024, there was unrecognized stock-based compensation expense of $31.6 million related to unvested stock options which the Company expects to recognize over a weighted-average period of 3.1 years.</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Class A Common Stockholders</w:t>
      </w:r>
    </w:p>
    <w:p>
      <w:pPr>
        <w:spacing w:after="0" w:line="148"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Class A common stockholders for the three months ended March 31, 2023 and 2024 (in thousands, except share and per share amounts):</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20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
              <w:spacing w:after="0" w:line="202" w:lineRule="exact"/>
              <w:rPr>
                <w:sz w:val="20"/>
                <w:szCs w:val="20"/>
                <w:color w:val="auto"/>
              </w:rPr>
            </w:pPr>
            <w:r>
              <w:rPr>
                <w:rFonts w:ascii="Times New Roman" w:cs="Times New Roman" w:eastAsia="Times New Roman" w:hAnsi="Times New Roman"/>
                <w:sz w:val="18"/>
                <w:szCs w:val="18"/>
                <w:color w:val="auto"/>
              </w:rPr>
              <w:t>(36,027)</w:t>
            </w:r>
          </w:p>
        </w:tc>
        <w:tc>
          <w:tcPr>
            <w:tcW w:w="2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(49,849)</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6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820" w:type="dxa"/>
            <w:vAlign w:val="bottom"/>
          </w:tcPr>
          <w:p>
            <w:pPr>
              <w:spacing w:after="0"/>
              <w:rPr>
                <w:sz w:val="5"/>
                <w:szCs w:val="5"/>
                <w:color w:val="auto"/>
              </w:rPr>
            </w:pPr>
          </w:p>
        </w:tc>
        <w:tc>
          <w:tcPr>
            <w:tcW w:w="320" w:type="dxa"/>
            <w:vAlign w:val="bottom"/>
            <w:gridSpan w:val="3"/>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8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Class A common shares outstanding</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​12,318,299​​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​12,525,233​</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Less: Weighted-average Class A common shares subject to repurchase</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
              <w:spacing w:after="0" w:line="202" w:lineRule="exact"/>
              <w:rPr>
                <w:sz w:val="20"/>
                <w:szCs w:val="20"/>
                <w:color w:val="auto"/>
              </w:rPr>
            </w:pPr>
            <w:r>
              <w:rPr>
                <w:rFonts w:ascii="Times New Roman" w:cs="Times New Roman" w:eastAsia="Times New Roman" w:hAnsi="Times New Roman"/>
                <w:sz w:val="18"/>
                <w:szCs w:val="18"/>
                <w:color w:val="auto"/>
              </w:rPr>
              <w:t>​(2,978,381)</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2"/>
              </w:rPr>
              <w:t>​(1,445,133)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94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20" w:type="dxa"/>
            <w:vAlign w:val="bottom"/>
            <w:gridSpan w:val="3"/>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8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Class A common shares outstanding, basic and diluted</w:t>
            </w:r>
          </w:p>
        </w:tc>
        <w:tc>
          <w:tcPr>
            <w:tcW w:w="2320" w:type="dxa"/>
            <w:vAlign w:val="bottom"/>
            <w:gridSpan w:val="9"/>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 9,339,918</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​11,080,100</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common stockholders, basic and</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180"/>
        </w:trPr>
        <w:tc>
          <w:tcPr>
            <w:tcW w:w="594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6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820" w:type="dxa"/>
            <w:vAlign w:val="bottom"/>
          </w:tcPr>
          <w:p>
            <w:pPr>
              <w:spacing w:after="0"/>
              <w:rPr>
                <w:sz w:val="5"/>
                <w:szCs w:val="5"/>
                <w:color w:val="auto"/>
              </w:rPr>
            </w:pPr>
          </w:p>
        </w:tc>
        <w:tc>
          <w:tcPr>
            <w:tcW w:w="320" w:type="dxa"/>
            <w:vAlign w:val="bottom"/>
            <w:gridSpan w:val="3"/>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8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-342265</wp:posOffset>
            </wp:positionV>
            <wp:extent cx="5212080" cy="3257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212080" cy="3257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-1028065</wp:posOffset>
            </wp:positionV>
            <wp:extent cx="463740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-1370965</wp:posOffset>
            </wp:positionV>
            <wp:extent cx="462915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3" w:name="page264"/>
    <w:bookmarkEnd w:id="2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Class A Common Stockholders (Continued)</w:t>
      </w:r>
    </w:p>
    <w:p>
      <w:pPr>
        <w:spacing w:after="0" w:line="22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outstanding potentially dilutive shares were excluded from the computation of diluted net loss per share attributable to Class A common stockholders for the periods presented, because including them would have been anti-dilutive (on an as-converted basis):</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issued and outstanding</w:t>
            </w:r>
          </w:p>
        </w:tc>
        <w:tc>
          <w:tcPr>
            <w:tcW w:w="21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​​67,960,088​​ ​​127,224,979</w:t>
            </w:r>
          </w:p>
        </w:tc>
        <w:tc>
          <w:tcPr>
            <w:tcW w:w="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22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​​19,175,979​​ ​​ 26,019,851​</w:t>
            </w:r>
          </w:p>
        </w:tc>
      </w:tr>
      <w:tr>
        <w:trPr>
          <w:trHeight w:val="27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and early exercised stock options</w:t>
            </w:r>
          </w:p>
        </w:tc>
        <w:tc>
          <w:tcPr>
            <w:tcW w:w="1340" w:type="dxa"/>
            <w:vAlign w:val="bottom"/>
            <w:gridSpan w:val="4"/>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2,691,211</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1,287,023</w:t>
            </w:r>
          </w:p>
        </w:tc>
        <w:tc>
          <w:tcPr>
            <w:tcW w:w="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7"/>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​89,827,278</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​154,531,853</w:t>
            </w:r>
            <w:r>
              <w:rPr>
                <w:rFonts w:ascii="Times New Roman" w:cs="Times New Roman" w:eastAsia="Times New Roman" w:hAnsi="Times New Roman"/>
                <w:sz w:val="28"/>
                <w:szCs w:val="28"/>
                <w:color w:val="auto"/>
                <w:vertAlign w:val="subscript"/>
              </w:rPr>
              <w:t>​</w:t>
            </w:r>
          </w:p>
        </w:tc>
      </w:tr>
      <w:tr>
        <w:trPr>
          <w:trHeight w:val="21"/>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-719455</wp:posOffset>
            </wp:positionV>
            <wp:extent cx="462915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during the three months ended March 31, 2023 and 2024.</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 has evaluated subsequent events for financial statement purposes occurring through May 15, 2024, the date when these condensed consolidated financial statements were available to be issued and through June 18, 2024, the date when these condensed consolidated financial statements are available to be reissued. No subsequent events have been identified for disclosure to or adjustment in the condensed consolidated financial statements, other than the matters noted below.</w:t>
      </w:r>
    </w:p>
    <w:p>
      <w:pPr>
        <w:spacing w:after="0" w:line="10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From April 2024 through June 2024, the Company granted stock options for the purchase of an aggregate of 5,968,650 shares of common stock, with an exercise price ranging from $2.18 – $2.85 per share to employees under the 2021 Plan. These options have vesting terms of four years with one-year cliff vesting.</w:t>
      </w:r>
    </w:p>
    <w:p>
      <w:pPr>
        <w:spacing w:after="0" w:line="10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May 2024, the Company’s board of directors adopted and the shareholders approved the 2024 Performance Option Plan (the “2024 POP”). The Company reserved 8,792,390 shares of common stock issuable under the 2024 POP. The 2024 POP permits grants of ISOs, NSOs and restricted stock awards to the Company’s employees, directors and consultants.</w:t>
      </w:r>
    </w:p>
    <w:p>
      <w:pPr>
        <w:spacing w:after="0" w:line="11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May 2024, the Company granted NSOs to employees to purchase 8,792,390 shares of common stock at an exercise price of $2.18 under the 2024 POP. Options generally vest on the date when both a performance condition and a service condition are satisfied for such shares. The performance condition is satisfied based on the Company meeting certain common stock public market price specified targets after the end of the lock-up period. The price target performance conditions are calculated based on the volume weighted average price per share over 30 consecutive trading dates, in accordance with the grant terms. Shares subject to the option that have not satisfied the performance condition within six years from the vesting commencement date shall expire. The service condition includes monthly vesting over 36 months from the vesting commencement date and the employee’s continuous service with the Company through each such monthly vesting date.</w:t>
      </w:r>
    </w:p>
    <w:p>
      <w:pPr>
        <w:spacing w:after="0" w:line="323"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May 2024, the Company received $129.5 million gross cash proceeds from the issuance of 41,264,892 shares of Series C redeemable convertible preferred stock at a purchase price of $3.13826 per share in the Second Tranche Series C Closing.</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4" w:name="page265"/>
    <w:bookmarkEnd w:id="2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940"/>
        <w:spacing w:after="0"/>
        <w:rPr>
          <w:sz w:val="20"/>
          <w:szCs w:val="20"/>
          <w:color w:val="auto"/>
        </w:rPr>
      </w:pPr>
      <w:r>
        <w:rPr>
          <w:rFonts w:ascii="Arial" w:cs="Arial" w:eastAsia="Arial" w:hAnsi="Arial"/>
          <w:sz w:val="32"/>
          <w:szCs w:val="32"/>
          <w:b w:val="1"/>
          <w:bCs w:val="1"/>
          <w:i w:val="1"/>
          <w:i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572770</wp:posOffset>
            </wp:positionV>
            <wp:extent cx="2168525" cy="55753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685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380"/>
        <w:spacing w:after="0"/>
        <w:rPr>
          <w:sz w:val="20"/>
          <w:szCs w:val="20"/>
          <w:color w:val="auto"/>
        </w:rPr>
      </w:pPr>
      <w:r>
        <w:rPr>
          <w:rFonts w:ascii="Arial" w:cs="Arial" w:eastAsia="Arial" w:hAnsi="Arial"/>
          <w:sz w:val="25"/>
          <w:szCs w:val="25"/>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80"/>
        <w:spacing w:after="0"/>
        <w:rPr>
          <w:sz w:val="20"/>
          <w:szCs w:val="20"/>
          <w:color w:val="auto"/>
        </w:rPr>
      </w:pPr>
      <w:r>
        <w:rPr>
          <w:rFonts w:ascii="Georgia" w:cs="Georgia" w:eastAsia="Georgia" w:hAnsi="Georgia"/>
          <w:sz w:val="22"/>
          <w:szCs w:val="22"/>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1231265</wp:posOffset>
            </wp:positionV>
            <wp:extent cx="10972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420" w:right="339" w:hanging="6339"/>
        <w:spacing w:after="0" w:line="220" w:lineRule="auto"/>
        <w:tabs>
          <w:tab w:leader="none" w:pos="7400" w:val="left"/>
        </w:tabs>
        <w:rPr>
          <w:sz w:val="20"/>
          <w:szCs w:val="20"/>
          <w:color w:val="auto"/>
        </w:rPr>
      </w:pPr>
      <w:r>
        <w:rPr>
          <w:rFonts w:ascii="Arial" w:cs="Arial" w:eastAsia="Arial" w:hAnsi="Arial"/>
          <w:sz w:val="25"/>
          <w:szCs w:val="25"/>
          <w:b w:val="1"/>
          <w:bCs w:val="1"/>
          <w:i w:val="1"/>
          <w:iCs w:val="1"/>
          <w:color w:val="auto"/>
        </w:rPr>
        <w:t>Morgan​ Stanley​​Leerink Partners​​Cantor​​</w:t>
        <w:tab/>
        <w:t>Guggenheim ​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635</wp:posOffset>
            </wp:positionV>
            <wp:extent cx="10972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106045</wp:posOffset>
            </wp:positionV>
            <wp:extent cx="52120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5" w:name="page266"/>
    <w:bookmarkEnd w:id="2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Unless otherwise indicated, all references to “Alumis,” the “company,” “we,” “our,” “us” or similar terms refer to Alumis Inc.</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in connection with this offering. All amounts shown are estimates except for the Securities and Exchange Commission (SEC) registration fee, the Financial Industry Regulatory Authority, Inc. (FINRA) filing fee and Nasdaq Global Market (Nasdaq) listing fee.</w:t>
      </w: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60" w:type="dxa"/>
            <w:vAlign w:val="bottom"/>
            <w:gridSpan w:val="3"/>
          </w:tcPr>
          <w:p>
            <w:pPr>
              <w:ind w:left="19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8"/>
                <w:szCs w:val="28"/>
                <w:b w:val="1"/>
                <w:bCs w:val="1"/>
                <w:color w:val="auto"/>
                <w:vertAlign w:val="subscript"/>
              </w:rPr>
              <w:t>​</w:t>
            </w:r>
          </w:p>
        </w:tc>
      </w:tr>
      <w:tr>
        <w:trPr>
          <w:trHeight w:val="20"/>
        </w:trPr>
        <w:tc>
          <w:tcPr>
            <w:tcW w:w="86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21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76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 ​​$14,760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86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 ​​ ​15,500​</w:t>
            </w:r>
          </w:p>
        </w:tc>
      </w:tr>
      <w:tr>
        <w:trPr>
          <w:trHeight w:val="257"/>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276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 ​​ ​25,000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w:t>
            </w:r>
          </w:p>
        </w:tc>
      </w:tr>
      <w:tr>
        <w:trPr>
          <w:trHeight w:val="257"/>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76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w:t>
            </w: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w:t>
            </w:r>
          </w:p>
        </w:tc>
      </w:tr>
      <w:tr>
        <w:trPr>
          <w:trHeight w:val="25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76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w:t>
            </w:r>
          </w:p>
        </w:tc>
      </w:tr>
      <w:tr>
        <w:trPr>
          <w:trHeight w:val="270"/>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760" w:type="dxa"/>
            <w:vAlign w:val="bottom"/>
            <w:gridSpan w:val="2"/>
          </w:tcPr>
          <w:p>
            <w:pPr>
              <w:ind w:left="200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w w:val="76"/>
              </w:rPr>
              <w:t>​</w:t>
            </w:r>
            <w:r>
              <w:rPr>
                <w:rFonts w:ascii="Times New Roman" w:cs="Times New Roman" w:eastAsia="Times New Roman" w:hAnsi="Times New Roman"/>
                <w:sz w:val="31"/>
                <w:szCs w:val="31"/>
                <w:color w:val="auto"/>
                <w:w w:val="76"/>
                <w:vertAlign w:val="superscript"/>
              </w:rPr>
              <w:t>*</w:t>
            </w:r>
          </w:p>
        </w:tc>
      </w:tr>
      <w:tr>
        <w:trPr>
          <w:trHeight w:val="20"/>
        </w:trPr>
        <w:tc>
          <w:tcPr>
            <w:tcW w:w="86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21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r>
      <w:tr>
        <w:trPr>
          <w:trHeight w:val="74"/>
        </w:trPr>
        <w:tc>
          <w:tcPr>
            <w:tcW w:w="860" w:type="dxa"/>
            <w:vAlign w:val="bottom"/>
            <w:shd w:val="clear" w:color="auto" w:fill="CCEEFF"/>
          </w:tcPr>
          <w:p>
            <w:pPr>
              <w:spacing w:after="0"/>
              <w:rPr>
                <w:sz w:val="6"/>
                <w:szCs w:val="6"/>
                <w:color w:val="auto"/>
              </w:rPr>
            </w:pPr>
          </w:p>
        </w:tc>
        <w:tc>
          <w:tcPr>
            <w:tcW w:w="4580" w:type="dxa"/>
            <w:vAlign w:val="bottom"/>
            <w:shd w:val="clear" w:color="auto" w:fill="CCEEFF"/>
          </w:tcPr>
          <w:p>
            <w:pPr>
              <w:spacing w:after="0"/>
              <w:rPr>
                <w:sz w:val="6"/>
                <w:szCs w:val="6"/>
                <w:color w:val="auto"/>
              </w:rPr>
            </w:pPr>
          </w:p>
        </w:tc>
        <w:tc>
          <w:tcPr>
            <w:tcW w:w="276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3"/>
                <w:szCs w:val="3"/>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2"/>
        </w:trPr>
        <w:tc>
          <w:tcPr>
            <w:tcW w:w="86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2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-290830</wp:posOffset>
            </wp:positionV>
            <wp:extent cx="4834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-1610995</wp:posOffset>
            </wp:positionV>
            <wp:extent cx="482600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65" w:lineRule="exact"/>
        <w:rPr>
          <w:sz w:val="20"/>
          <w:szCs w:val="20"/>
          <w:color w:val="auto"/>
        </w:rPr>
      </w:pPr>
    </w:p>
    <w:p>
      <w:pPr>
        <w:ind w:left="1620" w:hanging="360"/>
        <w:spacing w:after="0"/>
        <w:tabs>
          <w:tab w:leader="none" w:pos="162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provided by amendment.</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6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Section 145 of the Delaware General Corporation Law (DGCL) authorizes a court to award, or a corporation’s board of directors to grant, indemnity to directors and executive officers in terms sufficiently broad to permit such indemnification under certain circumstances for liabilities, including reimbursement for expenses incurred, arising under the Securities Act of 1933, as amended (the Securities Act). Our amended and restated certificate of incorporation that will be in effect immediately prior to the closing of this offering permits indemnification of our directors, officers, employees and other agents to the maximum extent permitted by the DGCL, and our amended and restated bylaws that will be in effect on the closing of this offering provide that we will indemnify our directors and executive officers and permit us to indemnify our employees and other agents, in each case to the maximum extent permitted by the DGCL.</w:t>
      </w:r>
    </w:p>
    <w:p>
      <w:pPr>
        <w:spacing w:after="0" w:line="11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Alumis, provided that such director or executive officer acted in good faith and in a manner that the director or executive officer reasonably believed to be in, or not opposed to, the best interest of Alumis.</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 director or executive officer of Alumis regarding which indemnification is sought, nor is the registrant aware of any threatened litigation that may result in claims for indemnification.</w:t>
      </w:r>
    </w:p>
    <w:p>
      <w:pPr>
        <w:spacing w:after="0" w:line="10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0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underwriter is obligated, under certain circumstances, under the underwriting agreement to be filed as Exhibit 1.1 to this Registration Statement, to indemnify us and our officers and directors against liabilities under the Securities Act.</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6" w:name="page267"/>
    <w:bookmarkEnd w:id="2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62"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Set forth below is information regarding unregistered securities issued by us since our inception in April 4, 2021.</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Plan-Related Issuances</w:t>
      </w:r>
    </w:p>
    <w:p>
      <w:pPr>
        <w:spacing w:after="0" w:line="162"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From September 1, 2021 through the filing date of this registration statement, we granted to certain directors, officers, employees, consultants and other service providers options to purchase an aggregate of</w:t>
      </w:r>
    </w:p>
    <w:p>
      <w:pPr>
        <w:jc w:val="both"/>
        <w:ind w:left="1260" w:right="419"/>
        <w:spacing w:after="0" w:line="255" w:lineRule="auto"/>
        <w:tabs>
          <w:tab w:leader="none" w:pos="151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38,191,713 shares of our Class A common stock under the 2021 Plan at exercise prices ranging from $0.82 to $3.73 per share and (ii) 8,792,390 shares of our Class A common stock under the 2024 POP at an exercise price of $2.18 per share.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Issuances</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February 2021, we issued and sold an aggregate of 10,500,000 shares of our Series Seed redeemable convertible preferred stock at a purchase price of $1.00 per share for an aggregate purchase price of $10,500,000.00.</w:t>
      </w:r>
    </w:p>
    <w:p>
      <w:pPr>
        <w:spacing w:after="0" w:line="10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In March 2021, we issued and sold an aggregate of 7,500,000 shares of our Series A redeemable convertible preferred stock at a purchase price of $4.00 per share for an aggregate purchase price of $30,000,00.00.</w:t>
      </w:r>
    </w:p>
    <w:p>
      <w:pPr>
        <w:spacing w:after="0" w:line="94"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From December 2021 through January 2022, we sold an aggregate of 40,200,000 shares of our Series B redeemable convertible preferred stock at a purchase price of $5.00 per share. We also sold an aggregate of 9,760,088 shares of our Series B-1 redeemable convertible preferred stock upon the conversion of certain convertible promissory notes at a price of $4.00 per share. The aggregate purchase price for the Series B and Series B-1 redeemable convertible preferred shares was $240,040,356.18, $39,040,356.18 of which consisted of the conversion of outstanding convertible promissory notes.</w:t>
      </w:r>
    </w:p>
    <w:p>
      <w:pPr>
        <w:spacing w:after="0" w:line="106"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In May 2023 and October 2023, we sold an aggregate of 14,943,510 shares of our Series B-2 redeemable convertible preferred stock at a purchase price of $5.00 per share. We also sold an aggregate of 3,056,490 shares of our Series B-2A redeemable convertible preferred stock at a price of $5.00 per share. The aggregate purchase price for the Series B-2 and Series B-2A redeemable convertible preferred shares was $90,000,000.00.</w:t>
      </w:r>
    </w:p>
    <w:p>
      <w:pPr>
        <w:spacing w:after="0" w:line="33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March 2024, we sold an aggregate of 41,264,891 shares of our Series C redeemable convertible preferred stock at a purchase price of $3.13826 per share. The aggregate purchase price for the Series C redeemable convertible preferred shares was $129,499,956.96.</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May 2024, we sold an aggregate of 41,264,892 shares of our Series C redeemable convertible preferred stock at a purchase price of $3.13826 per share. The aggregate purchase price for the Series C redeemable convertible preferred shares was $129,499,960.08.</w:t>
      </w:r>
    </w:p>
    <w:p>
      <w:pPr>
        <w:spacing w:after="0" w:line="9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7" w:name="page268"/>
    <w:bookmarkEnd w:id="2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6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(a)</w:t>
        <w:tab/>
        <w:t>Exhibits.</w:t>
      </w:r>
    </w:p>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0"/>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5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1"/>
                <w:szCs w:val="21"/>
                <w:color w:val="auto"/>
              </w:rPr>
            </w:pPr>
          </w:p>
        </w:tc>
        <w:tc>
          <w:tcPr>
            <w:tcW w:w="7500" w:type="dxa"/>
            <w:vAlign w:val="bottom"/>
            <w:gridSpan w:val="15"/>
          </w:tcPr>
          <w:p>
            <w:pPr>
              <w:spacing w:after="0" w:line="247" w:lineRule="exact"/>
              <w:rPr>
                <w:rFonts w:ascii="Times New Roman" w:cs="Times New Roman" w:eastAsia="Times New Roman" w:hAnsi="Times New Roman"/>
                <w:sz w:val="15"/>
                <w:szCs w:val="15"/>
                <w:color w:val="0000EE"/>
              </w:rPr>
            </w:pPr>
            <w:hyperlink r:id="rId636"/>
            <w:r>
              <w:rPr>
                <w:rFonts w:ascii="Times New Roman" w:cs="Times New Roman" w:eastAsia="Times New Roman" w:hAnsi="Times New Roman"/>
                <w:sz w:val="28"/>
                <w:szCs w:val="28"/>
                <w:color w:val="000000"/>
                <w:vertAlign w:val="superscript"/>
              </w:rPr>
              <w:t>​​</w:t>
            </w:r>
            <w:hyperlink r:id="rId636">
              <w:r>
                <w:rPr>
                  <w:rFonts w:ascii="Times New Roman" w:cs="Times New Roman" w:eastAsia="Times New Roman" w:hAnsi="Times New Roman"/>
                  <w:sz w:val="15"/>
                  <w:szCs w:val="15"/>
                  <w:color w:val="0000EE"/>
                </w:rPr>
                <w:t>Amended and Restated Certificate of Incorporation of the Registrant, as currently in effect.</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1"/>
                <w:szCs w:val="21"/>
                <w:color w:val="auto"/>
              </w:rPr>
            </w:pPr>
          </w:p>
        </w:tc>
        <w:tc>
          <w:tcPr>
            <w:tcW w:w="75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 to be in effect​</w:t>
            </w:r>
          </w:p>
        </w:tc>
      </w:tr>
      <w:tr>
        <w:trPr>
          <w:trHeight w:val="230"/>
        </w:trPr>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immediately after the closing of the offering.</w:t>
            </w:r>
          </w:p>
        </w:tc>
        <w:tc>
          <w:tcPr>
            <w:tcW w:w="60" w:type="dxa"/>
            <w:vAlign w:val="bottom"/>
          </w:tcPr>
          <w:p>
            <w:pPr>
              <w:spacing w:after="0"/>
              <w:rPr>
                <w:sz w:val="19"/>
                <w:szCs w:val="19"/>
                <w:color w:val="auto"/>
              </w:rPr>
            </w:pPr>
          </w:p>
        </w:tc>
      </w:tr>
      <w:tr>
        <w:trPr>
          <w:trHeight w:val="24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1"/>
                <w:szCs w:val="21"/>
                <w:color w:val="auto"/>
              </w:rPr>
            </w:pPr>
          </w:p>
        </w:tc>
        <w:tc>
          <w:tcPr>
            <w:tcW w:w="7500" w:type="dxa"/>
            <w:vAlign w:val="bottom"/>
            <w:gridSpan w:val="15"/>
          </w:tcPr>
          <w:p>
            <w:pPr>
              <w:spacing w:after="0" w:line="247" w:lineRule="exact"/>
              <w:rPr>
                <w:rFonts w:ascii="Times New Roman" w:cs="Times New Roman" w:eastAsia="Times New Roman" w:hAnsi="Times New Roman"/>
                <w:sz w:val="15"/>
                <w:szCs w:val="15"/>
                <w:color w:val="0000EE"/>
              </w:rPr>
            </w:pPr>
            <w:hyperlink r:id="rId637"/>
            <w:r>
              <w:rPr>
                <w:rFonts w:ascii="Times New Roman" w:cs="Times New Roman" w:eastAsia="Times New Roman" w:hAnsi="Times New Roman"/>
                <w:sz w:val="28"/>
                <w:szCs w:val="28"/>
                <w:color w:val="000000"/>
                <w:vertAlign w:val="superscript"/>
              </w:rPr>
              <w:t>​​</w:t>
            </w:r>
            <w:hyperlink r:id="rId637">
              <w:r>
                <w:rPr>
                  <w:rFonts w:ascii="Times New Roman" w:cs="Times New Roman" w:eastAsia="Times New Roman" w:hAnsi="Times New Roman"/>
                  <w:sz w:val="15"/>
                  <w:szCs w:val="15"/>
                  <w:color w:val="0000EE"/>
                </w:rPr>
                <w:t>Bylaws of the Registrant, as currently in effect.</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1"/>
                <w:szCs w:val="21"/>
                <w:color w:val="auto"/>
              </w:rPr>
            </w:pPr>
          </w:p>
        </w:tc>
        <w:tc>
          <w:tcPr>
            <w:tcW w:w="75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of Amended and Restated Bylaws of the Registrant, to be in effect on the closing of the​</w:t>
            </w:r>
          </w:p>
        </w:tc>
      </w:tr>
      <w:tr>
        <w:trPr>
          <w:trHeight w:val="229"/>
        </w:trPr>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offering.</w:t>
            </w:r>
          </w:p>
        </w:tc>
        <w:tc>
          <w:tcPr>
            <w:tcW w:w="2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0"/>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3"/>
                <w:szCs w:val="23"/>
                <w:color w:val="auto"/>
              </w:rPr>
            </w:pPr>
          </w:p>
        </w:tc>
        <w:tc>
          <w:tcPr>
            <w:tcW w:w="3420" w:type="dxa"/>
            <w:vAlign w:val="bottom"/>
            <w:gridSpan w:val="7"/>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Form of Common Stock Certificate.</w:t>
            </w:r>
          </w:p>
        </w:tc>
        <w:tc>
          <w:tcPr>
            <w:tcW w:w="2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756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638">
              <w:r>
                <w:rPr>
                  <w:rFonts w:ascii="Times New Roman" w:cs="Times New Roman" w:eastAsia="Times New Roman" w:hAnsi="Times New Roman"/>
                  <w:sz w:val="18"/>
                  <w:szCs w:val="18"/>
                  <w:color w:val="0000EE"/>
                </w:rPr>
                <w:t>Amended and Restated Investors’ Rights Agreement, by and among the Registrant and certain of</w:t>
              </w:r>
            </w:hyperlink>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638">
              <w:r>
                <w:rPr>
                  <w:rFonts w:ascii="Times New Roman" w:cs="Times New Roman" w:eastAsia="Times New Roman" w:hAnsi="Times New Roman"/>
                  <w:sz w:val="18"/>
                  <w:szCs w:val="18"/>
                  <w:color w:val="0000EE"/>
                </w:rPr>
                <w:t>its stockholders, dated March 4, 2024.</w:t>
              </w:r>
            </w:hyperlink>
          </w:p>
        </w:tc>
        <w:tc>
          <w:tcPr>
            <w:tcW w:w="440" w:type="dxa"/>
            <w:vAlign w:val="bottom"/>
            <w:tcBorders>
              <w:top w:val="single" w:sz="8" w:color="0000EE"/>
            </w:tcBorders>
            <w:gridSpan w:val="2"/>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272"/>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23"/>
                <w:szCs w:val="23"/>
                <w:color w:val="auto"/>
              </w:rPr>
            </w:pPr>
          </w:p>
        </w:tc>
        <w:tc>
          <w:tcPr>
            <w:tcW w:w="3420" w:type="dxa"/>
            <w:vAlign w:val="bottom"/>
            <w:gridSpan w:val="7"/>
          </w:tcPr>
          <w:p>
            <w:pPr>
              <w:spacing w:after="0" w:line="272"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Opinion of Cooley LLP.</w:t>
            </w:r>
          </w:p>
        </w:tc>
        <w:tc>
          <w:tcPr>
            <w:tcW w:w="2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1"/>
                <w:szCs w:val="21"/>
                <w:color w:val="auto"/>
              </w:rPr>
            </w:pPr>
          </w:p>
        </w:tc>
        <w:tc>
          <w:tcPr>
            <w:tcW w:w="3420" w:type="dxa"/>
            <w:vAlign w:val="bottom"/>
            <w:gridSpan w:val="7"/>
          </w:tcPr>
          <w:p>
            <w:pPr>
              <w:spacing w:after="0" w:line="247" w:lineRule="exact"/>
              <w:rPr>
                <w:rFonts w:ascii="Times New Roman" w:cs="Times New Roman" w:eastAsia="Times New Roman" w:hAnsi="Times New Roman"/>
                <w:sz w:val="15"/>
                <w:szCs w:val="15"/>
                <w:color w:val="0000EE"/>
              </w:rPr>
            </w:pPr>
            <w:hyperlink r:id="rId639"/>
            <w:r>
              <w:rPr>
                <w:rFonts w:ascii="Times New Roman" w:cs="Times New Roman" w:eastAsia="Times New Roman" w:hAnsi="Times New Roman"/>
                <w:sz w:val="28"/>
                <w:szCs w:val="28"/>
                <w:color w:val="000000"/>
                <w:vertAlign w:val="superscript"/>
              </w:rPr>
              <w:t>​​</w:t>
            </w:r>
            <w:hyperlink r:id="rId639">
              <w:r>
                <w:rPr>
                  <w:rFonts w:ascii="Times New Roman" w:cs="Times New Roman" w:eastAsia="Times New Roman" w:hAnsi="Times New Roman"/>
                  <w:sz w:val="15"/>
                  <w:szCs w:val="15"/>
                  <w:color w:val="0000EE"/>
                </w:rPr>
                <w:t>Alumis Inc. 2021 Stock Plan, as amended.</w:t>
              </w:r>
            </w:hyperlink>
          </w:p>
        </w:tc>
        <w:tc>
          <w:tcPr>
            <w:tcW w:w="2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640">
              <w:r>
                <w:rPr>
                  <w:rFonts w:ascii="Times New Roman" w:cs="Times New Roman" w:eastAsia="Times New Roman" w:hAnsi="Times New Roman"/>
                  <w:sz w:val="18"/>
                  <w:szCs w:val="18"/>
                  <w:color w:val="0000EE"/>
                </w:rPr>
                <w:t>Forms of Stock Option Grant Notice under</w:t>
              </w:r>
            </w:hyperlink>
          </w:p>
        </w:tc>
        <w:tc>
          <w:tcPr>
            <w:tcW w:w="4200" w:type="dxa"/>
            <w:vAlign w:val="bottom"/>
            <w:gridSpan w:val="9"/>
          </w:tcPr>
          <w:p>
            <w:pPr>
              <w:ind w:left="80"/>
              <w:spacing w:after="0"/>
              <w:rPr>
                <w:rFonts w:ascii="Times New Roman" w:cs="Times New Roman" w:eastAsia="Times New Roman" w:hAnsi="Times New Roman"/>
                <w:sz w:val="18"/>
                <w:szCs w:val="18"/>
                <w:color w:val="0000EE"/>
              </w:rPr>
            </w:pPr>
            <w:hyperlink r:id="rId640">
              <w:r>
                <w:rPr>
                  <w:rFonts w:ascii="Times New Roman" w:cs="Times New Roman" w:eastAsia="Times New Roman" w:hAnsi="Times New Roman"/>
                  <w:sz w:val="18"/>
                  <w:szCs w:val="18"/>
                  <w:color w:val="0000EE"/>
                </w:rPr>
                <w:t>Alumis Inc. 2021 Stock Plan, as amended.</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9"/>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Alumis Inc. 2024 Equity Incentive Plan.</w:t>
            </w:r>
          </w:p>
        </w:tc>
        <w:tc>
          <w:tcPr>
            <w:tcW w:w="260" w:type="dxa"/>
            <w:vAlign w:val="bottom"/>
            <w:tcBorders>
              <w:top w:val="single" w:sz="8" w:color="0000EE"/>
            </w:tcBorders>
          </w:tcPr>
          <w:p>
            <w:pPr>
              <w:spacing w:after="0"/>
              <w:rPr>
                <w:sz w:val="22"/>
                <w:szCs w:val="22"/>
                <w:color w:val="auto"/>
              </w:rPr>
            </w:pPr>
          </w:p>
        </w:tc>
        <w:tc>
          <w:tcPr>
            <w:tcW w:w="2900" w:type="dxa"/>
            <w:vAlign w:val="bottom"/>
            <w:tcBorders>
              <w:top w:val="single" w:sz="8" w:color="0000EE"/>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75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​​Forms of Stock Option Grant Notice, Stock Option Agreement and Notice of Exercise under the​</w:t>
            </w:r>
          </w:p>
        </w:tc>
      </w:tr>
      <w:tr>
        <w:trPr>
          <w:trHeight w:val="234"/>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Alumis Inc. 2024 Equity Incentive Plan.</w:t>
            </w:r>
          </w:p>
        </w:tc>
        <w:tc>
          <w:tcPr>
            <w:tcW w:w="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75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​​Forms of Restricted Stock Unit Grant Notice and Award Agreement under the Alumis Inc. 2024​</w:t>
            </w:r>
          </w:p>
        </w:tc>
      </w:tr>
      <w:tr>
        <w:trPr>
          <w:trHeight w:val="230"/>
        </w:trPr>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Equity Incentive Plan.</w:t>
            </w:r>
          </w:p>
        </w:tc>
        <w:tc>
          <w:tcPr>
            <w:tcW w:w="2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1"/>
                <w:szCs w:val="21"/>
                <w:color w:val="auto"/>
              </w:rPr>
            </w:pPr>
          </w:p>
        </w:tc>
        <w:tc>
          <w:tcPr>
            <w:tcW w:w="3420" w:type="dxa"/>
            <w:vAlign w:val="bottom"/>
            <w:gridSpan w:val="7"/>
          </w:tcPr>
          <w:p>
            <w:pPr>
              <w:spacing w:after="0" w:line="247" w:lineRule="exact"/>
              <w:rPr>
                <w:rFonts w:ascii="Times New Roman" w:cs="Times New Roman" w:eastAsia="Times New Roman" w:hAnsi="Times New Roman"/>
                <w:sz w:val="15"/>
                <w:szCs w:val="15"/>
                <w:color w:val="0000EE"/>
              </w:rPr>
            </w:pPr>
            <w:hyperlink r:id="rId641"/>
            <w:r>
              <w:rPr>
                <w:rFonts w:ascii="Times New Roman" w:cs="Times New Roman" w:eastAsia="Times New Roman" w:hAnsi="Times New Roman"/>
                <w:sz w:val="28"/>
                <w:szCs w:val="28"/>
                <w:color w:val="000000"/>
                <w:vertAlign w:val="superscript"/>
              </w:rPr>
              <w:t>​​</w:t>
            </w:r>
            <w:hyperlink r:id="rId641">
              <w:r>
                <w:rPr>
                  <w:rFonts w:ascii="Times New Roman" w:cs="Times New Roman" w:eastAsia="Times New Roman" w:hAnsi="Times New Roman"/>
                  <w:sz w:val="15"/>
                  <w:szCs w:val="15"/>
                  <w:color w:val="0000EE"/>
                </w:rPr>
                <w:t>Alumis Inc. 2024 Performance Option Plan.</w:t>
              </w:r>
            </w:hyperlink>
          </w:p>
        </w:tc>
        <w:tc>
          <w:tcPr>
            <w:tcW w:w="2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9"/>
                <w:szCs w:val="19"/>
                <w:color w:val="auto"/>
              </w:rPr>
            </w:pPr>
          </w:p>
        </w:tc>
        <w:tc>
          <w:tcPr>
            <w:tcW w:w="756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642">
              <w:r>
                <w:rPr>
                  <w:rFonts w:ascii="Times New Roman" w:cs="Times New Roman" w:eastAsia="Times New Roman" w:hAnsi="Times New Roman"/>
                  <w:sz w:val="18"/>
                  <w:szCs w:val="18"/>
                  <w:color w:val="0000EE"/>
                </w:rPr>
                <w:t>Forms of Stock Option Grant Notice, Stock Option Agreement and Notice of Exercise under the</w:t>
              </w:r>
            </w:hyperlink>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642">
              <w:r>
                <w:rPr>
                  <w:rFonts w:ascii="Times New Roman" w:cs="Times New Roman" w:eastAsia="Times New Roman" w:hAnsi="Times New Roman"/>
                  <w:sz w:val="18"/>
                  <w:szCs w:val="18"/>
                  <w:color w:val="0000EE"/>
                </w:rPr>
                <w:t>Alumis Inc. 2024 Performance Option Plan.</w:t>
              </w:r>
            </w:hyperlink>
          </w:p>
        </w:tc>
        <w:tc>
          <w:tcPr>
            <w:tcW w:w="26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272"/>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7500" w:type="dxa"/>
            <w:vAlign w:val="bottom"/>
            <w:gridSpan w:val="15"/>
          </w:tcPr>
          <w:p>
            <w:pPr>
              <w:spacing w:after="0" w:line="272"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Alumis Inc. 2024 Employee Stock Purchase Plan.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7500" w:type="dxa"/>
            <w:vAlign w:val="bottom"/>
            <w:gridSpan w:val="15"/>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Alumis Inc. 2024 Non-Employee Director Compensation Policy.</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3420" w:type="dxa"/>
            <w:vAlign w:val="bottom"/>
            <w:gridSpan w:val="7"/>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Alumis Inc. Severance Plan.</w:t>
            </w:r>
          </w:p>
        </w:tc>
        <w:tc>
          <w:tcPr>
            <w:tcW w:w="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75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of Indemnification Agreement by and between the Registrant and its directors and​</w:t>
            </w:r>
          </w:p>
        </w:tc>
      </w:tr>
      <w:tr>
        <w:trPr>
          <w:trHeight w:val="234"/>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21"/>
                <w:szCs w:val="21"/>
                <w:color w:val="auto"/>
              </w:rPr>
            </w:pPr>
          </w:p>
        </w:tc>
        <w:tc>
          <w:tcPr>
            <w:tcW w:w="756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643">
              <w:r>
                <w:rPr>
                  <w:rFonts w:ascii="Times New Roman" w:cs="Times New Roman" w:eastAsia="Times New Roman" w:hAnsi="Times New Roman"/>
                  <w:sz w:val="18"/>
                  <w:szCs w:val="18"/>
                  <w:color w:val="0000EE"/>
                </w:rPr>
                <w:t>Lease Agreement dated as of August 11, 2022 by and between the Registrant and PG VII</w:t>
              </w:r>
            </w:hyperlink>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43">
              <w:r>
                <w:rPr>
                  <w:rFonts w:ascii="Times New Roman" w:cs="Times New Roman" w:eastAsia="Times New Roman" w:hAnsi="Times New Roman"/>
                  <w:sz w:val="18"/>
                  <w:szCs w:val="18"/>
                  <w:color w:val="0000EE"/>
                  <w:w w:val="99"/>
                </w:rPr>
                <w:t>280 East Grand, LLC.</w:t>
              </w:r>
            </w:hyperlink>
          </w:p>
        </w:tc>
        <w:tc>
          <w:tcPr>
            <w:tcW w:w="1660" w:type="dxa"/>
            <w:vAlign w:val="bottom"/>
            <w:tcBorders>
              <w:top w:val="single" w:sz="8" w:color="0000EE"/>
            </w:tcBorders>
            <w:gridSpan w:val="3"/>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277"/>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7500" w:type="dxa"/>
            <w:vAlign w:val="bottom"/>
            <w:gridSpan w:val="15"/>
          </w:tcPr>
          <w:p>
            <w:pPr>
              <w:spacing w:after="0" w:line="276" w:lineRule="exact"/>
              <w:rPr>
                <w:rFonts w:ascii="Times New Roman" w:cs="Times New Roman" w:eastAsia="Times New Roman" w:hAnsi="Times New Roman"/>
                <w:sz w:val="17"/>
                <w:szCs w:val="17"/>
                <w:color w:val="0000EE"/>
              </w:rPr>
            </w:pPr>
            <w:hyperlink r:id="rId644"/>
            <w:r>
              <w:rPr>
                <w:rFonts w:ascii="Times New Roman" w:cs="Times New Roman" w:eastAsia="Times New Roman" w:hAnsi="Times New Roman"/>
                <w:sz w:val="32"/>
                <w:szCs w:val="32"/>
                <w:color w:val="000000"/>
                <w:vertAlign w:val="superscript"/>
              </w:rPr>
              <w:t>​​</w:t>
            </w:r>
            <w:hyperlink r:id="rId644">
              <w:r>
                <w:rPr>
                  <w:rFonts w:ascii="Times New Roman" w:cs="Times New Roman" w:eastAsia="Times New Roman" w:hAnsi="Times New Roman"/>
                  <w:sz w:val="17"/>
                  <w:szCs w:val="17"/>
                  <w:color w:val="0000EE"/>
                </w:rPr>
                <w:t>Offer Letter, dated as of September 15, 2021, by and between the Registrant and Martin Babler.</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72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7560" w:type="dxa"/>
            <w:vAlign w:val="bottom"/>
            <w:gridSpan w:val="16"/>
          </w:tcPr>
          <w:p>
            <w:pPr>
              <w:spacing w:after="0" w:line="250" w:lineRule="exact"/>
              <w:rPr>
                <w:rFonts w:ascii="Times New Roman" w:cs="Times New Roman" w:eastAsia="Times New Roman" w:hAnsi="Times New Roman"/>
                <w:sz w:val="15"/>
                <w:szCs w:val="15"/>
                <w:color w:val="0000EE"/>
              </w:rPr>
            </w:pPr>
            <w:hyperlink r:id="rId645"/>
            <w:r>
              <w:rPr>
                <w:rFonts w:ascii="Times New Roman" w:cs="Times New Roman" w:eastAsia="Times New Roman" w:hAnsi="Times New Roman"/>
                <w:sz w:val="28"/>
                <w:szCs w:val="28"/>
                <w:color w:val="000000"/>
                <w:vertAlign w:val="superscript"/>
              </w:rPr>
              <w:t>​​</w:t>
            </w:r>
            <w:hyperlink r:id="rId645">
              <w:r>
                <w:rPr>
                  <w:rFonts w:ascii="Times New Roman" w:cs="Times New Roman" w:eastAsia="Times New Roman" w:hAnsi="Times New Roman"/>
                  <w:sz w:val="15"/>
                  <w:szCs w:val="15"/>
                  <w:color w:val="0000EE"/>
                </w:rPr>
                <w:t>Offer Letter, dated as of September 15, 2021, by and between the Registrant and David Goldstein.</w:t>
              </w:r>
            </w:hyperlink>
            <w:r>
              <w:rPr>
                <w:rFonts w:ascii="Times New Roman" w:cs="Times New Roman" w:eastAsia="Times New Roman" w:hAnsi="Times New Roman"/>
                <w:sz w:val="28"/>
                <w:szCs w:val="28"/>
                <w:color w:val="000000"/>
                <w:vertAlign w:val="superscript"/>
              </w:rPr>
              <w:t>​</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72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7500" w:type="dxa"/>
            <w:vAlign w:val="bottom"/>
            <w:gridSpan w:val="15"/>
          </w:tcPr>
          <w:p>
            <w:pPr>
              <w:spacing w:after="0" w:line="250" w:lineRule="exact"/>
              <w:rPr>
                <w:rFonts w:ascii="Times New Roman" w:cs="Times New Roman" w:eastAsia="Times New Roman" w:hAnsi="Times New Roman"/>
                <w:sz w:val="15"/>
                <w:szCs w:val="15"/>
                <w:color w:val="0000EE"/>
              </w:rPr>
            </w:pPr>
            <w:hyperlink r:id="rId646"/>
            <w:r>
              <w:rPr>
                <w:rFonts w:ascii="Times New Roman" w:cs="Times New Roman" w:eastAsia="Times New Roman" w:hAnsi="Times New Roman"/>
                <w:sz w:val="28"/>
                <w:szCs w:val="28"/>
                <w:color w:val="000000"/>
                <w:vertAlign w:val="superscript"/>
              </w:rPr>
              <w:t>​​</w:t>
            </w:r>
            <w:hyperlink r:id="rId646">
              <w:r>
                <w:rPr>
                  <w:rFonts w:ascii="Times New Roman" w:cs="Times New Roman" w:eastAsia="Times New Roman" w:hAnsi="Times New Roman"/>
                  <w:sz w:val="15"/>
                  <w:szCs w:val="15"/>
                  <w:color w:val="0000EE"/>
                </w:rPr>
                <w:t>Offer Letter, dated as of September 15, 2021, by and between the Registrant and Roy Hardiman.</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72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7500" w:type="dxa"/>
            <w:vAlign w:val="bottom"/>
            <w:gridSpan w:val="15"/>
          </w:tcPr>
          <w:p>
            <w:pPr>
              <w:spacing w:after="0" w:line="250" w:lineRule="exact"/>
              <w:rPr>
                <w:rFonts w:ascii="Times New Roman" w:cs="Times New Roman" w:eastAsia="Times New Roman" w:hAnsi="Times New Roman"/>
                <w:sz w:val="15"/>
                <w:szCs w:val="15"/>
                <w:color w:val="0000EE"/>
              </w:rPr>
            </w:pPr>
            <w:hyperlink r:id="rId647"/>
            <w:r>
              <w:rPr>
                <w:rFonts w:ascii="Times New Roman" w:cs="Times New Roman" w:eastAsia="Times New Roman" w:hAnsi="Times New Roman"/>
                <w:sz w:val="28"/>
                <w:szCs w:val="28"/>
                <w:color w:val="000000"/>
                <w:vertAlign w:val="superscript"/>
              </w:rPr>
              <w:t>​​</w:t>
            </w:r>
            <w:hyperlink r:id="rId647">
              <w:r>
                <w:rPr>
                  <w:rFonts w:ascii="Times New Roman" w:cs="Times New Roman" w:eastAsia="Times New Roman" w:hAnsi="Times New Roman"/>
                  <w:sz w:val="15"/>
                  <w:szCs w:val="15"/>
                  <w:color w:val="0000EE"/>
                </w:rPr>
                <w:t>Offer Letter, dated as of March 15, 2021, by and between the Registrant and Mark Bradley.</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72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756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648">
              <w:r>
                <w:rPr>
                  <w:rFonts w:ascii="Times New Roman" w:cs="Times New Roman" w:eastAsia="Times New Roman" w:hAnsi="Times New Roman"/>
                  <w:sz w:val="18"/>
                  <w:szCs w:val="18"/>
                  <w:color w:val="0000EE"/>
                </w:rPr>
                <w:t>Amendment to Offer Letter, dated as of July 18, 2023, by and between the Registrant and Mark</w:t>
              </w:r>
            </w:hyperlink>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648">
              <w:r>
                <w:rPr>
                  <w:rFonts w:ascii="Times New Roman" w:cs="Times New Roman" w:eastAsia="Times New Roman" w:hAnsi="Times New Roman"/>
                  <w:sz w:val="18"/>
                  <w:szCs w:val="18"/>
                  <w:color w:val="0000EE"/>
                </w:rPr>
                <w:t>Bradley.</w:t>
              </w:r>
            </w:hyperlink>
          </w:p>
        </w:tc>
        <w:tc>
          <w:tcPr>
            <w:tcW w:w="26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756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649">
              <w:r>
                <w:rPr>
                  <w:rFonts w:ascii="Times New Roman" w:cs="Times New Roman" w:eastAsia="Times New Roman" w:hAnsi="Times New Roman"/>
                  <w:sz w:val="18"/>
                  <w:szCs w:val="18"/>
                  <w:color w:val="0000EE"/>
                </w:rPr>
                <w:t>Offer Letter, dated as of November 12, 2021, by and between the Registrant and Derrick</w:t>
              </w:r>
            </w:hyperlink>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649">
              <w:r>
                <w:rPr>
                  <w:rFonts w:ascii="Times New Roman" w:cs="Times New Roman" w:eastAsia="Times New Roman" w:hAnsi="Times New Roman"/>
                  <w:sz w:val="18"/>
                  <w:szCs w:val="18"/>
                  <w:color w:val="0000EE"/>
                  <w:w w:val="94"/>
                </w:rPr>
                <w:t>Richardson.</w:t>
              </w:r>
            </w:hyperlink>
          </w:p>
        </w:tc>
        <w:tc>
          <w:tcPr>
            <w:tcW w:w="2420" w:type="dxa"/>
            <w:vAlign w:val="bottom"/>
            <w:tcBorders>
              <w:top w:val="single" w:sz="8" w:color="0000EE"/>
            </w:tcBorders>
            <w:gridSpan w:val="4"/>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277"/>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7500" w:type="dxa"/>
            <w:vAlign w:val="bottom"/>
            <w:gridSpan w:val="15"/>
          </w:tcPr>
          <w:p>
            <w:pPr>
              <w:spacing w:after="0" w:line="276" w:lineRule="exact"/>
              <w:rPr>
                <w:rFonts w:ascii="Times New Roman" w:cs="Times New Roman" w:eastAsia="Times New Roman" w:hAnsi="Times New Roman"/>
                <w:sz w:val="17"/>
                <w:szCs w:val="17"/>
                <w:color w:val="0000EE"/>
              </w:rPr>
            </w:pPr>
            <w:hyperlink r:id="rId650"/>
            <w:r>
              <w:rPr>
                <w:rFonts w:ascii="Times New Roman" w:cs="Times New Roman" w:eastAsia="Times New Roman" w:hAnsi="Times New Roman"/>
                <w:sz w:val="32"/>
                <w:szCs w:val="32"/>
                <w:color w:val="000000"/>
                <w:vertAlign w:val="superscript"/>
              </w:rPr>
              <w:t>​​</w:t>
            </w:r>
            <w:hyperlink r:id="rId650">
              <w:r>
                <w:rPr>
                  <w:rFonts w:ascii="Times New Roman" w:cs="Times New Roman" w:eastAsia="Times New Roman" w:hAnsi="Times New Roman"/>
                  <w:sz w:val="17"/>
                  <w:szCs w:val="17"/>
                  <w:color w:val="0000EE"/>
                </w:rPr>
                <w:t>Offer Letter, dated as of January 12, 2022, by and between the Registrant and Sara Klein.</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560" w:type="dxa"/>
            <w:vAlign w:val="bottom"/>
            <w:gridSpan w:val="9"/>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7500" w:type="dxa"/>
            <w:vAlign w:val="bottom"/>
            <w:gridSpan w:val="15"/>
          </w:tcPr>
          <w:p>
            <w:pPr>
              <w:spacing w:after="0" w:line="250" w:lineRule="exact"/>
              <w:rPr>
                <w:rFonts w:ascii="Times New Roman" w:cs="Times New Roman" w:eastAsia="Times New Roman" w:hAnsi="Times New Roman"/>
                <w:sz w:val="15"/>
                <w:szCs w:val="15"/>
                <w:color w:val="0000EE"/>
              </w:rPr>
            </w:pPr>
            <w:hyperlink r:id="rId651"/>
            <w:r>
              <w:rPr>
                <w:rFonts w:ascii="Times New Roman" w:cs="Times New Roman" w:eastAsia="Times New Roman" w:hAnsi="Times New Roman"/>
                <w:sz w:val="28"/>
                <w:szCs w:val="28"/>
                <w:color w:val="000000"/>
                <w:vertAlign w:val="superscript"/>
              </w:rPr>
              <w:t>​​</w:t>
            </w:r>
            <w:hyperlink r:id="rId651">
              <w:r>
                <w:rPr>
                  <w:rFonts w:ascii="Times New Roman" w:cs="Times New Roman" w:eastAsia="Times New Roman" w:hAnsi="Times New Roman"/>
                  <w:sz w:val="15"/>
                  <w:szCs w:val="15"/>
                  <w:color w:val="0000EE"/>
                </w:rPr>
                <w:t>Offer Letter, dated as of March 22, 2022, by and between the Registrant and John Schroer.</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560" w:type="dxa"/>
            <w:vAlign w:val="bottom"/>
            <w:gridSpan w:val="9"/>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7500" w:type="dxa"/>
            <w:vAlign w:val="bottom"/>
            <w:gridSpan w:val="15"/>
          </w:tcPr>
          <w:p>
            <w:pPr>
              <w:spacing w:after="0" w:line="250" w:lineRule="exact"/>
              <w:rPr>
                <w:rFonts w:ascii="Times New Roman" w:cs="Times New Roman" w:eastAsia="Times New Roman" w:hAnsi="Times New Roman"/>
                <w:sz w:val="15"/>
                <w:szCs w:val="15"/>
                <w:color w:val="0000EE"/>
              </w:rPr>
            </w:pPr>
            <w:hyperlink r:id="rId652"/>
            <w:r>
              <w:rPr>
                <w:rFonts w:ascii="Times New Roman" w:cs="Times New Roman" w:eastAsia="Times New Roman" w:hAnsi="Times New Roman"/>
                <w:sz w:val="28"/>
                <w:szCs w:val="28"/>
                <w:color w:val="000000"/>
                <w:vertAlign w:val="superscript"/>
              </w:rPr>
              <w:t>​​</w:t>
            </w:r>
            <w:hyperlink r:id="rId652">
              <w:r>
                <w:rPr>
                  <w:rFonts w:ascii="Times New Roman" w:cs="Times New Roman" w:eastAsia="Times New Roman" w:hAnsi="Times New Roman"/>
                  <w:sz w:val="15"/>
                  <w:szCs w:val="15"/>
                  <w:color w:val="0000EE"/>
                </w:rPr>
                <w:t>Offer Letter, dated as of June 24, 2022, by and between the Registrant and Jörn Drappa.</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 w:lineRule="exact"/>
        <w:rPr>
          <w:sz w:val="20"/>
          <w:szCs w:val="20"/>
          <w:color w:val="auto"/>
        </w:rPr>
      </w:pPr>
    </w:p>
    <w:p>
      <w:pPr>
        <w:jc w:val="right"/>
        <w:ind w:right="3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10.22*¥^​​</w:t>
      </w:r>
      <w:hyperlink r:id="rId653">
        <w:r>
          <w:rPr>
            <w:rFonts w:ascii="Times New Roman" w:cs="Times New Roman" w:eastAsia="Times New Roman" w:hAnsi="Times New Roman"/>
            <w:sz w:val="18"/>
            <w:szCs w:val="18"/>
            <w:u w:val="single" w:color="auto"/>
            <w:color w:val="0000EE"/>
          </w:rPr>
          <w:t>Stock Purchase Agreement, dated as of March 5, 2021, by and among the Registrant, FronThera</w:t>
        </w:r>
      </w:hyperlink>
      <w:r>
        <w:rPr>
          <w:rFonts w:ascii="Times New Roman" w:cs="Times New Roman" w:eastAsia="Times New Roman" w:hAnsi="Times New Roman"/>
          <w:sz w:val="18"/>
          <w:szCs w:val="18"/>
          <w:color w:val="auto"/>
        </w:rPr>
        <w:t>​</w:t>
      </w:r>
    </w:p>
    <w:p>
      <w:pPr>
        <w:spacing w:after="0" w:line="54"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520" w:type="dxa"/>
            <w:vAlign w:val="bottom"/>
          </w:tcPr>
          <w:p>
            <w:pPr>
              <w:spacing w:after="0"/>
              <w:rPr>
                <w:sz w:val="19"/>
                <w:szCs w:val="19"/>
                <w:color w:val="auto"/>
              </w:rPr>
            </w:pPr>
          </w:p>
        </w:tc>
        <w:tc>
          <w:tcPr>
            <w:tcW w:w="7420" w:type="dxa"/>
            <w:vAlign w:val="bottom"/>
          </w:tcPr>
          <w:p>
            <w:pPr>
              <w:ind w:left="280"/>
              <w:spacing w:after="0"/>
              <w:rPr>
                <w:rFonts w:ascii="Times New Roman" w:cs="Times New Roman" w:eastAsia="Times New Roman" w:hAnsi="Times New Roman"/>
                <w:sz w:val="18"/>
                <w:szCs w:val="18"/>
                <w:u w:val="single" w:color="auto"/>
                <w:color w:val="0000EE"/>
              </w:rPr>
            </w:pPr>
            <w:hyperlink r:id="rId653">
              <w:r>
                <w:rPr>
                  <w:rFonts w:ascii="Times New Roman" w:cs="Times New Roman" w:eastAsia="Times New Roman" w:hAnsi="Times New Roman"/>
                  <w:sz w:val="18"/>
                  <w:szCs w:val="18"/>
                  <w:u w:val="single" w:color="auto"/>
                  <w:color w:val="0000EE"/>
                </w:rPr>
                <w:t>International Group Limited and FronThera U.S. Holdings, Inc.</w:t>
              </w:r>
            </w:hyperlink>
          </w:p>
        </w:tc>
        <w:tc>
          <w:tcPr>
            <w:tcW w:w="320" w:type="dxa"/>
            <w:vAlign w:val="bottom"/>
          </w:tcPr>
          <w:p>
            <w:pPr>
              <w:spacing w:after="0"/>
              <w:rPr>
                <w:sz w:val="19"/>
                <w:szCs w:val="19"/>
                <w:color w:val="auto"/>
              </w:rPr>
            </w:pPr>
          </w:p>
        </w:tc>
      </w:tr>
      <w:tr>
        <w:trPr>
          <w:trHeight w:val="475"/>
        </w:trPr>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23.1</w:t>
            </w:r>
          </w:p>
        </w:tc>
        <w:tc>
          <w:tcPr>
            <w:tcW w:w="7420" w:type="dxa"/>
            <w:vAlign w:val="bottom"/>
          </w:tcPr>
          <w:p>
            <w:pPr>
              <w:ind w:left="180"/>
              <w:spacing w:after="0"/>
              <w:rPr>
                <w:sz w:val="20"/>
                <w:szCs w:val="20"/>
                <w:color w:val="auto"/>
              </w:rPr>
            </w:pPr>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u w:val="single" w:color="auto"/>
                <w:color w:val="0000EE"/>
              </w:rPr>
              <w:t>Consent of PricewaterhouseCoopers LLP, Independent Registered Public Accounting Firm.</w:t>
            </w:r>
          </w:p>
        </w:tc>
        <w:tc>
          <w:tcPr>
            <w:tcW w:w="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8" w:name="page269"/>
    <w:bookmarkEnd w:id="268"/>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32575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5">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23.2+</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24.1^</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54864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27940</wp:posOffset>
            </wp:positionV>
            <wp:extent cx="462026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7">
                      <a:extLst>
                        <a:ext uri="{28A0092B-C50C-407E-A947-70E740481C1C}"/>
                      </a:extLst>
                    </a:blip>
                    <a:srcRect/>
                    <a:stretch>
                      <a:fillRect/>
                    </a:stretch>
                  </pic:blipFill>
                  <pic:spPr bwMode="auto">
                    <a:xfrm>
                      <a:off x="0" y="0"/>
                      <a:ext cx="4620260" cy="8890"/>
                    </a:xfrm>
                    <a:prstGeom prst="rect">
                      <a:avLst/>
                    </a:prstGeom>
                    <a:noFill/>
                  </pic:spPr>
                </pic:pic>
              </a:graphicData>
            </a:graphic>
          </wp:anchor>
        </w:drawing>
      </w:r>
    </w:p>
    <w:p>
      <w:pPr>
        <w:ind w:left="120" w:hanging="118"/>
        <w:spacing w:after="0" w:line="206" w:lineRule="auto"/>
        <w:tabs>
          <w:tab w:leader="none" w:pos="120" w:val="left"/>
        </w:tabs>
        <w:numPr>
          <w:ilvl w:val="0"/>
          <w:numId w:val="15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Consent of Cooley LLP (included in Exhibit 5.1).</w:t>
      </w:r>
    </w:p>
    <w:p>
      <w:pPr>
        <w:ind w:left="120" w:hanging="118"/>
        <w:spacing w:after="0" w:line="184" w:lineRule="auto"/>
        <w:tabs>
          <w:tab w:leader="none" w:pos="120" w:val="left"/>
        </w:tabs>
        <w:numPr>
          <w:ilvl w:val="0"/>
          <w:numId w:val="151"/>
        </w:numPr>
        <w:rPr>
          <w:rFonts w:ascii="Times New Roman" w:cs="Times New Roman" w:eastAsia="Times New Roman" w:hAnsi="Times New Roman"/>
          <w:sz w:val="15"/>
          <w:szCs w:val="15"/>
          <w:color w:val="0000EE"/>
        </w:rPr>
      </w:pPr>
      <w:hyperlink r:id="rId658"/>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5"/>
          <w:szCs w:val="15"/>
          <w:color w:val="0000EE"/>
        </w:rPr>
        <w:t xml:space="preserve"> </w:t>
      </w:r>
      <w:hyperlink r:id="rId658">
        <w:r>
          <w:rPr>
            <w:rFonts w:ascii="Times New Roman" w:cs="Times New Roman" w:eastAsia="Times New Roman" w:hAnsi="Times New Roman"/>
            <w:sz w:val="15"/>
            <w:szCs w:val="15"/>
            <w:u w:val="single" w:color="auto"/>
            <w:color w:val="0000EE"/>
          </w:rPr>
          <w:t>Power of Attorney (included on signature page).</w:t>
        </w:r>
      </w:hyperlink>
    </w:p>
    <w:p>
      <w:pPr>
        <w:ind w:left="120" w:hanging="118"/>
        <w:spacing w:after="0" w:line="232" w:lineRule="auto"/>
        <w:tabs>
          <w:tab w:leader="none" w:pos="120" w:val="left"/>
        </w:tabs>
        <w:numPr>
          <w:ilvl w:val="0"/>
          <w:numId w:val="151"/>
        </w:numPr>
        <w:rPr>
          <w:rFonts w:ascii="Times New Roman" w:cs="Times New Roman" w:eastAsia="Times New Roman" w:hAnsi="Times New Roman"/>
          <w:sz w:val="18"/>
          <w:szCs w:val="18"/>
          <w:color w:val="0000EE"/>
        </w:rPr>
      </w:pPr>
      <w:hyperlink r:id="rId659"/>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EE"/>
        </w:rPr>
        <w:t xml:space="preserve"> </w:t>
      </w:r>
      <w:hyperlink r:id="rId659">
        <w:r>
          <w:rPr>
            <w:rFonts w:ascii="Times New Roman" w:cs="Times New Roman" w:eastAsia="Times New Roman" w:hAnsi="Times New Roman"/>
            <w:sz w:val="18"/>
            <w:szCs w:val="18"/>
            <w:u w:val="single" w:color="auto"/>
            <w:color w:val="0000EE"/>
          </w:rPr>
          <w:t>Filing Fee Table.</w:t>
        </w:r>
      </w:hyperlink>
    </w:p>
    <w:p>
      <w:pPr>
        <w:spacing w:after="0" w:line="20" w:lineRule="exact"/>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6"/>
          <w:szCs w:val="36"/>
          <w:color w:val="auto"/>
          <w:vertAlign w:val="superscript"/>
        </w:rPr>
        <w:br w:type="column"/>
      </w: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1"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4"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96" w:lineRule="exact"/>
        <w:rPr>
          <w:rFonts w:ascii="Times New Roman" w:cs="Times New Roman" w:eastAsia="Times New Roman" w:hAnsi="Times New Roman"/>
          <w:sz w:val="36"/>
          <w:szCs w:val="36"/>
          <w:color w:val="auto"/>
          <w:vertAlign w:val="superscript"/>
        </w:rPr>
      </w:pPr>
    </w:p>
    <w:p>
      <w:pPr>
        <w:sectPr>
          <w:pgSz w:w="11900" w:h="16838" w:orient="portrait"/>
          <w:cols w:equalWidth="0" w:num="3">
            <w:col w:w="1760" w:space="200"/>
            <w:col w:w="6780" w:space="720"/>
            <w:col w:w="419"/>
          </w:cols>
          <w:pgMar w:left="580" w:top="97" w:right="1440" w:bottom="1440" w:gutter="0" w:footer="0" w:header="0"/>
          <w:type w:val="continuous"/>
        </w:sectPr>
      </w:pPr>
    </w:p>
    <w:p>
      <w:pPr>
        <w:ind w:left="1620" w:hanging="360"/>
        <w:spacing w:after="0"/>
        <w:tabs>
          <w:tab w:leader="none" w:pos="16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69" w:lineRule="exact"/>
        <w:rPr>
          <w:rFonts w:ascii="Times New Roman" w:cs="Times New Roman" w:eastAsia="Times New Roman" w:hAnsi="Times New Roman"/>
          <w:sz w:val="36"/>
          <w:szCs w:val="36"/>
          <w:color w:val="auto"/>
          <w:vertAlign w:val="superscript"/>
        </w:rPr>
      </w:pPr>
    </w:p>
    <w:p>
      <w:pPr>
        <w:ind w:left="1620" w:hanging="360"/>
        <w:spacing w:after="0"/>
        <w:tabs>
          <w:tab w:leader="none" w:pos="16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82" w:lineRule="exact"/>
        <w:rPr>
          <w:rFonts w:ascii="Times New Roman" w:cs="Times New Roman" w:eastAsia="Times New Roman" w:hAnsi="Times New Roman"/>
          <w:sz w:val="36"/>
          <w:szCs w:val="36"/>
          <w:color w:val="auto"/>
          <w:vertAlign w:val="superscript"/>
        </w:rPr>
      </w:pPr>
    </w:p>
    <w:p>
      <w:pPr>
        <w:ind w:left="1620" w:hanging="360"/>
        <w:spacing w:after="0"/>
        <w:tabs>
          <w:tab w:leader="none" w:pos="16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69" w:lineRule="exact"/>
        <w:rPr>
          <w:rFonts w:ascii="Times New Roman" w:cs="Times New Roman" w:eastAsia="Times New Roman" w:hAnsi="Times New Roman"/>
          <w:sz w:val="36"/>
          <w:szCs w:val="36"/>
          <w:color w:val="auto"/>
          <w:vertAlign w:val="superscript"/>
        </w:rPr>
      </w:pPr>
    </w:p>
    <w:p>
      <w:pPr>
        <w:jc w:val="both"/>
        <w:ind w:left="1620" w:right="419" w:hanging="360"/>
        <w:spacing w:after="0" w:line="261" w:lineRule="auto"/>
        <w:tabs>
          <w:tab w:leader="none" w:pos="16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601(b)(10) of Regulation S-K, portions of this exhibit have been omitted (indicated by “[***]”) as the registrant has determined that the omitted information (i) is not material and (ii) the type of information that the registrant customarily and actually treats as private or confidential.</w:t>
      </w:r>
    </w:p>
    <w:p>
      <w:pPr>
        <w:spacing w:after="0" w:line="28" w:lineRule="exact"/>
        <w:rPr>
          <w:rFonts w:ascii="Times New Roman" w:cs="Times New Roman" w:eastAsia="Times New Roman" w:hAnsi="Times New Roman"/>
          <w:sz w:val="36"/>
          <w:szCs w:val="36"/>
          <w:color w:val="auto"/>
          <w:vertAlign w:val="superscript"/>
        </w:rPr>
      </w:pPr>
    </w:p>
    <w:p>
      <w:pPr>
        <w:ind w:left="1620" w:right="419" w:hanging="360"/>
        <w:spacing w:after="0" w:line="282" w:lineRule="auto"/>
        <w:tabs>
          <w:tab w:leader="none" w:pos="16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have been omitted pursuant to Item 601(a)(5) of Regulation S-K. The registrant undertakes to furnish supplemental copies of any of the omitted schedules upon request by the U.S. Securities and Exchange Commission.</w:t>
      </w:r>
    </w:p>
    <w:p>
      <w:pPr>
        <w:spacing w:after="0" w:line="99" w:lineRule="exact"/>
        <w:rPr>
          <w:rFonts w:ascii="Times New Roman" w:cs="Times New Roman" w:eastAsia="Times New Roman" w:hAnsi="Times New Roman"/>
          <w:sz w:val="36"/>
          <w:szCs w:val="36"/>
          <w:color w:val="auto"/>
          <w:vertAlign w:val="superscript"/>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(b)</w:t>
        <w:tab/>
        <w:t>Financial Statement Schedules.</w:t>
      </w:r>
    </w:p>
    <w:p>
      <w:pPr>
        <w:spacing w:after="0" w:line="158" w:lineRule="exact"/>
        <w:rPr>
          <w:rFonts w:ascii="Times New Roman" w:cs="Times New Roman" w:eastAsia="Times New Roman" w:hAnsi="Times New Roman"/>
          <w:sz w:val="36"/>
          <w:szCs w:val="36"/>
          <w:color w:val="auto"/>
          <w:vertAlign w:val="superscript"/>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financial statements or the notes thereto.</w:t>
      </w:r>
    </w:p>
    <w:p>
      <w:pPr>
        <w:spacing w:after="0" w:line="158" w:lineRule="exact"/>
        <w:rPr>
          <w:rFonts w:ascii="Times New Roman" w:cs="Times New Roman" w:eastAsia="Times New Roman" w:hAnsi="Times New Roman"/>
          <w:sz w:val="36"/>
          <w:szCs w:val="36"/>
          <w:color w:val="auto"/>
          <w:vertAlign w:val="superscript"/>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rFonts w:ascii="Times New Roman" w:cs="Times New Roman" w:eastAsia="Times New Roman" w:hAnsi="Times New Roman"/>
          <w:sz w:val="36"/>
          <w:szCs w:val="36"/>
          <w:color w:val="auto"/>
          <w:vertAlign w:val="superscript"/>
        </w:rPr>
      </w:pPr>
    </w:p>
    <w:p>
      <w:pPr>
        <w:jc w:val="both"/>
        <w:ind w:left="1260" w:right="419"/>
        <w:spacing w:after="0" w:line="266" w:lineRule="auto"/>
        <w:tabs>
          <w:tab w:leader="none" w:pos="163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8" w:lineRule="exact"/>
        <w:rPr>
          <w:rFonts w:ascii="Times New Roman" w:cs="Times New Roman" w:eastAsia="Times New Roman" w:hAnsi="Times New Roman"/>
          <w:sz w:val="18"/>
          <w:szCs w:val="18"/>
          <w:color w:val="auto"/>
        </w:rPr>
      </w:pPr>
    </w:p>
    <w:p>
      <w:pPr>
        <w:jc w:val="both"/>
        <w:ind w:left="1260" w:right="419"/>
        <w:spacing w:after="0" w:line="253" w:lineRule="auto"/>
        <w:tabs>
          <w:tab w:leader="none" w:pos="163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4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44" w:lineRule="exact"/>
        <w:rPr>
          <w:rFonts w:ascii="Times New Roman" w:cs="Times New Roman" w:eastAsia="Times New Roman" w:hAnsi="Times New Roman"/>
          <w:sz w:val="18"/>
          <w:szCs w:val="18"/>
          <w:color w:val="auto"/>
        </w:rPr>
      </w:pPr>
    </w:p>
    <w:p>
      <w:pPr>
        <w:jc w:val="both"/>
        <w:ind w:left="1620" w:right="419"/>
        <w:spacing w:after="0" w:line="259" w:lineRule="auto"/>
        <w:tabs>
          <w:tab w:leader="none" w:pos="202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335" w:lineRule="exact"/>
        <w:rPr>
          <w:rFonts w:ascii="Times New Roman" w:cs="Times New Roman" w:eastAsia="Times New Roman" w:hAnsi="Times New Roman"/>
          <w:sz w:val="18"/>
          <w:szCs w:val="18"/>
          <w:color w:val="auto"/>
        </w:rPr>
      </w:pPr>
    </w:p>
    <w:p>
      <w:pPr>
        <w:jc w:val="both"/>
        <w:ind w:left="1620" w:right="419"/>
        <w:spacing w:after="0" w:line="261" w:lineRule="auto"/>
        <w:tabs>
          <w:tab w:leader="none" w:pos="21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89" w:lineRule="exact"/>
        <w:rPr>
          <w:rFonts w:ascii="Times New Roman" w:cs="Times New Roman" w:eastAsia="Times New Roman" w:hAnsi="Times New Roman"/>
          <w:sz w:val="36"/>
          <w:szCs w:val="36"/>
          <w:color w:val="auto"/>
          <w:vertAlign w:val="superscript"/>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6"/>
          <w:szCs w:val="36"/>
          <w:color w:val="auto"/>
          <w:vertAlign w:val="superscript"/>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9" w:name="page270"/>
    <w:bookmarkEnd w:id="2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South San Francisco, State of California, on June 18, 2024.</w:t>
      </w:r>
    </w:p>
    <w:p>
      <w:pPr>
        <w:spacing w:after="0" w:line="1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Martin Babler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223710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Martin Babler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Amendment No. 1 to the registration statement has been signed by the following persons in the capacities and on the dates indicated.</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1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4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Martin Babler</w:t>
            </w:r>
          </w:p>
        </w:tc>
        <w:tc>
          <w:tcPr>
            <w:tcW w:w="2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President and Chief Executive Officer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52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60" w:type="dxa"/>
            <w:vAlign w:val="bottom"/>
            <w:vMerge w:val="restart"/>
          </w:tcPr>
          <w:p>
            <w:pPr>
              <w:spacing w:after="0" w:line="195" w:lineRule="exact"/>
              <w:rPr>
                <w:sz w:val="20"/>
                <w:szCs w:val="20"/>
                <w:color w:val="auto"/>
              </w:rPr>
            </w:pPr>
            <w:r>
              <w:rPr>
                <w:rFonts w:ascii="Times New Roman" w:cs="Times New Roman" w:eastAsia="Times New Roman" w:hAnsi="Times New Roman"/>
                <w:sz w:val="18"/>
                <w:szCs w:val="18"/>
                <w:color w:val="auto"/>
              </w:rPr>
              <w:t>and Director (</w:t>
            </w:r>
            <w:r>
              <w:rPr>
                <w:rFonts w:ascii="Times New Roman" w:cs="Times New Roman" w:eastAsia="Times New Roman" w:hAnsi="Times New Roman"/>
                <w:sz w:val="18"/>
                <w:szCs w:val="18"/>
                <w:i w:val="1"/>
                <w:iCs w:val="1"/>
                <w:color w:val="auto"/>
              </w:rPr>
              <w:t>Principal Executive</w:t>
            </w:r>
          </w:p>
        </w:tc>
        <w:tc>
          <w:tcPr>
            <w:tcW w:w="220" w:type="dxa"/>
            <w:vAlign w:val="bottom"/>
          </w:tcPr>
          <w:p>
            <w:pPr>
              <w:spacing w:after="0"/>
              <w:rPr>
                <w:sz w:val="9"/>
                <w:szCs w:val="9"/>
                <w:color w:val="auto"/>
              </w:rPr>
            </w:pPr>
          </w:p>
        </w:tc>
        <w:tc>
          <w:tcPr>
            <w:tcW w:w="140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rPr>
              <w:t>June 18, 2024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Martin Babler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32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John Schroer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and Accounting Officer</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18,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Schroer</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20" w:type="dxa"/>
            <w:vAlign w:val="bottom"/>
          </w:tcPr>
          <w:p>
            <w:pPr>
              <w:spacing w:after="0" w:line="346"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Director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18,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Alan B. Colowick, M.D., M.P.H.</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Director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18,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Sapna Srivastava, Ph.D.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Director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18,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B. Tananbaum, M.D.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Director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18,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Zhengbin Yao, Ph.D.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 ​ Director</w:t>
            </w:r>
          </w:p>
        </w:tc>
        <w:tc>
          <w:tcPr>
            <w:tcW w:w="2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rPr>
              <w:t>June 18, 2024</w:t>
            </w:r>
          </w:p>
        </w:tc>
        <w:tc>
          <w:tcPr>
            <w:tcW w:w="6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Srinivas Akkaraju, M.D., Ph.D.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By:</w:t>
            </w: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Babler</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Martin Babler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-2991485</wp:posOffset>
            </wp:positionV>
            <wp:extent cx="203136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2">
                      <a:extLst>
                        <a:ext uri="{28A0092B-C50C-407E-A947-70E740481C1C}"/>
                      </a:extLst>
                    </a:blip>
                    <a:srcRect/>
                    <a:stretch>
                      <a:fillRect/>
                    </a:stretch>
                  </pic:blipFill>
                  <pic:spPr bwMode="auto">
                    <a:xfrm>
                      <a:off x="0" y="0"/>
                      <a:ext cx="2031365"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-2553970</wp:posOffset>
            </wp:positionV>
            <wp:extent cx="203136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3">
                      <a:extLst>
                        <a:ext uri="{28A0092B-C50C-407E-A947-70E740481C1C}"/>
                      </a:extLst>
                    </a:blip>
                    <a:srcRect/>
                    <a:stretch>
                      <a:fillRect/>
                    </a:stretch>
                  </pic:blipFill>
                  <pic:spPr bwMode="auto">
                    <a:xfrm>
                      <a:off x="0" y="0"/>
                      <a:ext cx="2031365"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-2117090</wp:posOffset>
            </wp:positionV>
            <wp:extent cx="203136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4">
                      <a:extLst>
                        <a:ext uri="{28A0092B-C50C-407E-A947-70E740481C1C}"/>
                      </a:extLst>
                    </a:blip>
                    <a:srcRect/>
                    <a:stretch>
                      <a:fillRect/>
                    </a:stretch>
                  </pic:blipFill>
                  <pic:spPr bwMode="auto">
                    <a:xfrm>
                      <a:off x="0" y="0"/>
                      <a:ext cx="2031365"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-1679575</wp:posOffset>
            </wp:positionV>
            <wp:extent cx="203136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5">
                      <a:extLst>
                        <a:ext uri="{28A0092B-C50C-407E-A947-70E740481C1C}"/>
                      </a:extLst>
                    </a:blip>
                    <a:srcRect/>
                    <a:stretch>
                      <a:fillRect/>
                    </a:stretch>
                  </pic:blipFill>
                  <pic:spPr bwMode="auto">
                    <a:xfrm>
                      <a:off x="0" y="0"/>
                      <a:ext cx="2031365" cy="8890"/>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-1242695</wp:posOffset>
            </wp:positionV>
            <wp:extent cx="203136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6">
                      <a:extLst>
                        <a:ext uri="{28A0092B-C50C-407E-A947-70E740481C1C}"/>
                      </a:extLst>
                    </a:blip>
                    <a:srcRect/>
                    <a:stretch>
                      <a:fillRect/>
                    </a:stretch>
                  </pic:blipFill>
                  <pic:spPr bwMode="auto">
                    <a:xfrm>
                      <a:off x="0" y="0"/>
                      <a:ext cx="2031365" cy="8890"/>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-814070</wp:posOffset>
            </wp:positionV>
            <wp:extent cx="203136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7">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this Registration Statement on Form S-1 of Alumis Inc. of our report dated April 10, 2024 relating to the financial statements of Alumis Inc., which appears in this Registration Statement.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A32234B"/>
    <w:multiLevelType w:val="hybridMultilevel"/>
    <w:lvl w:ilvl="0">
      <w:lvlJc w:val="left"/>
      <w:lvlText w:val="(%1)"/>
      <w:numFmt w:val="decimal"/>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1)"/>
      <w:numFmt w:val="lowerRoman"/>
      <w:start w:val="2"/>
    </w:lvl>
  </w:abstractNum>
  <w:abstractNum w:abstractNumId="7">
    <w:nsid w:val="7FFFCA11"/>
    <w:multiLevelType w:val="hybridMultilevel"/>
    <w:lvl w:ilvl="0">
      <w:lvlJc w:val="left"/>
      <w:lvlText w:val=" "/>
      <w:numFmt w:val="bullet"/>
      <w:start w:val="1"/>
    </w:lvl>
  </w:abstractNum>
  <w:abstractNum w:abstractNumId="8">
    <w:nsid w:val="1A27709E"/>
    <w:multiLevelType w:val="hybridMultilevel"/>
    <w:lvl w:ilvl="0">
      <w:lvlJc w:val="left"/>
      <w:lvlText w:val=" "/>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1)"/>
      <w:numFmt w:val="decimal"/>
      <w:start w:val="1"/>
    </w:lvl>
  </w:abstractNum>
  <w:abstractNum w:abstractNumId="13">
    <w:nsid w:val="6F6DD9AC"/>
    <w:multiLevelType w:val="hybridMultilevel"/>
    <w:lvl w:ilvl="0">
      <w:lvlJc w:val="left"/>
      <w:lvlText w:val="(%1)"/>
      <w:numFmt w:val="decimal"/>
      <w:start w:val="1"/>
    </w:lvl>
  </w:abstractNum>
  <w:abstractNum w:abstractNumId="14">
    <w:nsid w:val="94211F2"/>
    <w:multiLevelType w:val="hybridMultilevel"/>
    <w:lvl w:ilvl="0">
      <w:lvlJc w:val="left"/>
      <w:lvlText w:val="(%1)"/>
      <w:numFmt w:val="decimal"/>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1)"/>
      <w:numFmt w:val="lowerRoman"/>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abstractNum>
  <w:abstractNum w:abstractNumId="24">
    <w:nsid w:val="46B7D447"/>
    <w:multiLevelType w:val="hybridMultilevel"/>
    <w:lvl w:ilvl="0">
      <w:lvlJc w:val="left"/>
      <w:lvlText w:val="•"/>
      <w:numFmt w:val="bullet"/>
      <w:start w:val="1"/>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
      <w:numFmt w:val="bullet"/>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
      <w:numFmt w:val="bullet"/>
      <w:start w:val="1"/>
    </w:lvl>
  </w:abstractNum>
  <w:abstractNum w:abstractNumId="30">
    <w:nsid w:val="60EF0119"/>
    <w:multiLevelType w:val="hybridMultilevel"/>
    <w:lvl w:ilvl="0">
      <w:lvlJc w:val="left"/>
      <w:lvlText w:val="•"/>
      <w:numFmt w:val="bullet"/>
      <w:start w:val="1"/>
    </w:lvl>
  </w:abstractNum>
  <w:abstractNum w:abstractNumId="31">
    <w:nsid w:val="26F324BA"/>
    <w:multiLevelType w:val="hybridMultilevel"/>
    <w:lvl w:ilvl="0">
      <w:lvlJc w:val="left"/>
      <w:lvlText w:val="•"/>
      <w:numFmt w:val="bullet"/>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
      <w:numFmt w:val="bullet"/>
      <w:start w:val="1"/>
    </w:lvl>
  </w:abstractNum>
  <w:abstractNum w:abstractNumId="34">
    <w:nsid w:val="7055A5F5"/>
    <w:multiLevelType w:val="hybridMultilevel"/>
    <w:lvl w:ilvl="0">
      <w:lvlJc w:val="left"/>
      <w:lvlText w:val="•"/>
      <w:numFmt w:val="bullet"/>
      <w:start w:val="1"/>
    </w:lvl>
  </w:abstractNum>
  <w:abstractNum w:abstractNumId="35">
    <w:nsid w:val="5FB8370B"/>
    <w:multiLevelType w:val="hybridMultilevel"/>
    <w:lvl w:ilvl="0">
      <w:lvlJc w:val="left"/>
      <w:lvlText w:val="•"/>
      <w:numFmt w:val="bullet"/>
      <w:start w:val="1"/>
    </w:lvl>
  </w:abstractNum>
  <w:abstractNum w:abstractNumId="36">
    <w:nsid w:val="50801EE1"/>
    <w:multiLevelType w:val="hybridMultilevel"/>
    <w:lvl w:ilvl="0">
      <w:lvlJc w:val="left"/>
      <w:lvlText w:val="•"/>
      <w:numFmt w:val="bullet"/>
      <w:start w:val="1"/>
    </w:lvl>
  </w:abstractNum>
  <w:abstractNum w:abstractNumId="37">
    <w:nsid w:val="488AC1A"/>
    <w:multiLevelType w:val="hybridMultilevel"/>
    <w:lvl w:ilvl="0">
      <w:lvlJc w:val="left"/>
      <w:lvlText w:val="•"/>
      <w:numFmt w:val="bullet"/>
      <w:start w:val="1"/>
    </w:lvl>
  </w:abstractNum>
  <w:abstractNum w:abstractNumId="38">
    <w:nsid w:val="5FB8011C"/>
    <w:multiLevelType w:val="hybridMultilevel"/>
    <w:lvl w:ilvl="0">
      <w:lvlJc w:val="left"/>
      <w:lvlText w:val="•"/>
      <w:numFmt w:val="bullet"/>
      <w:start w:val="1"/>
    </w:lvl>
  </w:abstractNum>
  <w:abstractNum w:abstractNumId="39">
    <w:nsid w:val="6AA78F7F"/>
    <w:multiLevelType w:val="hybridMultilevel"/>
    <w:lvl w:ilvl="0">
      <w:lvlJc w:val="left"/>
      <w:lvlText w:val="•"/>
      <w:numFmt w:val="bullet"/>
      <w:start w:val="1"/>
    </w:lvl>
  </w:abstractNum>
  <w:abstractNum w:abstractNumId="40">
    <w:nsid w:val="7672BD23"/>
    <w:multiLevelType w:val="hybridMultilevel"/>
    <w:lvl w:ilvl="0">
      <w:lvlJc w:val="left"/>
      <w:lvlText w:val=" "/>
      <w:numFmt w:val="bullet"/>
      <w:start w:val="1"/>
    </w:lvl>
  </w:abstractNum>
  <w:abstractNum w:abstractNumId="41">
    <w:nsid w:val="6FC75AF8"/>
    <w:multiLevelType w:val="hybridMultilevel"/>
    <w:lvl w:ilvl="0">
      <w:lvlJc w:val="left"/>
      <w:lvlText w:val="•"/>
      <w:numFmt w:val="bullet"/>
      <w:start w:val="1"/>
    </w:lvl>
  </w:abstractNum>
  <w:abstractNum w:abstractNumId="42">
    <w:nsid w:val="6A5F7029"/>
    <w:multiLevelType w:val="hybridMultilevel"/>
    <w:lvl w:ilvl="0">
      <w:lvlJc w:val="left"/>
      <w:lvlText w:val="•"/>
      <w:numFmt w:val="bullet"/>
      <w:start w:val="1"/>
    </w:lvl>
  </w:abstractNum>
  <w:abstractNum w:abstractNumId="43">
    <w:nsid w:val="7D5E18F8"/>
    <w:multiLevelType w:val="hybridMultilevel"/>
    <w:lvl w:ilvl="0">
      <w:lvlJc w:val="left"/>
      <w:lvlText w:val="•"/>
      <w:numFmt w:val="bullet"/>
      <w:start w:val="1"/>
    </w:lvl>
  </w:abstractNum>
  <w:abstractNum w:abstractNumId="44">
    <w:nsid w:val="5F3534A4"/>
    <w:multiLevelType w:val="hybridMultilevel"/>
    <w:lvl w:ilvl="0">
      <w:lvlJc w:val="left"/>
      <w:lvlText w:val="•"/>
      <w:numFmt w:val="bullet"/>
      <w:start w:val="1"/>
    </w:lvl>
  </w:abstractNum>
  <w:abstractNum w:abstractNumId="45">
    <w:nsid w:val="73A1821B"/>
    <w:multiLevelType w:val="hybridMultilevel"/>
    <w:lvl w:ilvl="0">
      <w:lvlJc w:val="left"/>
      <w:lvlText w:val="•"/>
      <w:numFmt w:val="bullet"/>
      <w:start w:val="1"/>
    </w:lvl>
  </w:abstractNum>
  <w:abstractNum w:abstractNumId="46">
    <w:nsid w:val="7DE67713"/>
    <w:multiLevelType w:val="hybridMultilevel"/>
    <w:lvl w:ilvl="0">
      <w:lvlJc w:val="left"/>
      <w:lvlText w:val="(%1)"/>
      <w:numFmt w:val="decimal"/>
      <w:start w:val="1"/>
    </w:lvl>
  </w:abstractNum>
  <w:abstractNum w:abstractNumId="47">
    <w:nsid w:val="555C55B5"/>
    <w:multiLevelType w:val="hybridMultilevel"/>
    <w:lvl w:ilvl="0">
      <w:lvlJc w:val="left"/>
      <w:lvlText w:val="•"/>
      <w:numFmt w:val="bullet"/>
      <w:start w:val="1"/>
    </w:lvl>
  </w:abstractNum>
  <w:abstractNum w:abstractNumId="48">
    <w:nsid w:val="3FA62ACA"/>
    <w:multiLevelType w:val="hybridMultilevel"/>
    <w:lvl w:ilvl="0">
      <w:lvlJc w:val="left"/>
      <w:lvlText w:val="•"/>
      <w:numFmt w:val="bullet"/>
      <w:start w:val="1"/>
    </w:lvl>
  </w:abstractNum>
  <w:abstractNum w:abstractNumId="49">
    <w:nsid w:val="14FCE74E"/>
    <w:multiLevelType w:val="hybridMultilevel"/>
    <w:lvl w:ilvl="0">
      <w:lvlJc w:val="left"/>
      <w:lvlText w:val="•"/>
      <w:numFmt w:val="bullet"/>
      <w:start w:val="1"/>
    </w:lvl>
  </w:abstractNum>
  <w:abstractNum w:abstractNumId="50">
    <w:nsid w:val="6A3DD3E8"/>
    <w:multiLevelType w:val="hybridMultilevel"/>
    <w:lvl w:ilvl="0">
      <w:lvlJc w:val="left"/>
      <w:lvlText w:val="•"/>
      <w:numFmt w:val="bullet"/>
      <w:start w:val="1"/>
    </w:lvl>
  </w:abstractNum>
  <w:abstractNum w:abstractNumId="51">
    <w:nsid w:val="71C91298"/>
    <w:multiLevelType w:val="hybridMultilevel"/>
    <w:lvl w:ilvl="0">
      <w:lvlJc w:val="left"/>
      <w:lvlText w:val="•"/>
      <w:numFmt w:val="bullet"/>
      <w:start w:val="1"/>
    </w:lvl>
  </w:abstractNum>
  <w:abstractNum w:abstractNumId="52">
    <w:nsid w:val="9DAF632"/>
    <w:multiLevelType w:val="hybridMultilevel"/>
    <w:lvl w:ilvl="0">
      <w:lvlJc w:val="left"/>
      <w:lvlText w:val="•"/>
      <w:numFmt w:val="bullet"/>
      <w:start w:val="1"/>
    </w:lvl>
  </w:abstractNum>
  <w:abstractNum w:abstractNumId="53">
    <w:nsid w:val="53299938"/>
    <w:multiLevelType w:val="hybridMultilevel"/>
    <w:lvl w:ilvl="0">
      <w:lvlJc w:val="left"/>
      <w:lvlText w:val="•"/>
      <w:numFmt w:val="bullet"/>
      <w:start w:val="1"/>
    </w:lvl>
  </w:abstractNum>
  <w:abstractNum w:abstractNumId="54">
    <w:nsid w:val="1FBFE8E0"/>
    <w:multiLevelType w:val="hybridMultilevel"/>
    <w:lvl w:ilvl="0">
      <w:lvlJc w:val="left"/>
      <w:lvlText w:val="•"/>
      <w:numFmt w:val="bullet"/>
      <w:start w:val="1"/>
    </w:lvl>
  </w:abstractNum>
  <w:abstractNum w:abstractNumId="55">
    <w:nsid w:val="5092CA79"/>
    <w:multiLevelType w:val="hybridMultilevel"/>
    <w:lvl w:ilvl="0">
      <w:lvlJc w:val="left"/>
      <w:lvlText w:val="*"/>
      <w:numFmt w:val="bullet"/>
      <w:start w:val="1"/>
    </w:lvl>
  </w:abstractNum>
  <w:abstractNum w:abstractNumId="56">
    <w:nsid w:val="1D545C4D"/>
    <w:multiLevelType w:val="hybridMultilevel"/>
    <w:lvl w:ilvl="0">
      <w:lvlJc w:val="left"/>
      <w:lvlText w:val="*"/>
      <w:numFmt w:val="bullet"/>
      <w:start w:val="1"/>
    </w:lvl>
  </w:abstractNum>
  <w:abstractNum w:abstractNumId="57">
    <w:nsid w:val="59ADEA3D"/>
    <w:multiLevelType w:val="hybridMultilevel"/>
    <w:lvl w:ilvl="0">
      <w:lvlJc w:val="left"/>
      <w:lvlText w:val="•"/>
      <w:numFmt w:val="bullet"/>
      <w:start w:val="1"/>
    </w:lvl>
  </w:abstractNum>
  <w:abstractNum w:abstractNumId="58">
    <w:nsid w:val="288F1A34"/>
    <w:multiLevelType w:val="hybridMultilevel"/>
    <w:lvl w:ilvl="0">
      <w:lvlJc w:val="left"/>
      <w:lvlText w:val="•"/>
      <w:numFmt w:val="bullet"/>
      <w:start w:val="1"/>
    </w:lvl>
  </w:abstractNum>
  <w:abstractNum w:abstractNumId="59">
    <w:nsid w:val="2A155DBC"/>
    <w:multiLevelType w:val="hybridMultilevel"/>
    <w:lvl w:ilvl="0">
      <w:lvlJc w:val="left"/>
      <w:lvlText w:val="•"/>
      <w:numFmt w:val="bullet"/>
      <w:start w:val="1"/>
    </w:lvl>
  </w:abstractNum>
  <w:abstractNum w:abstractNumId="60">
    <w:nsid w:val="1D9F6E5F"/>
    <w:multiLevelType w:val="hybridMultilevel"/>
    <w:lvl w:ilvl="0">
      <w:lvlJc w:val="left"/>
      <w:lvlText w:val="•"/>
      <w:numFmt w:val="bullet"/>
      <w:start w:val="1"/>
    </w:lvl>
  </w:abstractNum>
  <w:abstractNum w:abstractNumId="61">
    <w:nsid w:val="97E1B4E"/>
    <w:multiLevelType w:val="hybridMultilevel"/>
    <w:lvl w:ilvl="0">
      <w:lvlJc w:val="left"/>
      <w:lvlText w:val="(%1)"/>
      <w:numFmt w:val="lowerRoman"/>
      <w:start w:val="1"/>
    </w:lvl>
  </w:abstractNum>
  <w:abstractNum w:abstractNumId="62">
    <w:nsid w:val="51088277"/>
    <w:multiLevelType w:val="hybridMultilevel"/>
    <w:lvl w:ilvl="0">
      <w:lvlJc w:val="left"/>
      <w:lvlText w:val="•"/>
      <w:numFmt w:val="bullet"/>
      <w:start w:val="1"/>
    </w:lvl>
  </w:abstractNum>
  <w:abstractNum w:abstractNumId="63">
    <w:nsid w:val="1CA0C5FA"/>
    <w:multiLevelType w:val="hybridMultilevel"/>
    <w:lvl w:ilvl="0">
      <w:lvlJc w:val="left"/>
      <w:lvlText w:val="•"/>
      <w:numFmt w:val="bullet"/>
      <w:start w:val="1"/>
    </w:lvl>
  </w:abstractNum>
  <w:abstractNum w:abstractNumId="64">
    <w:nsid w:val="53584BCB"/>
    <w:multiLevelType w:val="hybridMultilevel"/>
    <w:lvl w:ilvl="0">
      <w:lvlJc w:val="left"/>
      <w:lvlText w:val="•"/>
      <w:numFmt w:val="bullet"/>
      <w:start w:val="1"/>
    </w:lvl>
  </w:abstractNum>
  <w:abstractNum w:abstractNumId="65">
    <w:nsid w:val="415E286C"/>
    <w:multiLevelType w:val="hybridMultilevel"/>
    <w:lvl w:ilvl="0">
      <w:lvlJc w:val="left"/>
      <w:lvlText w:val="•"/>
      <w:numFmt w:val="bullet"/>
      <w:start w:val="1"/>
    </w:lvl>
  </w:abstractNum>
  <w:abstractNum w:abstractNumId="66">
    <w:nsid w:val="7C58FD05"/>
    <w:multiLevelType w:val="hybridMultilevel"/>
    <w:lvl w:ilvl="0">
      <w:lvlJc w:val="left"/>
      <w:lvlText w:val="•"/>
      <w:numFmt w:val="bullet"/>
      <w:start w:val="1"/>
    </w:lvl>
  </w:abstractNum>
  <w:abstractNum w:abstractNumId="67">
    <w:nsid w:val="23D86AAC"/>
    <w:multiLevelType w:val="hybridMultilevel"/>
    <w:lvl w:ilvl="0">
      <w:lvlJc w:val="left"/>
      <w:lvlText w:val="•"/>
      <w:numFmt w:val="bullet"/>
      <w:start w:val="1"/>
    </w:lvl>
  </w:abstractNum>
  <w:abstractNum w:abstractNumId="68">
    <w:nsid w:val="45E6D486"/>
    <w:multiLevelType w:val="hybridMultilevel"/>
    <w:lvl w:ilvl="0">
      <w:lvlJc w:val="left"/>
      <w:lvlText w:val="*"/>
      <w:numFmt w:val="bullet"/>
      <w:start w:val="1"/>
    </w:lvl>
  </w:abstractNum>
  <w:abstractNum w:abstractNumId="69">
    <w:nsid w:val="5C10FE21"/>
    <w:multiLevelType w:val="hybridMultilevel"/>
    <w:lvl w:ilvl="0">
      <w:lvlJc w:val="left"/>
      <w:lvlText w:val="•"/>
      <w:numFmt w:val="bullet"/>
      <w:start w:val="1"/>
    </w:lvl>
  </w:abstractNum>
  <w:abstractNum w:abstractNumId="70">
    <w:nsid w:val="E7FFA2B"/>
    <w:multiLevelType w:val="hybridMultilevel"/>
    <w:lvl w:ilvl="0">
      <w:lvlJc w:val="left"/>
      <w:lvlText w:val="•"/>
      <w:numFmt w:val="bullet"/>
      <w:start w:val="1"/>
    </w:lvl>
  </w:abstractNum>
  <w:abstractNum w:abstractNumId="71">
    <w:nsid w:val="3C5991AA"/>
    <w:multiLevelType w:val="hybridMultilevel"/>
    <w:lvl w:ilvl="0">
      <w:lvlJc w:val="left"/>
      <w:lvlText w:val="•"/>
      <w:numFmt w:val="bullet"/>
      <w:start w:val="1"/>
    </w:lvl>
  </w:abstractNum>
  <w:abstractNum w:abstractNumId="72">
    <w:nsid w:val="4BD8591A"/>
    <w:multiLevelType w:val="hybridMultilevel"/>
    <w:lvl w:ilvl="0">
      <w:lvlJc w:val="left"/>
      <w:lvlText w:val="•"/>
      <w:numFmt w:val="bullet"/>
      <w:start w:val="1"/>
    </w:lvl>
  </w:abstractNum>
  <w:abstractNum w:abstractNumId="73">
    <w:nsid w:val="78DF6A55"/>
    <w:multiLevelType w:val="hybridMultilevel"/>
    <w:lvl w:ilvl="0">
      <w:lvlJc w:val="left"/>
      <w:lvlText w:val="*"/>
      <w:numFmt w:val="bullet"/>
      <w:start w:val="1"/>
    </w:lvl>
  </w:abstractNum>
  <w:abstractNum w:abstractNumId="74">
    <w:nsid w:val="39B7AAA2"/>
    <w:multiLevelType w:val="hybridMultilevel"/>
    <w:lvl w:ilvl="0">
      <w:lvlJc w:val="left"/>
      <w:lvlText w:val="**"/>
      <w:numFmt w:val="bullet"/>
      <w:start w:val="1"/>
    </w:lvl>
  </w:abstractNum>
  <w:abstractNum w:abstractNumId="75">
    <w:nsid w:val="2B0D8DBE"/>
    <w:multiLevelType w:val="hybridMultilevel"/>
    <w:lvl w:ilvl="0">
      <w:lvlJc w:val="left"/>
      <w:lvlText w:val="%1"/>
      <w:numFmt w:val="decimal"/>
      <w:start w:val="1"/>
    </w:lvl>
  </w:abstractNum>
  <w:abstractNum w:abstractNumId="76">
    <w:nsid w:val="6C80EC70"/>
    <w:multiLevelType w:val="hybridMultilevel"/>
    <w:lvl w:ilvl="0">
      <w:lvlJc w:val="left"/>
      <w:lvlText w:val="•"/>
      <w:numFmt w:val="bullet"/>
      <w:start w:val="1"/>
    </w:lvl>
  </w:abstractNum>
  <w:abstractNum w:abstractNumId="77">
    <w:nsid w:val="379E21B5"/>
    <w:multiLevelType w:val="hybridMultilevel"/>
    <w:lvl w:ilvl="0">
      <w:lvlJc w:val="left"/>
      <w:lvlText w:val="•"/>
      <w:numFmt w:val="bullet"/>
      <w:start w:val="1"/>
    </w:lvl>
  </w:abstractNum>
  <w:abstractNum w:abstractNumId="78">
    <w:nsid w:val="69E373"/>
    <w:multiLevelType w:val="hybridMultilevel"/>
    <w:lvl w:ilvl="0">
      <w:lvlJc w:val="left"/>
      <w:lvlText w:val="(%1)"/>
      <w:numFmt w:val="lowerRoman"/>
      <w:start w:val="3"/>
    </w:lvl>
  </w:abstractNum>
  <w:abstractNum w:abstractNumId="79">
    <w:nsid w:val="2C27173B"/>
    <w:multiLevelType w:val="hybridMultilevel"/>
    <w:lvl w:ilvl="0">
      <w:lvlJc w:val="left"/>
      <w:lvlText w:val="(%1)"/>
      <w:numFmt w:val="lowerRoman"/>
      <w:start w:val="3"/>
    </w:lvl>
  </w:abstractNum>
  <w:abstractNum w:abstractNumId="80">
    <w:nsid w:val="4C9B0904"/>
    <w:multiLevelType w:val="hybridMultilevel"/>
    <w:lvl w:ilvl="0">
      <w:lvlJc w:val="left"/>
      <w:lvlText w:val="•"/>
      <w:numFmt w:val="bullet"/>
      <w:start w:val="1"/>
    </w:lvl>
  </w:abstractNum>
  <w:abstractNum w:abstractNumId="81">
    <w:nsid w:val="6AA7B75C"/>
    <w:multiLevelType w:val="hybridMultilevel"/>
    <w:lvl w:ilvl="0">
      <w:lvlJc w:val="left"/>
      <w:lvlText w:val="•"/>
      <w:numFmt w:val="bullet"/>
      <w:start w:val="1"/>
    </w:lvl>
  </w:abstractNum>
  <w:abstractNum w:abstractNumId="82">
    <w:nsid w:val="1DF029D3"/>
    <w:multiLevelType w:val="hybridMultilevel"/>
    <w:lvl w:ilvl="0">
      <w:lvlJc w:val="left"/>
      <w:lvlText w:val="•"/>
      <w:numFmt w:val="bullet"/>
      <w:start w:val="1"/>
    </w:lvl>
  </w:abstractNum>
  <w:abstractNum w:abstractNumId="83">
    <w:nsid w:val="5675FF36"/>
    <w:multiLevelType w:val="hybridMultilevel"/>
    <w:lvl w:ilvl="0">
      <w:lvlJc w:val="left"/>
      <w:lvlText w:val="•"/>
      <w:numFmt w:val="bullet"/>
      <w:start w:val="1"/>
    </w:lvl>
  </w:abstractNum>
  <w:abstractNum w:abstractNumId="84">
    <w:nsid w:val="3DD15094"/>
    <w:multiLevelType w:val="hybridMultilevel"/>
    <w:lvl w:ilvl="0">
      <w:lvlJc w:val="left"/>
      <w:lvlText w:val="•"/>
      <w:numFmt w:val="bullet"/>
      <w:start w:val="1"/>
    </w:lvl>
  </w:abstractNum>
  <w:abstractNum w:abstractNumId="85">
    <w:nsid w:val="3DB012B3"/>
    <w:multiLevelType w:val="hybridMultilevel"/>
    <w:lvl w:ilvl="0">
      <w:lvlJc w:val="left"/>
      <w:lvlText w:val="•"/>
      <w:numFmt w:val="bullet"/>
      <w:start w:val="1"/>
    </w:lvl>
  </w:abstractNum>
  <w:abstractNum w:abstractNumId="86">
    <w:nsid w:val="2708C9AF"/>
    <w:multiLevelType w:val="hybridMultilevel"/>
    <w:lvl w:ilvl="0">
      <w:lvlJc w:val="left"/>
      <w:lvlText w:val="(%1)"/>
      <w:numFmt w:val="decimal"/>
      <w:start w:val="1"/>
    </w:lvl>
  </w:abstractNum>
  <w:abstractNum w:abstractNumId="87">
    <w:nsid w:val="5B25ACE2"/>
    <w:multiLevelType w:val="hybridMultilevel"/>
    <w:lvl w:ilvl="0">
      <w:lvlJc w:val="left"/>
      <w:lvlText w:val="•"/>
      <w:numFmt w:val="bullet"/>
      <w:start w:val="1"/>
    </w:lvl>
  </w:abstractNum>
  <w:abstractNum w:abstractNumId="88">
    <w:nsid w:val="175DFCF0"/>
    <w:multiLevelType w:val="hybridMultilevel"/>
    <w:lvl w:ilvl="0">
      <w:lvlJc w:val="left"/>
      <w:lvlText w:val="(%1)"/>
      <w:numFmt w:val="decimal"/>
      <w:start w:val="1"/>
    </w:lvl>
  </w:abstractNum>
  <w:abstractNum w:abstractNumId="89">
    <w:nsid w:val="4F97E3E4"/>
    <w:multiLevelType w:val="hybridMultilevel"/>
    <w:lvl w:ilvl="0">
      <w:lvlJc w:val="left"/>
      <w:lvlText w:val="(%1)"/>
      <w:numFmt w:val="decimal"/>
      <w:start w:val="1"/>
    </w:lvl>
  </w:abstractNum>
  <w:abstractNum w:abstractNumId="90">
    <w:nsid w:val="53B0A9E"/>
    <w:multiLevelType w:val="hybridMultilevel"/>
    <w:lvl w:ilvl="0">
      <w:lvlJc w:val="left"/>
      <w:lvlText w:val="(%1)"/>
      <w:numFmt w:val="decimal"/>
      <w:start w:val="1"/>
    </w:lvl>
  </w:abstractNum>
  <w:abstractNum w:abstractNumId="91">
    <w:nsid w:val="34FD6B4F"/>
    <w:multiLevelType w:val="hybridMultilevel"/>
    <w:lvl w:ilvl="0">
      <w:lvlJc w:val="left"/>
      <w:lvlText w:val="(%1)"/>
      <w:numFmt w:val="decimal"/>
      <w:start w:val="4"/>
    </w:lvl>
  </w:abstractNum>
  <w:abstractNum w:abstractNumId="92">
    <w:nsid w:val="5915FF32"/>
    <w:multiLevelType w:val="hybridMultilevel"/>
    <w:lvl w:ilvl="0">
      <w:lvlJc w:val="left"/>
      <w:lvlText w:val="(%1)"/>
      <w:numFmt w:val="lowerRoman"/>
      <w:start w:val="3"/>
    </w:lvl>
  </w:abstractNum>
  <w:abstractNum w:abstractNumId="93">
    <w:nsid w:val="56438D15"/>
    <w:multiLevelType w:val="hybridMultilevel"/>
    <w:lvl w:ilvl="0">
      <w:lvlJc w:val="left"/>
      <w:lvlText w:val="•"/>
      <w:numFmt w:val="bullet"/>
      <w:start w:val="1"/>
    </w:lvl>
  </w:abstractNum>
  <w:abstractNum w:abstractNumId="94">
    <w:nsid w:val="519E3149"/>
    <w:multiLevelType w:val="hybridMultilevel"/>
    <w:lvl w:ilvl="0">
      <w:lvlJc w:val="left"/>
      <w:lvlText w:val="•"/>
      <w:numFmt w:val="bullet"/>
      <w:start w:val="1"/>
    </w:lvl>
    <w:lvl w:ilvl="1">
      <w:lvlJc w:val="left"/>
      <w:lvlText w:val="(%2)"/>
      <w:numFmt w:val="lowerRoman"/>
      <w:start w:val="5"/>
    </w:lvl>
  </w:abstractNum>
  <w:abstractNum w:abstractNumId="95">
    <w:nsid w:val="2C6E4AFD"/>
    <w:multiLevelType w:val="hybridMultilevel"/>
    <w:lvl w:ilvl="0">
      <w:lvlJc w:val="left"/>
      <w:lvlText w:val="(%1)"/>
      <w:numFmt w:val="lowerRoman"/>
      <w:start w:val="2"/>
    </w:lvl>
  </w:abstractNum>
  <w:abstractNum w:abstractNumId="96">
    <w:nsid w:val="17A1B582"/>
    <w:multiLevelType w:val="hybridMultilevel"/>
    <w:lvl w:ilvl="0">
      <w:lvlJc w:val="left"/>
      <w:lvlText w:val="(%1)"/>
      <w:numFmt w:val="lowerRoman"/>
      <w:start w:val="3"/>
    </w:lvl>
  </w:abstractNum>
  <w:abstractNum w:abstractNumId="97">
    <w:nsid w:val="4DF72E4E"/>
    <w:multiLevelType w:val="hybridMultilevel"/>
    <w:lvl w:ilvl="0">
      <w:lvlJc w:val="left"/>
      <w:lvlText w:val="(%1)"/>
      <w:numFmt w:val="lowerRoman"/>
      <w:start w:val="2"/>
    </w:lvl>
  </w:abstractNum>
  <w:abstractNum w:abstractNumId="98">
    <w:nsid w:val="5046B5A9"/>
    <w:multiLevelType w:val="hybridMultilevel"/>
    <w:lvl w:ilvl="0">
      <w:lvlJc w:val="left"/>
      <w:lvlText w:val="(%1)"/>
      <w:numFmt w:val="lowerLetter"/>
      <w:start w:val="1"/>
    </w:lvl>
  </w:abstractNum>
  <w:abstractNum w:abstractNumId="99">
    <w:nsid w:val="5D888A08"/>
    <w:multiLevelType w:val="hybridMultilevel"/>
    <w:lvl w:ilvl="0">
      <w:lvlJc w:val="left"/>
      <w:lvlText w:val="(%1)"/>
      <w:numFmt w:val="lowerRoman"/>
      <w:start w:val="5"/>
    </w:lvl>
  </w:abstractNum>
  <w:abstractNum w:abstractNumId="100">
    <w:nsid w:val="2A082C70"/>
    <w:multiLevelType w:val="hybridMultilevel"/>
    <w:lvl w:ilvl="0">
      <w:lvlJc w:val="left"/>
      <w:lvlText w:val="(%1)"/>
      <w:numFmt w:val="lowerRoman"/>
      <w:start w:val="1"/>
    </w:lvl>
  </w:abstractNum>
  <w:abstractNum w:abstractNumId="101">
    <w:nsid w:val="5EC6AFD4"/>
    <w:multiLevelType w:val="hybridMultilevel"/>
    <w:lvl w:ilvl="0">
      <w:lvlJc w:val="left"/>
      <w:lvlText w:val="(%1)"/>
      <w:numFmt w:val="lowerRoman"/>
      <w:start w:val="4"/>
    </w:lvl>
  </w:abstractNum>
  <w:abstractNum w:abstractNumId="102">
    <w:nsid w:val="19E21BB2"/>
    <w:multiLevelType w:val="hybridMultilevel"/>
    <w:lvl w:ilvl="0">
      <w:lvlJc w:val="left"/>
      <w:lvlText w:val="•"/>
      <w:numFmt w:val="bullet"/>
      <w:start w:val="1"/>
    </w:lvl>
  </w:abstractNum>
  <w:abstractNum w:abstractNumId="103">
    <w:nsid w:val="75E0858A"/>
    <w:multiLevelType w:val="hybridMultilevel"/>
    <w:lvl w:ilvl="0">
      <w:lvlJc w:val="left"/>
      <w:lvlText w:val="(%1)"/>
      <w:numFmt w:val="decimal"/>
      <w:start w:val="1"/>
    </w:lvl>
  </w:abstractNum>
  <w:abstractNum w:abstractNumId="104">
    <w:nsid w:val="57A61A29"/>
    <w:multiLevelType w:val="hybridMultilevel"/>
    <w:lvl w:ilvl="0">
      <w:lvlJc w:val="left"/>
      <w:lvlText w:val="(%1)"/>
      <w:numFmt w:val="decimal"/>
      <w:start w:val="1"/>
    </w:lvl>
    <w:lvl w:ilvl="1">
      <w:lvlJc w:val="left"/>
      <w:lvlText w:val="(%2)"/>
      <w:numFmt w:val="lowerRoman"/>
      <w:start w:val="2"/>
    </w:lvl>
  </w:abstractNum>
  <w:abstractNum w:abstractNumId="105">
    <w:nsid w:val="5399C654"/>
    <w:multiLevelType w:val="hybridMultilevel"/>
    <w:lvl w:ilvl="0">
      <w:lvlJc w:val="left"/>
      <w:lvlText w:val="(%1)"/>
      <w:numFmt w:val="decimal"/>
      <w:start w:val="1"/>
    </w:lvl>
    <w:lvl w:ilvl="1">
      <w:lvlJc w:val="left"/>
      <w:lvlText w:val="(%2)"/>
      <w:numFmt w:val="lowerRoman"/>
      <w:start w:val="2"/>
    </w:lvl>
  </w:abstractNum>
  <w:abstractNum w:abstractNumId="106">
    <w:nsid w:val="20EE1348"/>
    <w:multiLevelType w:val="hybridMultilevel"/>
    <w:lvl w:ilvl="0">
      <w:lvlJc w:val="left"/>
      <w:lvlText w:val="(%1)"/>
      <w:numFmt w:val="decimal"/>
      <w:start w:val="1"/>
    </w:lvl>
  </w:abstractNum>
  <w:abstractNum w:abstractNumId="107">
    <w:nsid w:val="4427069A"/>
    <w:multiLevelType w:val="hybridMultilevel"/>
    <w:lvl w:ilvl="0">
      <w:lvlJc w:val="left"/>
      <w:lvlText w:val="(%1)"/>
      <w:numFmt w:val="decimal"/>
      <w:start w:val="3"/>
    </w:lvl>
    <w:lvl w:ilvl="1">
      <w:lvlJc w:val="left"/>
      <w:lvlText w:val="(%2)"/>
      <w:numFmt w:val="lowerRoman"/>
      <w:start w:val="2"/>
    </w:lvl>
  </w:abstractNum>
  <w:abstractNum w:abstractNumId="108">
    <w:nsid w:val="B37E80A"/>
    <w:multiLevelType w:val="hybridMultilevel"/>
    <w:lvl w:ilvl="0">
      <w:lvlJc w:val="left"/>
      <w:lvlText w:val="%1"/>
      <w:numFmt w:val="decimal"/>
      <w:start w:val="1"/>
    </w:lvl>
    <w:lvl w:ilvl="1">
      <w:lvlJc w:val="left"/>
      <w:lvlText w:val="(%2)"/>
      <w:numFmt w:val="lowerRoman"/>
      <w:start w:val="4"/>
    </w:lvl>
  </w:abstractNum>
  <w:abstractNum w:abstractNumId="109">
    <w:nsid w:val="2157F6BC"/>
    <w:multiLevelType w:val="hybridMultilevel"/>
    <w:lvl w:ilvl="0">
      <w:lvlJc w:val="left"/>
      <w:lvlText w:val="(%1)"/>
      <w:numFmt w:val="decimal"/>
      <w:start w:val="1"/>
    </w:lvl>
    <w:lvl w:ilvl="1">
      <w:lvlJc w:val="left"/>
      <w:lvlText w:val="(%2)"/>
      <w:numFmt w:val="lowerRoman"/>
      <w:start w:val="2"/>
    </w:lvl>
  </w:abstractNum>
  <w:abstractNum w:abstractNumId="110">
    <w:nsid w:val="704E1DD5"/>
    <w:multiLevelType w:val="hybridMultilevel"/>
    <w:lvl w:ilvl="0">
      <w:lvlJc w:val="left"/>
      <w:lvlText w:val="(%1)"/>
      <w:numFmt w:val="decimal"/>
      <w:start w:val="6"/>
    </w:lvl>
  </w:abstractNum>
  <w:abstractNum w:abstractNumId="111">
    <w:nsid w:val="57D2F10E"/>
    <w:multiLevelType w:val="hybridMultilevel"/>
    <w:lvl w:ilvl="0">
      <w:lvlJc w:val="left"/>
      <w:lvlText w:val="•"/>
      <w:numFmt w:val="bullet"/>
      <w:start w:val="1"/>
    </w:lvl>
  </w:abstractNum>
  <w:abstractNum w:abstractNumId="112">
    <w:nsid w:val="BFFAE18"/>
    <w:multiLevelType w:val="hybridMultilevel"/>
    <w:lvl w:ilvl="0">
      <w:lvlJc w:val="left"/>
      <w:lvlText w:val=" "/>
      <w:numFmt w:val="bullet"/>
      <w:start w:val="1"/>
    </w:lvl>
  </w:abstractNum>
  <w:abstractNum w:abstractNumId="113">
    <w:nsid w:val="E3E47A8"/>
    <w:multiLevelType w:val="hybridMultilevel"/>
    <w:lvl w:ilvl="0">
      <w:lvlJc w:val="left"/>
      <w:lvlText w:val="(%1)"/>
      <w:numFmt w:val="decimal"/>
      <w:start w:val="2"/>
    </w:lvl>
  </w:abstractNum>
  <w:abstractNum w:abstractNumId="114">
    <w:nsid w:val="2E48F044"/>
    <w:multiLevelType w:val="hybridMultilevel"/>
    <w:lvl w:ilvl="0">
      <w:lvlJc w:val="left"/>
      <w:lvlText w:val="*"/>
      <w:numFmt w:val="bullet"/>
      <w:start w:val="1"/>
    </w:lvl>
  </w:abstractNum>
  <w:abstractNum w:abstractNumId="115">
    <w:nsid w:val="49D0FEAC"/>
    <w:multiLevelType w:val="hybridMultilevel"/>
    <w:lvl w:ilvl="0">
      <w:lvlJc w:val="left"/>
      <w:lvlText w:val="(%1)"/>
      <w:numFmt w:val="decimal"/>
      <w:start w:val="1"/>
    </w:lvl>
  </w:abstractNum>
  <w:abstractNum w:abstractNumId="116">
    <w:nsid w:val="4BEE5A5B"/>
    <w:multiLevelType w:val="hybridMultilevel"/>
    <w:lvl w:ilvl="0">
      <w:lvlJc w:val="left"/>
      <w:lvlText w:val="(%1)"/>
      <w:numFmt w:val="decimal"/>
      <w:start w:val="4"/>
    </w:lvl>
  </w:abstractNum>
  <w:abstractNum w:abstractNumId="117">
    <w:nsid w:val="5551B9F3"/>
    <w:multiLevelType w:val="hybridMultilevel"/>
    <w:lvl w:ilvl="0">
      <w:lvlJc w:val="left"/>
      <w:lvlText w:val="(%1)"/>
      <w:numFmt w:val="decimal"/>
      <w:start w:val="5"/>
    </w:lvl>
  </w:abstractNum>
  <w:abstractNum w:abstractNumId="118">
    <w:nsid w:val="24F6AB8E"/>
    <w:multiLevelType w:val="hybridMultilevel"/>
    <w:lvl w:ilvl="0">
      <w:lvlJc w:val="left"/>
      <w:lvlText w:val=" "/>
      <w:numFmt w:val="bullet"/>
      <w:start w:val="1"/>
    </w:lvl>
  </w:abstractNum>
  <w:abstractNum w:abstractNumId="119">
    <w:nsid w:val="634C574C"/>
    <w:multiLevelType w:val="hybridMultilevel"/>
    <w:lvl w:ilvl="0">
      <w:lvlJc w:val="left"/>
      <w:lvlText w:val="(%1)"/>
      <w:numFmt w:val="lowerRoman"/>
      <w:start w:val="1"/>
    </w:lvl>
  </w:abstractNum>
  <w:abstractNum w:abstractNumId="120">
    <w:nsid w:val="24E99DD7"/>
    <w:multiLevelType w:val="hybridMultilevel"/>
    <w:lvl w:ilvl="0">
      <w:lvlJc w:val="left"/>
      <w:lvlText w:val="•"/>
      <w:numFmt w:val="bullet"/>
      <w:start w:val="1"/>
    </w:lvl>
  </w:abstractNum>
  <w:abstractNum w:abstractNumId="121">
    <w:nsid w:val="2A31B62D"/>
    <w:multiLevelType w:val="hybridMultilevel"/>
    <w:lvl w:ilvl="0">
      <w:lvlJc w:val="left"/>
      <w:lvlText w:val="•"/>
      <w:numFmt w:val="bullet"/>
      <w:start w:val="1"/>
    </w:lvl>
  </w:abstractNum>
  <w:abstractNum w:abstractNumId="122">
    <w:nsid w:val="1849C29B"/>
    <w:multiLevelType w:val="hybridMultilevel"/>
    <w:lvl w:ilvl="0">
      <w:lvlJc w:val="left"/>
      <w:lvlText w:val="•"/>
      <w:numFmt w:val="bullet"/>
      <w:start w:val="1"/>
    </w:lvl>
  </w:abstractNum>
  <w:abstractNum w:abstractNumId="123">
    <w:nsid w:val="7DFF9D09"/>
    <w:multiLevelType w:val="hybridMultilevel"/>
    <w:lvl w:ilvl="0">
      <w:lvlJc w:val="left"/>
      <w:lvlText w:val="•"/>
      <w:numFmt w:val="bullet"/>
      <w:start w:val="1"/>
    </w:lvl>
  </w:abstractNum>
  <w:abstractNum w:abstractNumId="124">
    <w:nsid w:val="754342"/>
    <w:multiLevelType w:val="hybridMultilevel"/>
    <w:lvl w:ilvl="0">
      <w:lvlJc w:val="left"/>
      <w:lvlText w:val="•"/>
      <w:numFmt w:val="bullet"/>
      <w:start w:val="1"/>
    </w:lvl>
  </w:abstractNum>
  <w:abstractNum w:abstractNumId="125">
    <w:nsid w:val="69E7F3E5"/>
    <w:multiLevelType w:val="hybridMultilevel"/>
    <w:lvl w:ilvl="0">
      <w:lvlJc w:val="left"/>
      <w:lvlText w:val="•"/>
      <w:numFmt w:val="bullet"/>
      <w:start w:val="1"/>
    </w:lvl>
  </w:abstractNum>
  <w:abstractNum w:abstractNumId="126">
    <w:nsid w:val="2A6DE806"/>
    <w:multiLevelType w:val="hybridMultilevel"/>
    <w:lvl w:ilvl="0">
      <w:lvlJc w:val="left"/>
      <w:lvlText w:val="(%1)"/>
      <w:numFmt w:val="lowerLetter"/>
      <w:start w:val="1"/>
    </w:lvl>
  </w:abstractNum>
  <w:abstractNum w:abstractNumId="127">
    <w:nsid w:val="1816F8C4"/>
    <w:multiLevelType w:val="hybridMultilevel"/>
    <w:lvl w:ilvl="0">
      <w:lvlJc w:val="left"/>
      <w:lvlText w:val="(%1)"/>
      <w:numFmt w:val="lowerLetter"/>
      <w:start w:val="6"/>
    </w:lvl>
  </w:abstractNum>
  <w:abstractNum w:abstractNumId="128">
    <w:nsid w:val="37DF2233"/>
    <w:multiLevelType w:val="hybridMultilevel"/>
    <w:lvl w:ilvl="0">
      <w:lvlJc w:val="left"/>
      <w:lvlText w:val="(%1)"/>
      <w:numFmt w:val="lowerLetter"/>
      <w:start w:val="7"/>
    </w:lvl>
    <w:lvl w:ilvl="1">
      <w:lvlJc w:val="left"/>
      <w:lvlText w:val="(%2)"/>
      <w:numFmt w:val="lowerRoman"/>
      <w:start w:val="2"/>
    </w:lvl>
  </w:abstractNum>
  <w:abstractNum w:abstractNumId="129">
    <w:nsid w:val="7AB49DAF"/>
    <w:multiLevelType w:val="hybridMultilevel"/>
    <w:lvl w:ilvl="0">
      <w:lvlJc w:val="left"/>
      <w:lvlText w:val="%1"/>
      <w:numFmt w:val="lowerLetter"/>
      <w:start w:val="1"/>
    </w:lvl>
    <w:lvl w:ilvl="1">
      <w:lvlJc w:val="left"/>
      <w:lvlText w:val="(%2)"/>
      <w:numFmt w:val="lowerRoman"/>
      <w:start w:val="4"/>
    </w:lvl>
  </w:abstractNum>
  <w:abstractNum w:abstractNumId="130">
    <w:nsid w:val="759F82CD"/>
    <w:multiLevelType w:val="hybridMultilevel"/>
    <w:lvl w:ilvl="0">
      <w:lvlJc w:val="left"/>
      <w:lvlText w:val="(%1)"/>
      <w:numFmt w:val="lowerLetter"/>
      <w:start w:val="9"/>
    </w:lvl>
    <w:lvl w:ilvl="1">
      <w:lvlJc w:val="left"/>
      <w:lvlText w:val="%2"/>
      <w:numFmt w:val="lowerRoman"/>
      <w:start w:val="1"/>
    </w:lvl>
  </w:abstractNum>
  <w:abstractNum w:abstractNumId="131">
    <w:nsid w:val="61E74EA3"/>
    <w:multiLevelType w:val="hybridMultilevel"/>
    <w:lvl w:ilvl="0">
      <w:lvlJc w:val="left"/>
      <w:lvlText w:val="(%1)"/>
      <w:numFmt w:val="lowerLetter"/>
      <w:start w:val="18"/>
    </w:lvl>
  </w:abstractNum>
  <w:abstractNum w:abstractNumId="132">
    <w:nsid w:val="597B4D84"/>
    <w:multiLevelType w:val="hybridMultilevel"/>
    <w:lvl w:ilvl="0">
      <w:lvlJc w:val="left"/>
      <w:lvlText w:val="(%1)"/>
      <w:numFmt w:val="lowerLetter"/>
      <w:start w:val="1"/>
    </w:lvl>
  </w:abstractNum>
  <w:abstractNum w:abstractNumId="133">
    <w:nsid w:val="F819E7F"/>
    <w:multiLevelType w:val="hybridMultilevel"/>
    <w:lvl w:ilvl="0">
      <w:lvlJc w:val="left"/>
      <w:lvlText w:val="(%1)"/>
      <w:numFmt w:val="lowerLetter"/>
      <w:start w:val="1"/>
    </w:lvl>
  </w:abstractNum>
  <w:abstractNum w:abstractNumId="134">
    <w:nsid w:val="57C7D42D"/>
    <w:multiLevelType w:val="hybridMultilevel"/>
    <w:lvl w:ilvl="0">
      <w:lvlJc w:val="left"/>
      <w:lvlText w:val="(%1)"/>
      <w:numFmt w:val="lowerLetter"/>
      <w:start w:val="2"/>
    </w:lvl>
  </w:abstractNum>
  <w:abstractNum w:abstractNumId="135">
    <w:nsid w:val="312167AD"/>
    <w:multiLevelType w:val="hybridMultilevel"/>
    <w:lvl w:ilvl="0">
      <w:lvlJc w:val="left"/>
      <w:lvlText w:val="(%1)"/>
      <w:numFmt w:val="lowerLetter"/>
      <w:start w:val="1"/>
    </w:lvl>
  </w:abstractNum>
  <w:abstractNum w:abstractNumId="136">
    <w:nsid w:val="631B64D4"/>
    <w:multiLevelType w:val="hybridMultilevel"/>
    <w:lvl w:ilvl="0">
      <w:lvlJc w:val="left"/>
      <w:lvlText w:val="(%1)"/>
      <w:numFmt w:val="lowerRoman"/>
      <w:start w:val="3"/>
    </w:lvl>
  </w:abstractNum>
  <w:abstractNum w:abstractNumId="137">
    <w:nsid w:val="78B5E776"/>
    <w:multiLevelType w:val="hybridMultilevel"/>
    <w:lvl w:ilvl="0">
      <w:lvlJc w:val="left"/>
      <w:lvlText w:val="(%1)"/>
      <w:numFmt w:val="lowerLetter"/>
      <w:start w:val="1"/>
    </w:lvl>
  </w:abstractNum>
  <w:abstractNum w:abstractNumId="138">
    <w:nsid w:val="75486E47"/>
    <w:multiLevelType w:val="hybridMultilevel"/>
    <w:lvl w:ilvl="0">
      <w:lvlJc w:val="left"/>
      <w:lvlText w:val="(%1)"/>
      <w:numFmt w:val="lowerLetter"/>
      <w:start w:val="2"/>
    </w:lvl>
  </w:abstractNum>
  <w:abstractNum w:abstractNumId="139">
    <w:nsid w:val="6E534CDE"/>
    <w:multiLevelType w:val="hybridMultilevel"/>
    <w:lvl w:ilvl="0">
      <w:lvlJc w:val="left"/>
      <w:lvlText w:val="(%1)"/>
      <w:numFmt w:val="lowerLetter"/>
      <w:start w:val="1"/>
    </w:lvl>
  </w:abstractNum>
  <w:abstractNum w:abstractNumId="140">
    <w:nsid w:val="1A0DDE32"/>
    <w:multiLevelType w:val="hybridMultilevel"/>
    <w:lvl w:ilvl="0">
      <w:lvlJc w:val="left"/>
      <w:lvlText w:val="​"/>
      <w:numFmt w:val="bullet"/>
      <w:start w:val="1"/>
    </w:lvl>
  </w:abstractNum>
  <w:abstractNum w:abstractNumId="141">
    <w:nsid w:val="65968C1C"/>
    <w:multiLevelType w:val="hybridMultilevel"/>
    <w:lvl w:ilvl="0">
      <w:lvlJc w:val="left"/>
      <w:lvlText w:val="​"/>
      <w:numFmt w:val="bullet"/>
      <w:start w:val="1"/>
    </w:lvl>
  </w:abstractNum>
  <w:abstractNum w:abstractNumId="142">
    <w:nsid w:val="46263DEC"/>
    <w:multiLevelType w:val="hybridMultilevel"/>
    <w:lvl w:ilvl="0">
      <w:lvlJc w:val="left"/>
      <w:lvlText w:val="​​​"/>
      <w:numFmt w:val="bullet"/>
      <w:start w:val="1"/>
    </w:lvl>
  </w:abstractNum>
  <w:abstractNum w:abstractNumId="143">
    <w:nsid w:val="260D8C4A"/>
    <w:multiLevelType w:val="hybridMultilevel"/>
    <w:lvl w:ilvl="0">
      <w:lvlJc w:val="left"/>
      <w:lvlText w:val="​​​"/>
      <w:numFmt w:val="bullet"/>
      <w:start w:val="1"/>
    </w:lvl>
  </w:abstractNum>
  <w:abstractNum w:abstractNumId="144">
    <w:nsid w:val="73D4D3C4"/>
    <w:multiLevelType w:val="hybridMultilevel"/>
    <w:lvl w:ilvl="0">
      <w:lvlJc w:val="left"/>
      <w:lvlText w:val="​​"/>
      <w:numFmt w:val="bullet"/>
      <w:start w:val="1"/>
    </w:lvl>
  </w:abstractNum>
  <w:abstractNum w:abstractNumId="145">
    <w:nsid w:val="746F2E30"/>
    <w:multiLevelType w:val="hybridMultilevel"/>
    <w:lvl w:ilvl="0">
      <w:lvlJc w:val="left"/>
      <w:lvlText w:val="​​"/>
      <w:numFmt w:val="bullet"/>
      <w:start w:val="1"/>
    </w:lvl>
  </w:abstractNum>
  <w:abstractNum w:abstractNumId="146">
    <w:nsid w:val="6FDE8AF6"/>
    <w:multiLevelType w:val="hybridMultilevel"/>
    <w:lvl w:ilvl="0">
      <w:lvlJc w:val="left"/>
      <w:lvlText w:val="​"/>
      <w:numFmt w:val="bullet"/>
      <w:start w:val="1"/>
    </w:lvl>
  </w:abstractNum>
  <w:abstractNum w:abstractNumId="147">
    <w:nsid w:val="3FC32E20"/>
    <w:multiLevelType w:val="hybridMultilevel"/>
    <w:lvl w:ilvl="0">
      <w:lvlJc w:val="left"/>
      <w:lvlText w:val="(%1)"/>
      <w:numFmt w:val="lowerLetter"/>
      <w:start w:val="1"/>
    </w:lvl>
  </w:abstractNum>
  <w:abstractNum w:abstractNumId="148">
    <w:nsid w:val="49C0E823"/>
    <w:multiLevelType w:val="hybridMultilevel"/>
    <w:lvl w:ilvl="0">
      <w:lvlJc w:val="left"/>
      <w:lvlText w:val="*"/>
      <w:numFmt w:val="bullet"/>
      <w:start w:val="1"/>
    </w:lvl>
  </w:abstractNum>
  <w:abstractNum w:abstractNumId="149">
    <w:nsid w:val="14D53685"/>
    <w:multiLevelType w:val="hybridMultilevel"/>
    <w:lvl w:ilvl="0">
      <w:lvlJc w:val="left"/>
      <w:lvlText w:val="(%1)"/>
      <w:numFmt w:val="lowerRoman"/>
      <w:start w:val="1"/>
    </w:lvl>
  </w:abstractNum>
  <w:abstractNum w:abstractNumId="150">
    <w:nsid w:val="230F856C"/>
    <w:multiLevelType w:val="hybridMultilevel"/>
    <w:lvl w:ilvl="0">
      <w:lvlJc w:val="left"/>
      <w:lvlText w:val="​"/>
      <w:numFmt w:val="bullet"/>
      <w:start w:val="1"/>
    </w:lvl>
  </w:abstractNum>
  <w:abstractNum w:abstractNumId="151">
    <w:nsid w:val="6EAA85FB"/>
    <w:multiLevelType w:val="hybridMultilevel"/>
    <w:lvl w:ilvl="0">
      <w:lvlJc w:val="left"/>
      <w:lvlText w:val="^"/>
      <w:numFmt w:val="bullet"/>
      <w:start w:val="1"/>
    </w:lvl>
  </w:abstractNum>
  <w:abstractNum w:abstractNumId="152">
    <w:nsid w:val="3F06ECB2"/>
    <w:multiLevelType w:val="hybridMultilevel"/>
    <w:lvl w:ilvl="0">
      <w:lvlJc w:val="left"/>
      <w:lvlText w:val="+"/>
      <w:numFmt w:val="bullet"/>
      <w:start w:val="1"/>
    </w:lvl>
  </w:abstractNum>
  <w:abstractNum w:abstractNumId="153">
    <w:nsid w:val="3B594807"/>
    <w:multiLevelType w:val="hybridMultilevel"/>
    <w:lvl w:ilvl="0">
      <w:lvlJc w:val="left"/>
      <w:lvlText w:val="#"/>
      <w:numFmt w:val="bullet"/>
      <w:start w:val="1"/>
    </w:lvl>
  </w:abstractNum>
  <w:abstractNum w:abstractNumId="154">
    <w:nsid w:val="6CAA2304"/>
    <w:multiLevelType w:val="hybridMultilevel"/>
    <w:lvl w:ilvl="0">
      <w:lvlJc w:val="left"/>
      <w:lvlText w:val="*"/>
      <w:numFmt w:val="bullet"/>
      <w:start w:val="1"/>
    </w:lvl>
  </w:abstractNum>
  <w:abstractNum w:abstractNumId="155">
    <w:nsid w:val="3F7C2FF4"/>
    <w:multiLevelType w:val="hybridMultilevel"/>
    <w:lvl w:ilvl="0">
      <w:lvlJc w:val="left"/>
      <w:lvlText w:val="¥"/>
      <w:numFmt w:val="bullet"/>
      <w:start w:val="1"/>
    </w:lvl>
  </w:abstractNum>
  <w:abstractNum w:abstractNumId="156">
    <w:nsid w:val="25413BEC"/>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54" Type="http://schemas.openxmlformats.org/officeDocument/2006/relationships/image" Target="media/image629.png"/><Relationship Id="rId655" Type="http://schemas.openxmlformats.org/officeDocument/2006/relationships/image" Target="media/image630.png"/><Relationship Id="rId656" Type="http://schemas.openxmlformats.org/officeDocument/2006/relationships/image" Target="media/image631.png"/><Relationship Id="rId657" Type="http://schemas.openxmlformats.org/officeDocument/2006/relationships/image" Target="media/image632.png"/><Relationship Id="rId660" Type="http://schemas.openxmlformats.org/officeDocument/2006/relationships/image" Target="media/image633.png"/><Relationship Id="rId661" Type="http://schemas.openxmlformats.org/officeDocument/2006/relationships/image" Target="media/image634.png"/><Relationship Id="rId662" Type="http://schemas.openxmlformats.org/officeDocument/2006/relationships/image" Target="media/image635.png"/><Relationship Id="rId663" Type="http://schemas.openxmlformats.org/officeDocument/2006/relationships/image" Target="media/image636.png"/><Relationship Id="rId664" Type="http://schemas.openxmlformats.org/officeDocument/2006/relationships/image" Target="media/image637.png"/><Relationship Id="rId665" Type="http://schemas.openxmlformats.org/officeDocument/2006/relationships/image" Target="media/image638.png"/><Relationship Id="rId666" Type="http://schemas.openxmlformats.org/officeDocument/2006/relationships/image" Target="media/image639.png"/><Relationship Id="rId667" Type="http://schemas.openxmlformats.org/officeDocument/2006/relationships/image" Target="media/image640.png"/><Relationship Id="rId668" Type="http://schemas.openxmlformats.org/officeDocument/2006/relationships/image" Target="media/image641.png"/><Relationship Id="rId669" Type="http://schemas.openxmlformats.org/officeDocument/2006/relationships/image" Target="media/image642.png"/><Relationship Id="rId636" Type="http://schemas.openxmlformats.org/officeDocument/2006/relationships/hyperlink" Target="https://www.sec.gov/Archives/edgar/data/1847367/000110465924069735/tm2411163d6_ex3-1.htm" TargetMode="External"/><Relationship Id="rId637" Type="http://schemas.openxmlformats.org/officeDocument/2006/relationships/hyperlink" Target="https://www.sec.gov/Archives/edgar/data/1847367/000110465924069735/tm2411163d6_ex3-3.htm" TargetMode="External"/><Relationship Id="rId638" Type="http://schemas.openxmlformats.org/officeDocument/2006/relationships/hyperlink" Target="https://www.sec.gov/Archives/edgar/data/1847367/000110465924069735/tm2411163d6_ex4-2.htm" TargetMode="External"/><Relationship Id="rId639" Type="http://schemas.openxmlformats.org/officeDocument/2006/relationships/hyperlink" Target="https://www.sec.gov/Archives/edgar/data/1847367/000110465924069735/tm2411163d6_ex10-1.htm" TargetMode="External"/><Relationship Id="rId640" Type="http://schemas.openxmlformats.org/officeDocument/2006/relationships/hyperlink" Target="https://www.sec.gov/Archives/edgar/data/1847367/000110465924069735/tm2411163d6_ex10-2.htm" TargetMode="External"/><Relationship Id="rId641" Type="http://schemas.openxmlformats.org/officeDocument/2006/relationships/hyperlink" Target="https://www.sec.gov/Archives/edgar/data/1847367/000110465924069735/tm2411163d6_ex10-6.htm" TargetMode="External"/><Relationship Id="rId642" Type="http://schemas.openxmlformats.org/officeDocument/2006/relationships/hyperlink" Target="https://www.sec.gov/Archives/edgar/data/1847367/000110465924069735/tm2411163d6_ex10-7.htm" TargetMode="External"/><Relationship Id="rId643" Type="http://schemas.openxmlformats.org/officeDocument/2006/relationships/hyperlink" Target="https://www.sec.gov/Archives/edgar/data/1847367/000110465924069735/tm2411163d6_ex10-12.htm" TargetMode="External"/><Relationship Id="rId644" Type="http://schemas.openxmlformats.org/officeDocument/2006/relationships/hyperlink" Target="https://www.sec.gov/Archives/edgar/data/1847367/000110465924069735/tm2411163d6_ex10-13.htm" TargetMode="External"/><Relationship Id="rId645" Type="http://schemas.openxmlformats.org/officeDocument/2006/relationships/hyperlink" Target="https://www.sec.gov/Archives/edgar/data/1847367/000110465924069735/tm2411163d6_ex10-14.htm" TargetMode="External"/><Relationship Id="rId646" Type="http://schemas.openxmlformats.org/officeDocument/2006/relationships/hyperlink" Target="https://www.sec.gov/Archives/edgar/data/1847367/000110465924069735/tm2411163d6_ex10-15.htm" TargetMode="External"/><Relationship Id="rId647" Type="http://schemas.openxmlformats.org/officeDocument/2006/relationships/hyperlink" Target="https://www.sec.gov/Archives/edgar/data/1847367/000110465924069735/tm2411163d6_ex10-16.htm" TargetMode="External"/><Relationship Id="rId648" Type="http://schemas.openxmlformats.org/officeDocument/2006/relationships/hyperlink" Target="https://www.sec.gov/Archives/edgar/data/1847367/000110465924069735/tm2411163d6_ex10-17.htm" TargetMode="External"/><Relationship Id="rId649" Type="http://schemas.openxmlformats.org/officeDocument/2006/relationships/hyperlink" Target="https://www.sec.gov/Archives/edgar/data/1847367/000110465924069735/tm2411163d6_ex10-18.htm" TargetMode="External"/><Relationship Id="rId650" Type="http://schemas.openxmlformats.org/officeDocument/2006/relationships/hyperlink" Target="https://www.sec.gov/Archives/edgar/data/1847367/000110465924069735/tm2411163d6_ex10-19.htm" TargetMode="External"/><Relationship Id="rId651" Type="http://schemas.openxmlformats.org/officeDocument/2006/relationships/hyperlink" Target="https://www.sec.gov/Archives/edgar/data/1847367/000110465924069735/tm2411163d6_ex10-20.htm" TargetMode="External"/><Relationship Id="rId652" Type="http://schemas.openxmlformats.org/officeDocument/2006/relationships/hyperlink" Target="https://www.sec.gov/Archives/edgar/data/1847367/000110465924069735/tm2411163d6_ex10-21.htm" TargetMode="External"/><Relationship Id="rId653" Type="http://schemas.openxmlformats.org/officeDocument/2006/relationships/hyperlink" Target="https://www.sec.gov/Archives/edgar/data/1847367/000110465924069735/tm2411163d6_ex10-22.htm" TargetMode="External"/><Relationship Id="rId658" Type="http://schemas.openxmlformats.org/officeDocument/2006/relationships/hyperlink" Target="https://www.sec.gov/Archives/edgar/data/1847367/000110465924069735/tm2411163-5_drsa.htm#tSIG" TargetMode="External"/><Relationship Id="rId659" Type="http://schemas.openxmlformats.org/officeDocument/2006/relationships/hyperlink" Target="https://www.sec.gov/Archives/edgar/data/1847367/000110465924069735/tm2411163d6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2024-06-18T05:30:02Z</dcterms:created>
  <dcterms:modified xsi:type="dcterms:W3CDTF">2024-06-18T05:30:02Z</dcterms:modified>
</cp:coreProperties>
</file>