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0"/>
        <w:ind w:left="0" w:right="0" w:hanging="0"/>
        <w:jc w:val="center"/>
        <w:rPr/>
      </w:pPr>
      <w:bookmarkStart w:id="0" w:name="alms-20260813x8k.htm"/>
      <w:bookmarkStart w:id="1" w:name="ksalms20260813x8k"/>
      <w:bookmarkEnd w:id="0"/>
      <w:bookmarkEnd w:id="1"/>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bookmarkStart w:id="2" w:name="_74fe2b63_ca01_4265_85d0_f1d316bac327"/>
      <w:bookmarkEnd w:id="2"/>
      <w:r>
        <w:rPr>
          <w:rFonts w:ascii="Times New Roman;Times;serif" w:hAnsi="Times New Roman;Times;serif"/>
          <w:b/>
          <w:sz w:val="36"/>
        </w:rPr>
        <w:t>UNITED STATES</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CURRENT REPORT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13 or 15(d)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of the Securities Exchange Act of 1934</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 of Report (Date of earliest event reported): August 13, 2026</w:t>
      </w:r>
    </w:p>
    <w:p>
      <w:pPr>
        <w:pStyle w:val="TextBody"/>
        <w:bidi w:val="0"/>
        <w:spacing w:before="0" w:after="0"/>
        <w:ind w:left="0" w:right="0" w:hanging="0"/>
        <w:jc w:val="center"/>
        <w:rPr>
          <w:rFonts w:ascii="Times New Roman;Times;serif" w:hAnsi="Times New Roman;Times;serif"/>
          <w:b/>
          <w:sz w:val="48"/>
        </w:rPr>
      </w:pPr>
      <w:r>
        <w:rPr>
          <w:rFonts w:ascii="Times New Roman;Times;serif" w:hAnsi="Times New Roman;Times;serif"/>
          <w:b/>
          <w:sz w:val="48"/>
        </w:rPr>
        <w:t>Alumis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J2DmhSRI6UuULq5d3VFv2g_2_4"/>
      <w:bookmarkStart w:id="4" w:name="Tc_a7maW7XigE6zsu2EGFA45w_2_2"/>
      <w:bookmarkStart w:id="5" w:name="Tc_tDLcPyedeEmHqzkr9v_kww_2_0"/>
      <w:bookmarkStart w:id="6" w:name="_262dd1ac_9681_497e_8f82_d3c0ee9555ee"/>
      <w:bookmarkStart w:id="7" w:name="Tc_J2DmhSRI6UuULq5d3VFv2g_2_4"/>
      <w:bookmarkStart w:id="8" w:name="Tc_a7maW7XigE6zsu2EGFA45w_2_2"/>
      <w:bookmarkStart w:id="9" w:name="Tc_tDLcPyedeEmHqzkr9v_kww_2_0"/>
      <w:bookmarkStart w:id="10" w:name="_262dd1ac_9681_497e_8f82_d3c0ee9555ee"/>
      <w:bookmarkEnd w:id="7"/>
      <w:bookmarkEnd w:id="8"/>
      <w:bookmarkEnd w:id="9"/>
      <w:bookmarkEnd w:id="10"/>
    </w:p>
    <w:tbl>
      <w:tblPr>
        <w:tblW w:w="5315" w:type="dxa"/>
        <w:jc w:val="left"/>
        <w:tblInd w:w="0" w:type="dxa"/>
        <w:tblLayout w:type="fixed"/>
        <w:tblCellMar>
          <w:top w:w="0" w:type="dxa"/>
          <w:left w:w="0" w:type="dxa"/>
          <w:bottom w:w="0" w:type="dxa"/>
          <w:right w:w="0" w:type="dxa"/>
        </w:tblCellMar>
      </w:tblPr>
      <w:tblGrid>
        <w:gridCol w:w="2071"/>
        <w:gridCol w:w="346"/>
        <w:gridCol w:w="1066"/>
        <w:gridCol w:w="346"/>
        <w:gridCol w:w="1486"/>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9710" cy="29210"/>
                      <wp:effectExtent l="0" t="0" r="0" b="0"/>
                      <wp:wrapNone/>
                      <wp:docPr id="1" name="Frame1"/>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19710" cy="29210"/>
                      <wp:effectExtent l="0" t="0" r="0" b="0"/>
                      <wp:wrapNone/>
                      <wp:docPr id="2" name="Frame2"/>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p>
        </w:tc>
      </w:tr>
      <w:tr>
        <w:trPr/>
        <w:tc>
          <w:tcPr>
            <w:tcW w:w="20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46" w:type="dxa"/>
            <w:tcBorders/>
            <w:vAlign w:val="center"/>
          </w:tcPr>
          <w:p>
            <w:pPr>
              <w:pStyle w:val="TableContents"/>
              <w:bidi w:val="0"/>
              <w:spacing w:before="0" w:after="0"/>
              <w:ind w:left="0" w:right="0" w:hanging="0"/>
              <w:jc w:val="left"/>
              <w:rPr/>
            </w:pPr>
            <w:r>
              <w:rPr/>
              <w:t>  ​ ​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001-42143</w:t>
            </w:r>
          </w:p>
        </w:tc>
        <w:tc>
          <w:tcPr>
            <w:tcW w:w="346" w:type="dxa"/>
            <w:tcBorders/>
            <w:vAlign w:val="center"/>
          </w:tcPr>
          <w:p>
            <w:pPr>
              <w:pStyle w:val="TableContents"/>
              <w:bidi w:val="0"/>
              <w:spacing w:before="0" w:after="0"/>
              <w:ind w:left="0" w:right="0" w:hanging="0"/>
              <w:jc w:val="left"/>
              <w:rPr/>
            </w:pPr>
            <w:r>
              <w:rPr/>
              <w:t>  ​ ​ ​</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86-1771129</w:t>
            </w:r>
          </w:p>
        </w:tc>
      </w:tr>
      <w:tr>
        <w:trPr/>
        <w:tc>
          <w:tcPr>
            <w:tcW w:w="20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(State or other jurisdiction</w:t>
            </w:r>
            <w:r>
              <w:rPr>
                <w:rFonts w:ascii="Times New Roman;Times;serif" w:hAnsi="Times New Roman;Times;serif"/>
                <w:sz w:val="16"/>
              </w:rPr>
              <w:br/>
            </w:r>
            <w:r>
              <w:rPr>
                <w:rFonts w:ascii="Times New Roman;Times;serif" w:hAnsi="Times New Roman;Times;serif"/>
                <w:b/>
                <w:sz w:val="16"/>
              </w:rPr>
              <w:t>of incorporation)</w:t>
            </w:r>
          </w:p>
        </w:tc>
        <w:tc>
          <w:tcPr>
            <w:tcW w:w="3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(Commission</w:t>
            </w:r>
            <w:r>
              <w:rPr>
                <w:rFonts w:ascii="Times New Roman;Times;serif" w:hAnsi="Times New Roman;Times;serif"/>
                <w:sz w:val="16"/>
              </w:rPr>
              <w:br/>
            </w:r>
            <w:r>
              <w:rPr>
                <w:rFonts w:ascii="Times New Roman;Times;serif" w:hAnsi="Times New Roman;Times;serif"/>
                <w:b/>
                <w:sz w:val="16"/>
              </w:rPr>
              <w:t>File Number)</w:t>
            </w:r>
          </w:p>
        </w:tc>
        <w:tc>
          <w:tcPr>
            <w:tcW w:w="346" w:type="dxa"/>
            <w:tcBorders/>
            <w:vAlign w:val="center"/>
          </w:tcPr>
          <w:p>
            <w:pPr>
              <w:pStyle w:val="TableContents"/>
              <w:bidi w:val="0"/>
              <w:spacing w:before="0" w:after="0"/>
              <w:ind w:left="0" w:right="0" w:hanging="0"/>
              <w:jc w:val="left"/>
              <w:rPr/>
            </w:pPr>
            <w:r>
              <w:rPr/>
              <w:t> </w:t>
            </w:r>
          </w:p>
        </w:tc>
        <w:tc>
          <w:tcPr>
            <w:tcW w:w="14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(IRS Employer</w:t>
            </w:r>
            <w:r>
              <w:rPr>
                <w:rFonts w:ascii="Times New Roman;Times;serif" w:hAnsi="Times New Roman;Times;serif"/>
                <w:sz w:val="16"/>
              </w:rPr>
              <w:br/>
            </w:r>
            <w:r>
              <w:rPr>
                <w:rFonts w:ascii="Times New Roman;Times;serif" w:hAnsi="Times New Roman;Times;serif"/>
                <w:b/>
                <w:sz w:val="16"/>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280 East Grand Avenue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South San Francisco, California</w:t>
      </w:r>
      <w:r>
        <w:rPr>
          <w:rFonts w:ascii="Times New Roman;Times;serif" w:hAnsi="Times New Roman;Times;serif"/>
          <w:sz w:val="20"/>
        </w:rPr>
        <w:t xml:space="preserve"> </w:t>
      </w:r>
      <w:r>
        <w:rPr>
          <w:rFonts w:ascii="Times New Roman;Times;serif" w:hAnsi="Times New Roman;Times;serif"/>
          <w:b/>
          <w:sz w:val="20"/>
        </w:rPr>
        <w:t>94080</w:t>
      </w:r>
    </w:p>
    <w:p>
      <w:pPr>
        <w:pStyle w:val="TextBody"/>
        <w:bidi w:val="0"/>
        <w:spacing w:before="0" w:after="8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w:t>
      </w:r>
    </w:p>
    <w:p>
      <w:pPr>
        <w:pStyle w:val="TextBody"/>
        <w:bidi w:val="0"/>
        <w:spacing w:before="0" w:after="80"/>
        <w:ind w:left="0" w:right="0" w:hanging="0"/>
        <w:jc w:val="center"/>
        <w:rPr>
          <w:rFonts w:ascii="Times New Roman;Times;serif" w:hAnsi="Times New Roman;Times;serif"/>
          <w:b/>
          <w:sz w:val="20"/>
        </w:rPr>
      </w:pPr>
      <w:r>
        <w:rPr>
          <w:rFonts w:ascii="Times New Roman;Times;serif" w:hAnsi="Times New Roman;Times;serif"/>
          <w:b/>
          <w:sz w:val="20"/>
        </w:rPr>
        <w:t>Registrant’s telephone number, including area code: (650) 231-6625</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(Former name or former address, if changed since last report.)</w:t>
      </w:r>
    </w:p>
    <w:p>
      <w:pPr>
        <w:pStyle w:val="TextBody"/>
        <w:bidi w:val="0"/>
        <w:spacing w:before="0" w:after="100"/>
        <w:ind w:left="0" w:right="0" w:firstLine="49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100"/>
        <w:ind w:left="0" w:right="0" w:hanging="0"/>
        <w:jc w:val="left"/>
        <w:rPr/>
      </w:pPr>
      <w:r>
        <w:rPr/>
        <w:t>☐    </w:t>
      </w:r>
      <w:r>
        <w:rPr>
          <w:rFonts w:ascii="Times New Roman;Times;serif" w:hAnsi="Times New Roman;Times;serif"/>
          <w:sz w:val="20"/>
        </w:rPr>
        <w:t>Written communications pursuant to Rule 425 under the Securities Act (17 CFR 230.425)</w:t>
      </w:r>
    </w:p>
    <w:p>
      <w:pPr>
        <w:pStyle w:val="TextBody"/>
        <w:bidi w:val="0"/>
        <w:spacing w:before="0" w:after="100"/>
        <w:ind w:left="0" w:right="0" w:hanging="0"/>
        <w:jc w:val="left"/>
        <w:rPr/>
      </w:pPr>
      <w:r>
        <w:rPr/>
        <w:t>☐    </w:t>
      </w:r>
      <w:r>
        <w:rPr>
          <w:rFonts w:ascii="Times New Roman;Times;serif" w:hAnsi="Times New Roman;Times;serif"/>
          <w:sz w:val="20"/>
        </w:rPr>
        <w:t>Soliciting material pursuant to Rule 14a-12 under the Exchange Act (17 CFR 240.14a-12)</w:t>
      </w:r>
    </w:p>
    <w:p>
      <w:pPr>
        <w:pStyle w:val="TextBody"/>
        <w:pBdr/>
        <w:bidi w:val="0"/>
        <w:spacing w:before="0" w:after="100"/>
        <w:ind w:left="0" w:right="0" w:hanging="378"/>
        <w:jc w:val="left"/>
        <w:rPr/>
      </w:pPr>
      <w:r>
        <w:rPr/>
        <w:t>☐    </w:t>
      </w:r>
      <w:r>
        <w:rPr>
          <w:rFonts w:ascii="Times New Roman;Times;serif" w:hAnsi="Times New Roman;Times;serif"/>
          <w:sz w:val="20"/>
        </w:rPr>
        <w:t>Pre-commencement communications pursuant to Rule 14d-2(b) under the Exchange Act (17 CFR 240.14d-2(b))</w:t>
      </w:r>
    </w:p>
    <w:p>
      <w:pPr>
        <w:pStyle w:val="TextBody"/>
        <w:bidi w:val="0"/>
        <w:spacing w:before="0" w:after="100"/>
        <w:ind w:left="0" w:right="0" w:hanging="0"/>
        <w:jc w:val="left"/>
        <w:rPr/>
      </w:pPr>
      <w:r>
        <w:rPr/>
        <w:t>☐    </w:t>
      </w:r>
      <w:r>
        <w:rPr>
          <w:rFonts w:ascii="Times New Roman;Times;serif" w:hAnsi="Times New Roman;Times;serif"/>
          <w:sz w:val="20"/>
        </w:rPr>
        <w:t>Pre-commencement communications pursuant to Rule 13e-4(c) under the Exchange Act (17 CFR 240.13e-4(c))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piy-F-A4mUO0voshUiPdFw_1_4"/>
      <w:bookmarkStart w:id="12" w:name="Tc_zWaOhXFTxEqdBLIlrlSQXQ_1_2"/>
      <w:bookmarkStart w:id="13" w:name="Tc_vXXpR6tQU0u4ihFvxng0rQ_1_0"/>
      <w:bookmarkStart w:id="14" w:name="_54fc8e02_8aee_4642_8a92_103277bf3df4"/>
      <w:bookmarkStart w:id="15" w:name="Tc_piy-F-A4mUO0voshUiPdFw_1_4"/>
      <w:bookmarkStart w:id="16" w:name="Tc_zWaOhXFTxEqdBLIlrlSQXQ_1_2"/>
      <w:bookmarkStart w:id="17" w:name="Tc_vXXpR6tQU0u4ihFvxng0rQ_1_0"/>
      <w:bookmarkStart w:id="18" w:name="_54fc8e02_8aee_4642_8a92_103277bf3df4"/>
      <w:bookmarkEnd w:id="15"/>
      <w:bookmarkEnd w:id="16"/>
      <w:bookmarkEnd w:id="17"/>
      <w:bookmarkEnd w:id="18"/>
    </w:p>
    <w:tbl>
      <w:tblPr>
        <w:tblW w:w="8105" w:type="dxa"/>
        <w:jc w:val="left"/>
        <w:tblInd w:w="0" w:type="dxa"/>
        <w:tblLayout w:type="fixed"/>
        <w:tblCellMar>
          <w:top w:w="0" w:type="dxa"/>
          <w:left w:w="0" w:type="dxa"/>
          <w:bottom w:w="0" w:type="dxa"/>
          <w:right w:w="0" w:type="dxa"/>
        </w:tblCellMar>
      </w:tblPr>
      <w:tblGrid>
        <w:gridCol w:w="3706"/>
        <w:gridCol w:w="346"/>
        <w:gridCol w:w="826"/>
        <w:gridCol w:w="346"/>
        <w:gridCol w:w="2881"/>
      </w:tblGrid>
      <w:tr>
        <w:trPr/>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353310" cy="29210"/>
                      <wp:effectExtent l="0" t="0" r="0" b="0"/>
                      <wp:wrapNone/>
                      <wp:docPr id="3" name="Frame3"/>
                      <a:graphic xmlns:a="http://schemas.openxmlformats.org/drawingml/2006/main">
                        <a:graphicData uri="http://schemas.microsoft.com/office/word/2010/wordprocessingShape">
                          <wps:wsp>
                            <wps:cNvSpPr txBox="1"/>
                            <wps:spPr>
                              <a:xfrm>
                                <a:off x="0" y="0"/>
                                <a:ext cx="23533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29210"/>
                      <wp:effectExtent l="0" t="0" r="0" b="0"/>
                      <wp:wrapNone/>
                      <wp:docPr id="4" name="Frame4"/>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524510" cy="29210"/>
                      <wp:effectExtent l="0" t="0" r="0" b="0"/>
                      <wp:wrapNone/>
                      <wp:docPr id="5" name="Frame5"/>
                      <a:graphic xmlns:a="http://schemas.openxmlformats.org/drawingml/2006/main">
                        <a:graphicData uri="http://schemas.microsoft.com/office/word/2010/wordprocessingShape">
                          <wps:wsp>
                            <wps:cNvSpPr txBox="1"/>
                            <wps:spPr>
                              <a:xfrm>
                                <a:off x="0" y="0"/>
                                <a:ext cx="5245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19710" cy="29210"/>
                      <wp:effectExtent l="0" t="0" r="0" b="0"/>
                      <wp:wrapNone/>
                      <wp:docPr id="6" name="Frame6"/>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829435" cy="29210"/>
                      <wp:effectExtent l="0" t="0" r="0" b="0"/>
                      <wp:wrapNone/>
                      <wp:docPr id="7" name="Frame7"/>
                      <a:graphic xmlns:a="http://schemas.openxmlformats.org/drawingml/2006/main">
                        <a:graphicData uri="http://schemas.microsoft.com/office/word/2010/wordprocessingShape">
                          <wps:wsp>
                            <wps:cNvSpPr txBox="1"/>
                            <wps:spPr>
                              <a:xfrm>
                                <a:off x="0" y="0"/>
                                <a:ext cx="18294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706" w:type="dxa"/>
            <w:tcBorders>
              <w:bottom w:val="single" w:sz="8" w:space="0" w:color="000000"/>
            </w:tcBorders>
            <w:tcMar>
              <w:bottom w:w="28" w:type="dxa"/>
            </w:tcMar>
            <w:vAlign w:val="center"/>
          </w:tcPr>
          <w:p>
            <w:pPr>
              <w:pStyle w:val="TableContents"/>
              <w:bidi w:val="0"/>
              <w:spacing w:before="0" w:after="2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46" w:type="dxa"/>
            <w:tcBorders>
              <w:bottom w:val="single" w:sz="8" w:space="0" w:color="000000"/>
            </w:tcBorders>
            <w:tcMar>
              <w:bottom w:w="28" w:type="dxa"/>
            </w:tcMar>
            <w:vAlign w:val="center"/>
          </w:tcPr>
          <w:p>
            <w:pPr>
              <w:pStyle w:val="TableContents"/>
              <w:bidi w:val="0"/>
              <w:spacing w:before="0" w:after="0"/>
              <w:ind w:left="0" w:right="0" w:hanging="0"/>
              <w:jc w:val="left"/>
              <w:rPr/>
            </w:pPr>
            <w:r>
              <w:rPr/>
              <w:t>  ​ ​ ​</w:t>
            </w:r>
          </w:p>
        </w:tc>
        <w:tc>
          <w:tcPr>
            <w:tcW w:w="826" w:type="dxa"/>
            <w:tcBorders>
              <w:bottom w:val="single" w:sz="8" w:space="0" w:color="000000"/>
            </w:tcBorders>
            <w:tcMar>
              <w:bottom w:w="28" w:type="dxa"/>
            </w:tcMar>
            <w:vAlign w:val="center"/>
          </w:tcPr>
          <w:p>
            <w:pPr>
              <w:pStyle w:val="TableContents"/>
              <w:bidi w:val="0"/>
              <w:spacing w:before="0" w:after="20"/>
              <w:ind w:left="0" w:right="0" w:hanging="0"/>
              <w:jc w:val="center"/>
              <w:rPr>
                <w:rFonts w:ascii="Times New Roman;Times;serif" w:hAnsi="Times New Roman;Times;serif"/>
                <w:sz w:val="16"/>
              </w:rPr>
            </w:pPr>
            <w:r>
              <w:rPr>
                <w:rFonts w:ascii="Times New Roman;Times;serif" w:hAnsi="Times New Roman;Times;serif"/>
                <w:b/>
                <w:sz w:val="16"/>
              </w:rPr>
              <w:t>Trading</w:t>
            </w:r>
            <w:r>
              <w:rPr>
                <w:rFonts w:ascii="Times New Roman;Times;serif" w:hAnsi="Times New Roman;Times;serif"/>
                <w:sz w:val="16"/>
              </w:rPr>
              <w:br/>
            </w:r>
            <w:r>
              <w:rPr>
                <w:rFonts w:ascii="Times New Roman;Times;serif" w:hAnsi="Times New Roman;Times;serif"/>
                <w:b/>
                <w:sz w:val="16"/>
              </w:rPr>
              <w:t>Symbol(s)</w:t>
            </w:r>
          </w:p>
        </w:tc>
        <w:tc>
          <w:tcPr>
            <w:tcW w:w="346" w:type="dxa"/>
            <w:tcBorders>
              <w:bottom w:val="single" w:sz="8" w:space="0" w:color="000000"/>
            </w:tcBorders>
            <w:tcMar>
              <w:bottom w:w="28" w:type="dxa"/>
            </w:tcMar>
            <w:vAlign w:val="center"/>
          </w:tcPr>
          <w:p>
            <w:pPr>
              <w:pStyle w:val="TableContents"/>
              <w:bidi w:val="0"/>
              <w:spacing w:before="0" w:after="0"/>
              <w:ind w:left="0" w:right="0" w:hanging="0"/>
              <w:jc w:val="left"/>
              <w:rPr/>
            </w:pPr>
            <w:r>
              <w:rPr/>
              <w:t>  ​ ​ ​</w:t>
            </w:r>
          </w:p>
        </w:tc>
        <w:tc>
          <w:tcPr>
            <w:tcW w:w="2881" w:type="dxa"/>
            <w:tcBorders>
              <w:bottom w:val="single" w:sz="8" w:space="0" w:color="000000"/>
            </w:tcBorders>
            <w:tcMar>
              <w:bottom w:w="28" w:type="dxa"/>
            </w:tcMar>
            <w:vAlign w:val="center"/>
          </w:tcPr>
          <w:p>
            <w:pPr>
              <w:pStyle w:val="TableContents"/>
              <w:bidi w:val="0"/>
              <w:spacing w:before="0" w:after="20"/>
              <w:ind w:left="0" w:right="0" w:hanging="0"/>
              <w:jc w:val="center"/>
              <w:rPr>
                <w:rFonts w:ascii="Times New Roman;Times;serif" w:hAnsi="Times New Roman;Times;serif"/>
                <w:sz w:val="16"/>
              </w:rPr>
            </w:pPr>
            <w:r>
              <w:rPr>
                <w:rFonts w:ascii="Times New Roman;Times;serif" w:hAnsi="Times New Roman;Times;serif"/>
                <w:b/>
                <w:sz w:val="16"/>
              </w:rPr>
              <w:t>Name of each exchange</w:t>
            </w:r>
            <w:r>
              <w:rPr>
                <w:rFonts w:ascii="Times New Roman;Times;serif" w:hAnsi="Times New Roman;Times;serif"/>
                <w:sz w:val="16"/>
              </w:rPr>
              <w:br/>
            </w:r>
            <w:r>
              <w:rPr>
                <w:rFonts w:ascii="Times New Roman;Times;serif" w:hAnsi="Times New Roman;Times;serif"/>
                <w:b/>
                <w:sz w:val="16"/>
              </w:rPr>
              <w:t>on which registered</w:t>
            </w:r>
          </w:p>
        </w:tc>
      </w:tr>
      <w:tr>
        <w:trPr/>
        <w:tc>
          <w:tcPr>
            <w:tcW w:w="3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$0.0001 par value per share</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ALMS</w:t>
            </w:r>
          </w:p>
        </w:tc>
        <w:tc>
          <w:tcPr>
            <w:tcW w:w="346" w:type="dxa"/>
            <w:tcBorders/>
            <w:vAlign w:val="center"/>
          </w:tcPr>
          <w:p>
            <w:pPr>
              <w:pStyle w:val="TableContents"/>
              <w:bidi w:val="0"/>
              <w:spacing w:before="0" w:after="0"/>
              <w:ind w:left="0" w:right="0" w:hanging="0"/>
              <w:jc w:val="left"/>
              <w:rPr/>
            </w:pPr>
            <w:r>
              <w:rPr/>
              <w:t> </w:t>
            </w:r>
          </w:p>
        </w:tc>
        <w:tc>
          <w:tcPr>
            <w:tcW w:w="28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Global Select Market</w:t>
            </w:r>
          </w:p>
        </w:tc>
      </w:tr>
    </w:tbl>
    <w:p>
      <w:pPr>
        <w:pStyle w:val="TextBody"/>
        <w:bidi w:val="0"/>
        <w:spacing w:before="0" w:after="0"/>
        <w:ind w:left="0" w:right="0" w:hanging="0"/>
        <w:jc w:val="left"/>
        <w:rPr/>
      </w:pPr>
      <w:r>
        <w:rPr/>
        <w:t>​</w:t>
      </w:r>
    </w:p>
    <w:p>
      <w:pPr>
        <w:pStyle w:val="TextBody"/>
        <w:bidi w:val="0"/>
        <w:spacing w:before="0" w:after="80"/>
        <w:ind w:left="0" w:right="0" w:firstLine="49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as defined in Rule 405 of the Securities Act of 1933 (§230.405 of this chapter) or Rule 12b-2 of the Securities Exchange Act of 1934 (§240.12b-2 of this chapter).</w:t>
      </w:r>
    </w:p>
    <w:p>
      <w:pPr>
        <w:pStyle w:val="TextBody"/>
        <w:bidi w:val="0"/>
        <w:spacing w:before="0" w:after="80"/>
        <w:ind w:left="0" w:right="0" w:firstLine="49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0"/>
        <w:ind w:left="0" w:right="0" w:firstLine="49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19" w:name="_23340715_40b4_4430_89e1_e15f4404db7f"/>
      <w:bookmarkEnd w:id="19"/>
      <w:r>
        <w:rPr>
          <w:rFonts w:ascii="Times New Roman;Times;serif" w:hAnsi="Times New Roman;Times;serif"/>
          <w:b/>
          <w:sz w:val="20"/>
        </w:rPr>
        <w:t>Item 2.02 Results of Operations and Financial Condition.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August 13, 2026, Alumis Inc. (the “Company”) issued a press release announcing, among other things, its financial results for the fiscal quarter ended June 30, 2026. A copy of the press release is attached hereto as Exhibit 99.1.</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All of the information furnished in this Item 2.02 and Exhibit 99.1 of this Current Report on Form 8-K shall not be deemed to be “filed” for purposes of Section 18 of the Securities Exchange Act of 1934, as amended (the “Exchange Act”), or otherwise subject to the liabilities of that Section, and shall not be incorporated by reference in any filing made by the Company under the Securities Act of 1933, as amended, or the Exchange Act, except as shall be expressly set forth by specific reference in such a filing.</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20" w:name="_3217ef29_60dd_4d19_a7cf_43997e62c193"/>
      <w:bookmarkEnd w:id="20"/>
      <w:r>
        <w:rPr>
          <w:rFonts w:ascii="Times New Roman;Times;serif" w:hAnsi="Times New Roman;Times;serif"/>
          <w:b/>
          <w:sz w:val="20"/>
        </w:rPr>
        <w:t>Item 9.01 Financial Statements and Exhibits.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Exhibits.</w:t>
      </w:r>
    </w:p>
    <w:p>
      <w:pPr>
        <w:pStyle w:val="TextBody"/>
        <w:bidi w:val="0"/>
        <w:spacing w:before="0" w:after="0"/>
        <w:ind w:left="0" w:right="0" w:hanging="0"/>
        <w:jc w:val="left"/>
        <w:rPr/>
      </w:pPr>
      <w:r>
        <w:rPr/>
        <w:t>​</w:t>
      </w:r>
    </w:p>
    <w:tbl>
      <w:tblPr>
        <w:tblW w:w="8103" w:type="dxa"/>
        <w:jc w:val="left"/>
        <w:tblInd w:w="0" w:type="dxa"/>
        <w:tblLayout w:type="fixed"/>
        <w:tblCellMar>
          <w:top w:w="0" w:type="dxa"/>
          <w:left w:w="0" w:type="dxa"/>
          <w:bottom w:w="28" w:type="dxa"/>
          <w:right w:w="0" w:type="dxa"/>
        </w:tblCellMar>
      </w:tblPr>
      <w:tblGrid>
        <w:gridCol w:w="1081"/>
        <w:gridCol w:w="346"/>
        <w:gridCol w:w="6676"/>
      </w:tblGrid>
      <w:tr>
        <w:trPr/>
        <w:tc>
          <w:tcPr>
            <w:tcW w:w="1081"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No.</w:t>
            </w:r>
          </w:p>
        </w:tc>
        <w:tc>
          <w:tcPr>
            <w:tcW w:w="346" w:type="dxa"/>
            <w:tcBorders>
              <w:bottom w:val="single" w:sz="8" w:space="0" w:color="000000"/>
            </w:tcBorders>
            <w:vAlign w:val="center"/>
          </w:tcPr>
          <w:p>
            <w:pPr>
              <w:pStyle w:val="TableContents"/>
              <w:bidi w:val="0"/>
              <w:spacing w:before="0" w:after="0"/>
              <w:ind w:left="0" w:right="0" w:hanging="0"/>
              <w:jc w:val="left"/>
              <w:rPr/>
            </w:pPr>
            <w:r>
              <w:rPr/>
              <w:t>  ​ ​ ​</w:t>
            </w:r>
          </w:p>
        </w:tc>
        <w:tc>
          <w:tcPr>
            <w:tcW w:w="6676" w:type="dxa"/>
            <w:tcBorders>
              <w:bottom w:val="single" w:sz="8" w:space="0" w:color="000000"/>
            </w:tcBorders>
            <w:vAlign w:val="center"/>
          </w:tcPr>
          <w:p>
            <w:pPr>
              <w:pStyle w:val="TableContents"/>
              <w:bidi w:val="0"/>
              <w:spacing w:before="0" w:after="2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1081"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7022" w:type="dxa"/>
            <w:gridSpan w:val="2"/>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108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6676" w:type="dxa"/>
            <w:tcBorders/>
            <w:tcMar>
              <w:bottom w:w="0" w:type="dxa"/>
            </w:tcMar>
            <w:vAlign w:val="center"/>
          </w:tcPr>
          <w:p>
            <w:pPr>
              <w:pStyle w:val="TableContents"/>
              <w:bidi w:val="0"/>
              <w:spacing w:before="0" w:after="0"/>
              <w:ind w:left="0" w:right="0" w:hanging="0"/>
              <w:jc w:val="left"/>
              <w:rPr/>
            </w:pPr>
            <w:hyperlink w:anchor="alms-20260813xex99d1.htm">
              <w:r>
                <w:rPr>
                  <w:rStyle w:val="InternetLink"/>
                  <w:rFonts w:ascii="Times New Roman;Times;serif" w:hAnsi="Times New Roman;Times;serif"/>
                  <w:b w:val="false"/>
                  <w:i w:val="false"/>
                  <w:caps w:val="false"/>
                  <w:smallCaps w:val="false"/>
                  <w:sz w:val="20"/>
                </w:rPr>
                <w:t>Press Release, dated August 13, 2026.</w:t>
              </w:r>
            </w:hyperlink>
          </w:p>
        </w:tc>
      </w:tr>
      <w:tr>
        <w:trPr/>
        <w:tc>
          <w:tcPr>
            <w:tcW w:w="1081"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7022" w:type="dxa"/>
            <w:gridSpan w:val="2"/>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108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667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21" w:name="_9bd345e9_6b98_4102_80b7_02b3fdea200f"/>
      <w:bookmarkEnd w:id="21"/>
      <w:r>
        <w:rPr>
          <w:rFonts w:ascii="Times New Roman;Times;serif" w:hAnsi="Times New Roman;Times;serif"/>
          <w:b/>
          <w:sz w:val="20"/>
        </w:rPr>
        <w:t>SIGNATURES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w:t>
      </w:r>
    </w:p>
    <w:tbl>
      <w:tblPr>
        <w:tblW w:w="3741" w:type="dxa"/>
        <w:jc w:val="left"/>
        <w:tblInd w:w="0" w:type="dxa"/>
        <w:tblLayout w:type="fixed"/>
        <w:tblCellMar>
          <w:top w:w="0" w:type="dxa"/>
          <w:left w:w="0" w:type="dxa"/>
          <w:bottom w:w="0" w:type="dxa"/>
          <w:right w:w="0" w:type="dxa"/>
        </w:tblCellMar>
      </w:tblPr>
      <w:tblGrid>
        <w:gridCol w:w="124"/>
        <w:gridCol w:w="406"/>
        <w:gridCol w:w="3211"/>
      </w:tblGrid>
      <w:tr>
        <w:trPr/>
        <w:tc>
          <w:tcPr>
            <w:tcW w:w="124" w:type="dxa"/>
            <w:tcBorders/>
            <w:vAlign w:val="center"/>
          </w:tcPr>
          <w:p>
            <w:pPr>
              <w:pStyle w:val="TableContents"/>
              <w:bidi w:val="0"/>
              <w:spacing w:before="0" w:after="0"/>
              <w:ind w:left="0" w:right="0" w:hanging="0"/>
              <w:jc w:val="left"/>
              <w:rPr/>
            </w:pPr>
            <w:r>
              <w:rPr/>
              <w:t>​</w:t>
            </w:r>
          </w:p>
        </w:tc>
        <w:tc>
          <w:tcPr>
            <w:tcW w:w="361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Alumis Inc.</w:t>
            </w:r>
          </w:p>
        </w:tc>
      </w:tr>
      <w:tr>
        <w:trPr/>
        <w:tc>
          <w:tcPr>
            <w:tcW w:w="124" w:type="dxa"/>
            <w:tcBorders/>
            <w:vAlign w:val="center"/>
          </w:tcPr>
          <w:p>
            <w:pPr>
              <w:pStyle w:val="TableContents"/>
              <w:bidi w:val="0"/>
              <w:spacing w:before="0" w:after="0"/>
              <w:ind w:left="0" w:right="0" w:hanging="0"/>
              <w:jc w:val="left"/>
              <w:rPr/>
            </w:pPr>
            <w:r>
              <w:rPr/>
              <w:t>​</w:t>
            </w:r>
          </w:p>
        </w:tc>
        <w:tc>
          <w:tcPr>
            <w:tcW w:w="361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Martin Babler</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Martin Babler</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Dated: August 13, 2026</w:t>
      </w:r>
    </w:p>
    <w:p>
      <w:pPr>
        <w:pStyle w:val="TextBody"/>
        <w:bidi w:val="0"/>
        <w:spacing w:before="0" w:after="0"/>
        <w:ind w:left="0" w:right="0" w:hanging="0"/>
        <w:jc w:val="left"/>
        <w:rPr/>
      </w:pPr>
      <w:r>
        <w:rPr/>
        <w:t>​</w:t>
      </w:r>
    </w:p>
    <w:p>
      <w:pPr>
        <w:pStyle w:val="TextBody"/>
        <w:bidi w:val="0"/>
        <w:spacing w:before="0" w:after="0"/>
        <w:ind w:left="0" w:right="0" w:hanging="0"/>
        <w:jc w:val="right"/>
        <w:rPr/>
      </w:pPr>
      <w:bookmarkStart w:id="22" w:name="alms-20260813xex99d1.htm"/>
      <w:bookmarkStart w:id="23" w:name="ksalms20260813xex99d1"/>
      <w:bookmarkEnd w:id="22"/>
      <w:bookmarkEnd w:id="23"/>
      <w:r>
        <w:rPr/>
        <w:t>​</w:t>
      </w:r>
      <w:r>
        <w:br w:type="page"/>
      </w:r>
    </w:p>
    <w:p>
      <w:pPr>
        <w:pStyle w:val="TextBody"/>
        <w:bidi w:val="0"/>
        <w:spacing w:before="0" w:after="0"/>
        <w:ind w:left="0" w:right="0" w:hanging="0"/>
        <w:jc w:val="right"/>
        <w:rPr>
          <w:rFonts w:ascii="Helvetica;sans-serif" w:hAnsi="Helvetica;sans-serif"/>
          <w:b/>
          <w:sz w:val="22"/>
        </w:rPr>
      </w:pPr>
      <w:r>
        <w:rPr>
          <w:rFonts w:ascii="Helvetica;sans-serif" w:hAnsi="Helvetica;sans-serif"/>
          <w:b/>
          <w:sz w:val="22"/>
        </w:rPr>
        <w:t>Exhibit 99.1</w:t>
      </w:r>
    </w:p>
    <w:p>
      <w:pPr>
        <w:pStyle w:val="TextBody"/>
        <w:bidi w:val="0"/>
        <w:spacing w:before="0" w:after="0"/>
        <w:ind w:left="0" w:right="0" w:hanging="0"/>
        <w:jc w:val="left"/>
        <w:rPr/>
      </w:pPr>
      <w:r>
        <w:rPr/>
        <w:drawing>
          <wp:inline distT="0" distB="0" distL="0" distR="0">
            <wp:extent cx="1571625" cy="450215"/>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2"/>
                    <a:stretch>
                      <a:fillRect/>
                    </a:stretch>
                  </pic:blipFill>
                  <pic:spPr bwMode="auto">
                    <a:xfrm>
                      <a:off x="0" y="0"/>
                      <a:ext cx="1571625" cy="450215"/>
                    </a:xfrm>
                    <a:prstGeom prst="rect">
                      <a:avLst/>
                    </a:prstGeom>
                  </pic:spPr>
                </pic:pic>
              </a:graphicData>
            </a:graphic>
          </wp:inline>
        </w:drawing>
      </w:r>
    </w:p>
    <w:p>
      <w:pPr>
        <w:pStyle w:val="TextBody"/>
        <w:bidi w:val="0"/>
        <w:spacing w:before="0" w:after="1"/>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Helvetica;sans-serif" w:hAnsi="Helvetica;sans-serif"/>
          <w:b/>
          <w:sz w:val="22"/>
        </w:rPr>
      </w:pPr>
      <w:r>
        <w:rPr>
          <w:rFonts w:ascii="Helvetica;sans-serif" w:hAnsi="Helvetica;sans-serif"/>
          <w:b/>
          <w:sz w:val="22"/>
        </w:rPr>
        <w:t xml:space="preserve">Alumis Reports Second Quarter 2026 Financial Results and </w:t>
        <w:br/>
        <w:t>Highlights Recent Achievements</w:t>
      </w:r>
    </w:p>
    <w:p>
      <w:pPr>
        <w:pStyle w:val="TextBody"/>
        <w:bidi w:val="0"/>
        <w:spacing w:before="100" w:after="100"/>
        <w:ind w:left="0" w:right="0" w:hanging="0"/>
        <w:jc w:val="center"/>
        <w:rPr/>
      </w:pPr>
      <w:r>
        <w:rPr/>
        <w:t>​</w:t>
      </w:r>
    </w:p>
    <w:p>
      <w:pPr>
        <w:pStyle w:val="TextBody"/>
        <w:bidi w:val="0"/>
        <w:spacing w:before="0" w:after="0"/>
        <w:ind w:left="0" w:right="0" w:hanging="0"/>
        <w:jc w:val="center"/>
        <w:rPr/>
      </w:pPr>
      <w:r>
        <w:rPr/>
        <w:t xml:space="preserve">– </w:t>
      </w:r>
      <w:r>
        <w:rPr>
          <w:rFonts w:ascii="Helvetica;sans-serif" w:hAnsi="Helvetica;sans-serif"/>
          <w:i/>
          <w:sz w:val="22"/>
        </w:rPr>
        <w:t xml:space="preserve">ONWARD3: 54% of patients reached complete skin clearance (PASI 100) at 48 weeks, positioning envudeucitinib to set a new standard in PsO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 xml:space="preserve">– </w:t>
      </w:r>
      <w:r>
        <w:rPr>
          <w:rFonts w:ascii="Helvetica;sans-serif" w:hAnsi="Helvetica;sans-serif"/>
          <w:i/>
          <w:sz w:val="22"/>
        </w:rPr>
        <w:t>Alumis remains on track to submit its New Drug Application to FDA for envudeucitinib in moderate-to-severe plaque psoriasis (PsO) in Q4 2026 –</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 xml:space="preserve">– </w:t>
      </w:r>
      <w:r>
        <w:rPr>
          <w:rFonts w:ascii="Helvetica;sans-serif" w:hAnsi="Helvetica;sans-serif"/>
          <w:i/>
          <w:sz w:val="22"/>
        </w:rPr>
        <w:t xml:space="preserve">Potentially pivotal Phase 2b LUMUS topline data for envudeucitinib in SLE anticipated in Q3 2026 – </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Helvetica;sans-serif" w:hAnsi="Helvetica;sans-serif"/>
          <w:sz w:val="22"/>
        </w:rPr>
        <w:t>SOUTH SAN FRANCISCO, Calif., August 13, 2026 – Alumis Inc.</w:t>
      </w:r>
      <w:r>
        <w:rPr>
          <w:rFonts w:ascii="Times New Roman;Times;serif" w:hAnsi="Times New Roman;Times;serif"/>
          <w:sz w:val="20"/>
          <w:shd w:fill="FFFFFF" w:val="clear"/>
        </w:rPr>
        <w:t xml:space="preserve"> </w:t>
      </w:r>
      <w:r>
        <w:rPr>
          <w:rFonts w:ascii="Helvetica;sans-serif" w:hAnsi="Helvetica;sans-serif"/>
          <w:sz w:val="22"/>
          <w:shd w:fill="FFFFFF" w:val="clear"/>
        </w:rPr>
        <w:t>(Nasdaq: ALMS)</w:t>
      </w:r>
      <w:r>
        <w:rPr>
          <w:rFonts w:ascii="Helvetica;sans-serif" w:hAnsi="Helvetica;sans-serif"/>
          <w:sz w:val="22"/>
        </w:rPr>
        <w:t>, a late-stage biopharmaceutical company developing next-generation targeted therapies for patients with immune-mediated diseases, today reported financial results for the quarter ended June 30, 2026, and highlighted recent achievements and upcoming milestones.</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r>
        <w:rPr>
          <w:rFonts w:ascii="Helvetica;sans-serif" w:hAnsi="Helvetica;sans-serif"/>
          <w:sz w:val="22"/>
        </w:rPr>
        <w:t>Envudeucitinib’s Phase 3 clinical validation in PsO, reinforced by our ONWARD3 long-term data, demonstrates the power of maximal TYK2 inhibition in IL-23/IL-17-driven diseases, and our anticipated Phase 2b LUMUS readout in SLE may substantiate its role in IFN-driven diseases -- potentially unlocking broader potential of our TYK2 franchise,” said Martin Babler, President and Chief Executive Officer of Alumis. “The ONWARD3 long-term data delivered the highest reported PASI 100 response rate among oral therapies, positioning envudeucitinib to set a new standard in PsO. We remain on track to submit a New Drug Application for envudeucitinib in moderate-to-severe plaque psoriasis in Q4 with the goal, if approved, of bringing this new oral treatment option to patients.”</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r>
        <w:rPr>
          <w:rFonts w:ascii="Helvetica;sans-serif" w:hAnsi="Helvetica;sans-serif"/>
          <w:sz w:val="22"/>
        </w:rPr>
        <w:t>Looking ahead, our main focus is on realizing our two TYK2 pipeline-in-a-pill franchise opportunities.” Babler added, “Based on the strength of clinical data to date, we are prioritizing Sjögren’s disease and cutaneous lupus erythematosus (CLE) as the next indications for envudeucitinib, subject to our LUMUS results and disciplined capital allocation. We are also advancing A-005, our CNS-penetrant TYK2 inhibitor, into a Phase 2 biomarker trial in Parkinson’s disease patients, planned to be initiated in the first half of 2027. Collectively, these programs underscore our goal to leverage the breadth of the TYK2 mechanism to pursue a broad range of immune-mediated diseases.”</w:t>
      </w:r>
    </w:p>
    <w:p>
      <w:pPr>
        <w:pStyle w:val="TextBody"/>
        <w:bidi w:val="0"/>
        <w:spacing w:before="0" w:after="0"/>
        <w:ind w:left="0" w:right="0" w:hanging="0"/>
        <w:jc w:val="both"/>
        <w:rPr/>
      </w:pPr>
      <w:r>
        <w:rPr/>
        <w:t>​</w:t>
      </w:r>
    </w:p>
    <w:p>
      <w:pPr>
        <w:pStyle w:val="TextBody"/>
        <w:bidi w:val="0"/>
        <w:spacing w:before="0" w:after="240"/>
        <w:ind w:left="0" w:right="0" w:hanging="0"/>
        <w:jc w:val="both"/>
        <w:rPr>
          <w:rFonts w:ascii="Helvetica;sans-serif" w:hAnsi="Helvetica;sans-serif"/>
          <w:b/>
          <w:sz w:val="22"/>
        </w:rPr>
      </w:pPr>
      <w:r>
        <w:rPr>
          <w:rFonts w:ascii="Helvetica;sans-serif" w:hAnsi="Helvetica;sans-serif"/>
          <w:b/>
          <w:sz w:val="22"/>
        </w:rPr>
        <w:t>Second Quarter 2026 and Recent Highlights</w:t>
      </w:r>
    </w:p>
    <w:p>
      <w:pPr>
        <w:pStyle w:val="TextBody"/>
        <w:bidi w:val="0"/>
        <w:spacing w:before="0" w:after="0"/>
        <w:ind w:left="0" w:right="0" w:hanging="0"/>
        <w:jc w:val="both"/>
        <w:rPr>
          <w:rFonts w:ascii="Times New Roman;Times;serif" w:hAnsi="Times New Roman;Times;serif"/>
          <w:sz w:val="20"/>
        </w:rPr>
      </w:pPr>
      <w:r>
        <w:rPr>
          <w:rFonts w:ascii="Helvetica;sans-serif" w:hAnsi="Helvetica;sans-serif"/>
          <w:b/>
          <w:spacing w:val="6"/>
          <w:sz w:val="22"/>
          <w:shd w:fill="FFFFFF" w:val="clear"/>
        </w:rPr>
        <w:t>Envudeucitinib: a next</w:t>
      </w:r>
      <w:r>
        <w:rPr>
          <w:rFonts w:ascii="Cambria Math" w:hAnsi="Cambria Math"/>
          <w:b/>
          <w:spacing w:val="6"/>
          <w:sz w:val="22"/>
          <w:shd w:fill="FFFFFF" w:val="clear"/>
        </w:rPr>
        <w:t>-</w:t>
      </w:r>
      <w:r>
        <w:rPr>
          <w:rFonts w:ascii="Helvetica;sans-serif" w:hAnsi="Helvetica;sans-serif"/>
          <w:b/>
          <w:spacing w:val="6"/>
          <w:sz w:val="22"/>
          <w:shd w:fill="FFFFFF" w:val="clear"/>
        </w:rPr>
        <w:t>generation, highly selective oral tyrosine kinase 2 (TYK2) inhibitor, in patients with moderate</w:t>
      </w:r>
      <w:r>
        <w:rPr>
          <w:rFonts w:ascii="Cambria Math" w:hAnsi="Cambria Math"/>
          <w:b/>
          <w:spacing w:val="6"/>
          <w:sz w:val="22"/>
          <w:shd w:fill="FFFFFF" w:val="clear"/>
        </w:rPr>
        <w:t>-</w:t>
      </w:r>
      <w:r>
        <w:rPr>
          <w:rFonts w:ascii="Helvetica;sans-serif" w:hAnsi="Helvetica;sans-serif"/>
          <w:b/>
          <w:spacing w:val="6"/>
          <w:sz w:val="22"/>
          <w:shd w:fill="FFFFFF" w:val="clear"/>
        </w:rPr>
        <w:t>to</w:t>
      </w:r>
      <w:r>
        <w:rPr>
          <w:rFonts w:ascii="Cambria Math" w:hAnsi="Cambria Math"/>
          <w:b/>
          <w:spacing w:val="6"/>
          <w:sz w:val="22"/>
          <w:shd w:fill="FFFFFF" w:val="clear"/>
        </w:rPr>
        <w:t>-</w:t>
      </w:r>
      <w:r>
        <w:rPr>
          <w:rFonts w:ascii="Helvetica;sans-serif" w:hAnsi="Helvetica;sans-serif"/>
          <w:b/>
          <w:spacing w:val="6"/>
          <w:sz w:val="22"/>
          <w:shd w:fill="FFFFFF" w:val="clear"/>
        </w:rPr>
        <w:t>severe plaque psoriasis</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Helvetica;sans-serif" w:hAnsi="Helvetica;sans-serif"/>
                <w:b w:val="false"/>
                <w:i w:val="false"/>
                <w:caps w:val="false"/>
                <w:smallCaps w:val="false"/>
                <w:spacing w:val="6"/>
                <w:sz w:val="22"/>
                <w:shd w:fill="FFFFFF" w:val="clear"/>
              </w:rPr>
              <w:t>Topline results from the ongoing ONWARD3 long-term extension study showed that 7</w:t>
            </w:r>
            <w:r>
              <w:rPr>
                <w:rFonts w:ascii="Helvetica;sans-serif" w:hAnsi="Helvetica;sans-serif"/>
                <w:b w:val="false"/>
                <w:i w:val="false"/>
                <w:caps w:val="false"/>
                <w:smallCaps w:val="false"/>
                <w:sz w:val="22"/>
              </w:rPr>
              <w:t>5% and 54% of patients achieved PASI 90 and PASI 100, respectively, after up to 48 weeks of continuous envudeucitinib treatment (n=773), with envudeucitinib well tolerated and a safety profile consistent with ONWARD1/2 (LINK TO PR).</w:t>
            </w:r>
          </w:p>
        </w:tc>
      </w:tr>
    </w:tbl>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Helvetica;sans-serif" w:hAnsi="Helvetica;sans-serif"/>
                <w:b w:val="false"/>
                <w:i w:val="false"/>
                <w:caps w:val="false"/>
                <w:smallCaps w:val="false"/>
                <w:spacing w:val="6"/>
                <w:sz w:val="22"/>
                <w:shd w:fill="FFFFFF" w:val="clear"/>
              </w:rPr>
            </w:pPr>
            <w:r>
              <w:rPr>
                <w:rFonts w:ascii="Helvetica;sans-serif" w:hAnsi="Helvetica;sans-serif"/>
                <w:b w:val="false"/>
                <w:i w:val="false"/>
                <w:caps w:val="false"/>
                <w:smallCaps w:val="false"/>
                <w:spacing w:val="6"/>
                <w:sz w:val="22"/>
                <w:shd w:fill="FFFFFF" w:val="clear"/>
              </w:rPr>
              <w:t>Alumis remains on track to submit its New Drug Application to FDA for envudeucitinib in PsO in the fourth quarter of 2026.</w:t>
            </w:r>
          </w:p>
        </w:tc>
      </w:tr>
    </w:tbl>
    <w:tbl>
      <w:tblPr>
        <w:tblW w:w="9439" w:type="dxa"/>
        <w:jc w:val="left"/>
        <w:tblInd w:w="0" w:type="dxa"/>
        <w:tblLayout w:type="fixed"/>
        <w:tblCellMar>
          <w:top w:w="0" w:type="dxa"/>
          <w:left w:w="0" w:type="dxa"/>
          <w:bottom w:w="0" w:type="dxa"/>
          <w:right w:w="0" w:type="dxa"/>
        </w:tblCellMar>
      </w:tblPr>
      <w:tblGrid>
        <w:gridCol w:w="170"/>
        <w:gridCol w:w="9269"/>
      </w:tblGrid>
      <w:tr>
        <w:trPr/>
        <w:tc>
          <w:tcPr>
            <w:tcW w:w="170" w:type="dxa"/>
            <w:tcBorders/>
            <w:vAlign w:val="center"/>
          </w:tcPr>
          <w:p>
            <w:pPr>
              <w:pStyle w:val="TableContents"/>
              <w:bidi w:val="0"/>
              <w:spacing w:before="0" w:after="283"/>
              <w:jc w:val="left"/>
              <w:rPr/>
            </w:pPr>
            <w:r>
              <w:rPr/>
              <w:t>●</w:t>
            </w:r>
          </w:p>
        </w:tc>
        <w:tc>
          <w:tcPr>
            <w:tcW w:w="9269" w:type="dxa"/>
            <w:tcBorders/>
            <w:vAlign w:val="center"/>
          </w:tcPr>
          <w:p>
            <w:pPr>
              <w:pStyle w:val="TableContents"/>
              <w:bidi w:val="0"/>
              <w:spacing w:before="0" w:after="283"/>
              <w:jc w:val="left"/>
              <w:rPr>
                <w:rFonts w:ascii="Helvetica;sans-serif" w:hAnsi="Helvetica;sans-serif"/>
                <w:b w:val="false"/>
                <w:i w:val="false"/>
                <w:caps w:val="false"/>
                <w:smallCaps w:val="false"/>
                <w:spacing w:val="6"/>
                <w:sz w:val="22"/>
                <w:shd w:fill="FFFFFF" w:val="clear"/>
              </w:rPr>
            </w:pPr>
            <w:r>
              <w:rPr>
                <w:rFonts w:ascii="Helvetica;sans-serif" w:hAnsi="Helvetica;sans-serif"/>
                <w:b w:val="false"/>
                <w:i w:val="false"/>
                <w:caps w:val="false"/>
                <w:smallCaps w:val="false"/>
                <w:spacing w:val="6"/>
                <w:sz w:val="22"/>
                <w:shd w:fill="FFFFFF" w:val="clear"/>
              </w:rPr>
              <w:t>Alumis plans to present additional long-term envudeucitinib data at future medical meetings.</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Helvetica;sans-serif" w:hAnsi="Helvetica;sans-serif"/>
          <w:b/>
          <w:sz w:val="22"/>
        </w:rPr>
      </w:pPr>
      <w:r>
        <w:rPr>
          <w:rFonts w:ascii="Helvetica;sans-serif" w:hAnsi="Helvetica;sans-serif"/>
          <w:b/>
          <w:sz w:val="22"/>
        </w:rPr>
        <w:t>Envudeucitinib: Systemic Lupus Erythematosus (SLE)</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Helvetica;sans-serif" w:hAnsi="Helvetica;sans-serif"/>
                <w:b w:val="false"/>
                <w:i w:val="false"/>
                <w:caps w:val="false"/>
                <w:smallCaps w:val="false"/>
                <w:spacing w:val="6"/>
                <w:sz w:val="22"/>
                <w:shd w:fill="FFFFFF" w:val="clear"/>
              </w:rPr>
            </w:pPr>
            <w:r>
              <w:rPr>
                <w:rFonts w:ascii="Helvetica;sans-serif" w:hAnsi="Helvetica;sans-serif"/>
                <w:b w:val="false"/>
                <w:i w:val="false"/>
                <w:caps w:val="false"/>
                <w:smallCaps w:val="false"/>
                <w:spacing w:val="6"/>
                <w:sz w:val="22"/>
                <w:shd w:fill="FFFFFF" w:val="clear"/>
              </w:rPr>
              <w:t>Alumis anticipates potentially pivotal Phase 2b LUMUS topline data for envudeucitinib in SLE in the third quarter of 2026, a milestone with the potential to open the Type I interferon disease pathway for the TYK2 franchise.</w:t>
            </w:r>
          </w:p>
        </w:tc>
      </w:tr>
    </w:tbl>
    <w:p>
      <w:pPr>
        <w:pStyle w:val="TextBody"/>
        <w:bidi w:val="0"/>
        <w:spacing w:before="0" w:after="0"/>
        <w:ind w:left="360" w:right="0" w:hanging="0"/>
        <w:jc w:val="both"/>
        <w:rPr>
          <w:spacing w:val="6"/>
          <w:shd w:fill="FFFFFF" w:val="clear"/>
        </w:rPr>
      </w:pPr>
      <w:r>
        <w:rPr>
          <w:spacing w:val="6"/>
          <w:shd w:fill="FFFFFF" w:val="clear"/>
        </w:rPr>
        <w:t>​</w:t>
      </w:r>
    </w:p>
    <w:p>
      <w:pPr>
        <w:pStyle w:val="TextBody"/>
        <w:bidi w:val="0"/>
        <w:spacing w:before="0" w:after="0"/>
        <w:ind w:left="0" w:right="0" w:hanging="0"/>
        <w:jc w:val="both"/>
        <w:rPr>
          <w:rFonts w:ascii="Helvetica;sans-serif" w:hAnsi="Helvetica;sans-serif"/>
          <w:b/>
          <w:sz w:val="22"/>
        </w:rPr>
      </w:pPr>
      <w:r>
        <w:rPr>
          <w:rFonts w:ascii="Helvetica;sans-serif" w:hAnsi="Helvetica;sans-serif"/>
          <w:b/>
          <w:sz w:val="22"/>
        </w:rPr>
        <w:t>TYK2 Franchise and Pipeline Update</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Helvetica;sans-serif" w:hAnsi="Helvetica;sans-serif"/>
                <w:b w:val="false"/>
                <w:i w:val="false"/>
                <w:caps w:val="false"/>
                <w:smallCaps w:val="false"/>
                <w:spacing w:val="6"/>
                <w:sz w:val="22"/>
                <w:shd w:fill="FFFFFF" w:val="clear"/>
              </w:rPr>
            </w:pPr>
            <w:r>
              <w:rPr>
                <w:rFonts w:ascii="Helvetica;sans-serif" w:hAnsi="Helvetica;sans-serif"/>
                <w:b w:val="false"/>
                <w:i w:val="false"/>
                <w:caps w:val="false"/>
                <w:smallCaps w:val="false"/>
                <w:spacing w:val="6"/>
                <w:sz w:val="22"/>
                <w:shd w:fill="FFFFFF" w:val="clear"/>
              </w:rPr>
              <w:t>Alumis is prioritizing Sjögren’s disease and cutaneous lupus erythematosus (CLE) as additional interferon-driven indications to pursue for envudeucitinib. Advancement decisions will depend on LUMUS Phase 2b results and disciplined capital allocation.</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Helvetica;sans-serif" w:hAnsi="Helvetica;sans-serif"/>
                <w:b w:val="false"/>
                <w:i w:val="false"/>
                <w:caps w:val="false"/>
                <w:smallCaps w:val="false"/>
                <w:spacing w:val="6"/>
                <w:sz w:val="22"/>
                <w:shd w:fill="FFFFFF" w:val="clear"/>
              </w:rPr>
            </w:pPr>
            <w:r>
              <w:rPr>
                <w:rFonts w:ascii="Helvetica;sans-serif" w:hAnsi="Helvetica;sans-serif"/>
                <w:b w:val="false"/>
                <w:i w:val="false"/>
                <w:caps w:val="false"/>
                <w:smallCaps w:val="false"/>
                <w:spacing w:val="6"/>
                <w:sz w:val="22"/>
                <w:shd w:fill="FFFFFF" w:val="clear"/>
              </w:rPr>
              <w:t>Alumis plans to initiate a Phase 2 biomarker trial for A-005, its central nervous system penetrant TYK2 inhibitor, in patients with Parkinson’s disease, in the first half of 2027. In a Phase 1 healthy volunteer study, A-005 was well-tolerated, achieved maximal target inhibition in the periphery and demonstrated the ability to penetrate into the central nervous system.</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Helvetica;sans-serif" w:hAnsi="Helvetica;sans-serif"/>
                <w:b w:val="false"/>
                <w:i w:val="false"/>
                <w:caps w:val="false"/>
                <w:smallCaps w:val="false"/>
                <w:spacing w:val="6"/>
                <w:sz w:val="22"/>
                <w:shd w:fill="FFFFFF" w:val="clear"/>
              </w:rPr>
            </w:pPr>
            <w:r>
              <w:rPr>
                <w:rFonts w:ascii="Helvetica;sans-serif" w:hAnsi="Helvetica;sans-serif"/>
                <w:b w:val="false"/>
                <w:i w:val="false"/>
                <w:caps w:val="false"/>
                <w:smallCaps w:val="false"/>
                <w:spacing w:val="6"/>
                <w:sz w:val="22"/>
                <w:shd w:fill="FFFFFF" w:val="clear"/>
              </w:rPr>
              <w:t>Alumis completed its strategic review of the lonigutamab program and decided to explore strategic alternatives for this asset.</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Helvetica;sans-serif" w:hAnsi="Helvetica;sans-serif"/>
          <w:b/>
          <w:sz w:val="22"/>
        </w:rPr>
      </w:pPr>
      <w:r>
        <w:rPr>
          <w:rFonts w:ascii="Helvetica;sans-serif" w:hAnsi="Helvetica;sans-serif"/>
          <w:b/>
          <w:sz w:val="22"/>
        </w:rPr>
        <w:t>Anticipated 2026 Milestones</w:t>
      </w:r>
    </w:p>
    <w:tbl>
      <w:tblPr>
        <w:tblW w:w="6010" w:type="dxa"/>
        <w:jc w:val="left"/>
        <w:tblInd w:w="0" w:type="dxa"/>
        <w:tblLayout w:type="fixed"/>
        <w:tblCellMar>
          <w:top w:w="0" w:type="dxa"/>
          <w:left w:w="0" w:type="dxa"/>
          <w:bottom w:w="0" w:type="dxa"/>
          <w:right w:w="0" w:type="dxa"/>
        </w:tblCellMar>
      </w:tblPr>
      <w:tblGrid>
        <w:gridCol w:w="170"/>
        <w:gridCol w:w="5840"/>
      </w:tblGrid>
      <w:tr>
        <w:trPr/>
        <w:tc>
          <w:tcPr>
            <w:tcW w:w="170" w:type="dxa"/>
            <w:tcBorders/>
            <w:vAlign w:val="center"/>
          </w:tcPr>
          <w:p>
            <w:pPr>
              <w:pStyle w:val="TableContents"/>
              <w:bidi w:val="0"/>
              <w:spacing w:before="0" w:after="283"/>
              <w:jc w:val="left"/>
              <w:rPr/>
            </w:pPr>
            <w:r>
              <w:rPr/>
              <w:t>●</w:t>
            </w:r>
          </w:p>
        </w:tc>
        <w:tc>
          <w:tcPr>
            <w:tcW w:w="5840" w:type="dxa"/>
            <w:tcBorders/>
            <w:vAlign w:val="center"/>
          </w:tcPr>
          <w:p>
            <w:pPr>
              <w:pStyle w:val="TableContents"/>
              <w:bidi w:val="0"/>
              <w:spacing w:before="0" w:after="283"/>
              <w:jc w:val="left"/>
              <w:rPr>
                <w:rFonts w:ascii="Helvetica;sans-serif" w:hAnsi="Helvetica;sans-serif"/>
                <w:b/>
                <w:i w:val="false"/>
                <w:caps w:val="false"/>
                <w:smallCaps w:val="false"/>
                <w:sz w:val="22"/>
              </w:rPr>
            </w:pPr>
            <w:r>
              <w:rPr>
                <w:rFonts w:ascii="Helvetica;sans-serif" w:hAnsi="Helvetica;sans-serif"/>
                <w:b/>
                <w:i w:val="false"/>
                <w:caps w:val="false"/>
                <w:smallCaps w:val="false"/>
                <w:sz w:val="22"/>
              </w:rPr>
              <w:t xml:space="preserve">Envudeucitinib in Moderate-to-Severe Plaque Psoriasis </w:t>
            </w:r>
          </w:p>
        </w:tc>
      </w:tr>
    </w:tbl>
    <w:tbl>
      <w:tblPr>
        <w:tblW w:w="5748" w:type="dxa"/>
        <w:jc w:val="left"/>
        <w:tblInd w:w="0" w:type="dxa"/>
        <w:tblLayout w:type="fixed"/>
        <w:tblCellMar>
          <w:top w:w="0" w:type="dxa"/>
          <w:left w:w="0" w:type="dxa"/>
          <w:bottom w:w="0" w:type="dxa"/>
          <w:right w:w="0" w:type="dxa"/>
        </w:tblCellMar>
      </w:tblPr>
      <w:tblGrid>
        <w:gridCol w:w="23"/>
        <w:gridCol w:w="155"/>
        <w:gridCol w:w="5570"/>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5570"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Long-term data: Phase 2, two-year safety data (2H 2026)</w:t>
            </w:r>
          </w:p>
        </w:tc>
      </w:tr>
    </w:tbl>
    <w:tbl>
      <w:tblPr>
        <w:tblW w:w="2898" w:type="dxa"/>
        <w:jc w:val="left"/>
        <w:tblInd w:w="0" w:type="dxa"/>
        <w:tblLayout w:type="fixed"/>
        <w:tblCellMar>
          <w:top w:w="0" w:type="dxa"/>
          <w:left w:w="0" w:type="dxa"/>
          <w:bottom w:w="0" w:type="dxa"/>
          <w:right w:w="0" w:type="dxa"/>
        </w:tblCellMar>
      </w:tblPr>
      <w:tblGrid>
        <w:gridCol w:w="23"/>
        <w:gridCol w:w="155"/>
        <w:gridCol w:w="2720"/>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2720"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NDA submission (4Q 2026)</w:t>
            </w:r>
          </w:p>
        </w:tc>
      </w:tr>
    </w:tbl>
    <w:p>
      <w:pPr>
        <w:pStyle w:val="TextBody"/>
        <w:bidi w:val="0"/>
        <w:spacing w:before="0" w:after="0"/>
        <w:ind w:left="720" w:right="0" w:hanging="0"/>
        <w:jc w:val="both"/>
        <w:rPr/>
      </w:pPr>
      <w:r>
        <w:rPr/>
        <w:t>​</w:t>
      </w:r>
    </w:p>
    <w:tbl>
      <w:tblPr>
        <w:tblW w:w="2515" w:type="dxa"/>
        <w:jc w:val="left"/>
        <w:tblInd w:w="0" w:type="dxa"/>
        <w:tblLayout w:type="fixed"/>
        <w:tblCellMar>
          <w:top w:w="0" w:type="dxa"/>
          <w:left w:w="0" w:type="dxa"/>
          <w:bottom w:w="0" w:type="dxa"/>
          <w:right w:w="0" w:type="dxa"/>
        </w:tblCellMar>
      </w:tblPr>
      <w:tblGrid>
        <w:gridCol w:w="170"/>
        <w:gridCol w:w="2345"/>
      </w:tblGrid>
      <w:tr>
        <w:trPr/>
        <w:tc>
          <w:tcPr>
            <w:tcW w:w="170" w:type="dxa"/>
            <w:tcBorders/>
            <w:vAlign w:val="center"/>
          </w:tcPr>
          <w:p>
            <w:pPr>
              <w:pStyle w:val="TableContents"/>
              <w:bidi w:val="0"/>
              <w:spacing w:before="0" w:after="283"/>
              <w:jc w:val="left"/>
              <w:rPr/>
            </w:pPr>
            <w:r>
              <w:rPr/>
              <w:t>●</w:t>
            </w:r>
          </w:p>
        </w:tc>
        <w:tc>
          <w:tcPr>
            <w:tcW w:w="2345" w:type="dxa"/>
            <w:tcBorders/>
            <w:vAlign w:val="center"/>
          </w:tcPr>
          <w:p>
            <w:pPr>
              <w:pStyle w:val="TableContents"/>
              <w:bidi w:val="0"/>
              <w:spacing w:before="0" w:after="283"/>
              <w:jc w:val="left"/>
              <w:rPr>
                <w:rFonts w:ascii="Helvetica;sans-serif" w:hAnsi="Helvetica;sans-serif"/>
                <w:b/>
                <w:i w:val="false"/>
                <w:caps w:val="false"/>
                <w:smallCaps w:val="false"/>
                <w:sz w:val="22"/>
              </w:rPr>
            </w:pPr>
            <w:r>
              <w:rPr>
                <w:rFonts w:ascii="Helvetica;sans-serif" w:hAnsi="Helvetica;sans-serif"/>
                <w:b/>
                <w:i w:val="false"/>
                <w:caps w:val="false"/>
                <w:smallCaps w:val="false"/>
                <w:sz w:val="22"/>
              </w:rPr>
              <w:t>Envudeucitinib in SLE</w:t>
            </w:r>
          </w:p>
        </w:tc>
      </w:tr>
    </w:tbl>
    <w:tbl>
      <w:tblPr>
        <w:tblW w:w="5583" w:type="dxa"/>
        <w:jc w:val="left"/>
        <w:tblInd w:w="0" w:type="dxa"/>
        <w:tblLayout w:type="fixed"/>
        <w:tblCellMar>
          <w:top w:w="0" w:type="dxa"/>
          <w:left w:w="0" w:type="dxa"/>
          <w:bottom w:w="0" w:type="dxa"/>
          <w:right w:w="0" w:type="dxa"/>
        </w:tblCellMar>
      </w:tblPr>
      <w:tblGrid>
        <w:gridCol w:w="23"/>
        <w:gridCol w:w="155"/>
        <w:gridCol w:w="5405"/>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5405"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Potentially pivotal Phase 2b SLE topline data (3Q 2026)</w:t>
            </w:r>
          </w:p>
        </w:tc>
      </w:tr>
    </w:tbl>
    <w:p>
      <w:pPr>
        <w:pStyle w:val="TextBody"/>
        <w:bidi w:val="0"/>
        <w:spacing w:before="0" w:after="0"/>
        <w:ind w:left="0" w:right="0" w:hanging="0"/>
        <w:jc w:val="both"/>
        <w:rPr/>
      </w:pPr>
      <w:r>
        <w:rPr/>
        <w:t>​</w:t>
      </w:r>
    </w:p>
    <w:tbl>
      <w:tblPr>
        <w:tblW w:w="790" w:type="dxa"/>
        <w:jc w:val="left"/>
        <w:tblInd w:w="0" w:type="dxa"/>
        <w:tblLayout w:type="fixed"/>
        <w:tblCellMar>
          <w:top w:w="0" w:type="dxa"/>
          <w:left w:w="0" w:type="dxa"/>
          <w:bottom w:w="0" w:type="dxa"/>
          <w:right w:w="0" w:type="dxa"/>
        </w:tblCellMar>
      </w:tblPr>
      <w:tblGrid>
        <w:gridCol w:w="170"/>
        <w:gridCol w:w="620"/>
      </w:tblGrid>
      <w:tr>
        <w:trPr/>
        <w:tc>
          <w:tcPr>
            <w:tcW w:w="170" w:type="dxa"/>
            <w:tcBorders/>
            <w:vAlign w:val="center"/>
          </w:tcPr>
          <w:p>
            <w:pPr>
              <w:pStyle w:val="TableContents"/>
              <w:bidi w:val="0"/>
              <w:spacing w:before="0" w:after="283"/>
              <w:jc w:val="left"/>
              <w:rPr/>
            </w:pPr>
            <w:r>
              <w:rPr/>
              <w:t>●</w:t>
            </w:r>
          </w:p>
        </w:tc>
        <w:tc>
          <w:tcPr>
            <w:tcW w:w="620" w:type="dxa"/>
            <w:tcBorders/>
            <w:vAlign w:val="center"/>
          </w:tcPr>
          <w:p>
            <w:pPr>
              <w:pStyle w:val="TableContents"/>
              <w:bidi w:val="0"/>
              <w:spacing w:before="0" w:after="283"/>
              <w:jc w:val="left"/>
              <w:rPr>
                <w:rFonts w:ascii="Helvetica;sans-serif" w:hAnsi="Helvetica;sans-serif"/>
                <w:b/>
                <w:i w:val="false"/>
                <w:caps w:val="false"/>
                <w:smallCaps w:val="false"/>
                <w:sz w:val="22"/>
              </w:rPr>
            </w:pPr>
            <w:r>
              <w:rPr>
                <w:rFonts w:ascii="Helvetica;sans-serif" w:hAnsi="Helvetica;sans-serif"/>
                <w:b/>
                <w:i w:val="false"/>
                <w:caps w:val="false"/>
                <w:smallCaps w:val="false"/>
                <w:sz w:val="22"/>
              </w:rPr>
              <w:t>A-005</w:t>
            </w:r>
          </w:p>
        </w:tc>
      </w:tr>
    </w:tbl>
    <w:tbl>
      <w:tblPr>
        <w:tblW w:w="6843" w:type="dxa"/>
        <w:jc w:val="left"/>
        <w:tblInd w:w="0" w:type="dxa"/>
        <w:tblLayout w:type="fixed"/>
        <w:tblCellMar>
          <w:top w:w="0" w:type="dxa"/>
          <w:left w:w="0" w:type="dxa"/>
          <w:bottom w:w="0" w:type="dxa"/>
          <w:right w:w="0" w:type="dxa"/>
        </w:tblCellMar>
      </w:tblPr>
      <w:tblGrid>
        <w:gridCol w:w="23"/>
        <w:gridCol w:w="155"/>
        <w:gridCol w:w="6665"/>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6665"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Initiation of Phase 2 biomarker trial in Parkinson’s disease (1H 2027)</w:t>
            </w:r>
          </w:p>
        </w:tc>
      </w:tr>
    </w:tbl>
    <w:p>
      <w:pPr>
        <w:pStyle w:val="TextBody"/>
        <w:bidi w:val="0"/>
        <w:spacing w:before="0" w:after="0"/>
        <w:ind w:left="0" w:right="0" w:hanging="0"/>
        <w:jc w:val="both"/>
        <w:rPr/>
      </w:pPr>
      <w:r>
        <w:rPr/>
        <w:t>​</w:t>
      </w:r>
    </w:p>
    <w:tbl>
      <w:tblPr>
        <w:tblW w:w="3865" w:type="dxa"/>
        <w:jc w:val="left"/>
        <w:tblInd w:w="0" w:type="dxa"/>
        <w:tblLayout w:type="fixed"/>
        <w:tblCellMar>
          <w:top w:w="0" w:type="dxa"/>
          <w:left w:w="0" w:type="dxa"/>
          <w:bottom w:w="0" w:type="dxa"/>
          <w:right w:w="0" w:type="dxa"/>
        </w:tblCellMar>
      </w:tblPr>
      <w:tblGrid>
        <w:gridCol w:w="170"/>
        <w:gridCol w:w="3695"/>
      </w:tblGrid>
      <w:tr>
        <w:trPr/>
        <w:tc>
          <w:tcPr>
            <w:tcW w:w="170" w:type="dxa"/>
            <w:tcBorders/>
            <w:vAlign w:val="center"/>
          </w:tcPr>
          <w:p>
            <w:pPr>
              <w:pStyle w:val="TableContents"/>
              <w:bidi w:val="0"/>
              <w:spacing w:before="0" w:after="283"/>
              <w:jc w:val="left"/>
              <w:rPr/>
            </w:pPr>
            <w:r>
              <w:rPr/>
              <w:t>●</w:t>
            </w:r>
          </w:p>
        </w:tc>
        <w:tc>
          <w:tcPr>
            <w:tcW w:w="3695" w:type="dxa"/>
            <w:tcBorders/>
            <w:vAlign w:val="center"/>
          </w:tcPr>
          <w:p>
            <w:pPr>
              <w:pStyle w:val="TableContents"/>
              <w:bidi w:val="0"/>
              <w:spacing w:before="0" w:after="283"/>
              <w:jc w:val="left"/>
              <w:rPr>
                <w:rFonts w:ascii="Helvetica;sans-serif" w:hAnsi="Helvetica;sans-serif"/>
                <w:b/>
                <w:i w:val="false"/>
                <w:caps w:val="false"/>
                <w:smallCaps w:val="false"/>
                <w:sz w:val="22"/>
              </w:rPr>
            </w:pPr>
            <w:r>
              <w:rPr>
                <w:rFonts w:ascii="Helvetica;sans-serif" w:hAnsi="Helvetica;sans-serif"/>
                <w:b/>
                <w:i w:val="false"/>
                <w:caps w:val="false"/>
                <w:smallCaps w:val="false"/>
                <w:sz w:val="22"/>
              </w:rPr>
              <w:t>Next clinical candidate (new target)</w:t>
            </w:r>
          </w:p>
        </w:tc>
      </w:tr>
    </w:tbl>
    <w:tbl>
      <w:tblPr>
        <w:tblW w:w="8028" w:type="dxa"/>
        <w:jc w:val="left"/>
        <w:tblInd w:w="0" w:type="dxa"/>
        <w:tblLayout w:type="fixed"/>
        <w:tblCellMar>
          <w:top w:w="0" w:type="dxa"/>
          <w:left w:w="0" w:type="dxa"/>
          <w:bottom w:w="0" w:type="dxa"/>
          <w:right w:w="0" w:type="dxa"/>
        </w:tblCellMar>
      </w:tblPr>
      <w:tblGrid>
        <w:gridCol w:w="23"/>
        <w:gridCol w:w="155"/>
        <w:gridCol w:w="7850"/>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7850"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Alumis now expects to initiate a clinical trial for the next clinical candidate in 2027</w:t>
            </w:r>
          </w:p>
        </w:tc>
      </w:tr>
    </w:tbl>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p>
      <w:pPr>
        <w:pStyle w:val="TextBody"/>
        <w:bidi w:val="0"/>
        <w:spacing w:before="0" w:after="240"/>
        <w:ind w:left="0" w:right="0" w:hanging="0"/>
        <w:jc w:val="both"/>
        <w:rPr>
          <w:rFonts w:ascii="Helvetica;sans-serif" w:hAnsi="Helvetica;sans-serif"/>
          <w:b/>
          <w:sz w:val="22"/>
        </w:rPr>
      </w:pPr>
      <w:r>
        <w:rPr>
          <w:rFonts w:ascii="Helvetica;sans-serif" w:hAnsi="Helvetica;sans-serif"/>
          <w:b/>
          <w:sz w:val="22"/>
        </w:rPr>
        <w:t>Second Quarter 2026 Financial Results</w:t>
      </w:r>
    </w:p>
    <w:tbl>
      <w:tblPr>
        <w:tblW w:w="9895" w:type="dxa"/>
        <w:jc w:val="left"/>
        <w:tblInd w:w="0" w:type="dxa"/>
        <w:tblLayout w:type="fixed"/>
        <w:tblCellMar>
          <w:top w:w="0" w:type="dxa"/>
          <w:left w:w="0" w:type="dxa"/>
          <w:bottom w:w="0" w:type="dxa"/>
          <w:right w:w="0" w:type="dxa"/>
        </w:tblCellMar>
      </w:tblPr>
      <w:tblGrid>
        <w:gridCol w:w="170"/>
        <w:gridCol w:w="9725"/>
      </w:tblGrid>
      <w:tr>
        <w:trPr/>
        <w:tc>
          <w:tcPr>
            <w:tcW w:w="170" w:type="dxa"/>
            <w:tcBorders/>
            <w:vAlign w:val="center"/>
          </w:tcPr>
          <w:p>
            <w:pPr>
              <w:pStyle w:val="TableContents"/>
              <w:bidi w:val="0"/>
              <w:spacing w:before="0" w:after="283"/>
              <w:jc w:val="left"/>
              <w:rPr/>
            </w:pPr>
            <w:r>
              <w:rPr/>
              <w:t>●</w:t>
            </w:r>
          </w:p>
        </w:tc>
        <w:tc>
          <w:tcPr>
            <w:tcW w:w="9725"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As of June 30, 2026, Alumis had cash, cash equivalents and marketable securities of $502.3 million.</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Revenue included collaboration revenue of $1.7 million for the quarter ended June 30, 2026, compared to collaboration revenue of $2.7 million for the quarter ended June 30, 2025, related to the collaboration and licensing agreement with Kaken Pharmaceutical Co., Ltd.</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Research and development expenses were $85.3 million for the quarter ended June 30, 2026, compared to $108.8 million for the quarter ended June 30, 2025. The decrease was primarily driven by lower clinical trial and contract research costs following completion of enrollment and reporting of positive topline results for the pivotal Phase 3 ONWARD1 and ONWARD2 clinical trials of envudeucitinib in patients with PsO in January 2026 and severance costs related to the merger with ACELYRIN, Inc. in the quarter ended June 30, 2025, partially offset by an increase in clinical trial and contract research costs for the Phase 3 ONWARD3 clinical trial and an increase in personnel-related expenses for the quarter ended June 30, 2026.</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General and administrative expenses were $23.4 million for the quarter ended June 30, 2026, compared to $34.5 million for the quarter ended June 30, 2025. The decrease was primarily attributable to severance and transaction costs related to the merger with ACELYRIN, Inc. in the quarter ended June 30, 2025, partially offset by legal expenses and other costs and an increase in personnel-related expenses for the quarter ended June 30, 2026.</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22"/>
              </w:rPr>
              <w:t>Operating expenses for the quarter ended June 30, 2026 included a $41.8 million impairment loss related to the acquired IPR&amp;D intangible asset associated with the l</w:t>
            </w:r>
            <w:r>
              <w:rPr>
                <w:rFonts w:ascii="Helvetica;sans-serif" w:hAnsi="Helvetica;sans-serif"/>
                <w:b w:val="false"/>
                <w:i w:val="false"/>
                <w:caps w:val="false"/>
                <w:smallCaps w:val="false"/>
                <w:spacing w:val="6"/>
                <w:sz w:val="22"/>
                <w:shd w:fill="FFFFFF" w:val="clear"/>
              </w:rPr>
              <w:t>onigutamab program following the Company’s decision to pursue strategic alternatives for the program.</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Net loss was $142.2 million for the quarter ended June 30, 2026, compared to net income of $59.3 million for the quarter ended June 30, 2025, which included a non-operating gain of $187.9 million related to the merger with ACELYRIN, Inc.</w:t>
            </w:r>
          </w:p>
        </w:tc>
      </w:tr>
    </w:tbl>
    <w:p>
      <w:pPr>
        <w:pStyle w:val="TextBody"/>
        <w:bidi w:val="0"/>
        <w:spacing w:before="0" w:after="0"/>
        <w:ind w:left="720" w:right="0" w:hanging="0"/>
        <w:jc w:val="both"/>
        <w:rPr/>
      </w:pPr>
      <w:r>
        <w:rPr/>
        <w:t>​</w:t>
      </w:r>
    </w:p>
    <w:p>
      <w:pPr>
        <w:pStyle w:val="TextBody"/>
        <w:bidi w:val="0"/>
        <w:spacing w:before="0" w:after="240"/>
        <w:ind w:left="0" w:right="0" w:hanging="0"/>
        <w:jc w:val="both"/>
        <w:rPr>
          <w:rFonts w:ascii="Helvetica;sans-serif" w:hAnsi="Helvetica;sans-serif"/>
          <w:b/>
          <w:sz w:val="22"/>
        </w:rPr>
      </w:pPr>
      <w:r>
        <w:rPr>
          <w:rFonts w:ascii="Helvetica;sans-serif" w:hAnsi="Helvetica;sans-serif"/>
          <w:b/>
          <w:sz w:val="22"/>
        </w:rPr>
        <w:t>Financial Guidance</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22"/>
              </w:rPr>
              <w:t>Based on the Company’s current operating plan, Alumis continues to anticipate that its existing cash, cash equivalents and marketable securities as of June 30, 2026 are</w:t>
            </w:r>
            <w:r>
              <w:rPr>
                <w:caps w:val="false"/>
                <w:smallCaps w:val="false"/>
                <w:spacing w:val="6"/>
                <w:shd w:fill="FFFFFF" w:val="clear"/>
              </w:rPr>
              <w:t xml:space="preserve"> </w:t>
            </w:r>
            <w:r>
              <w:rPr>
                <w:rFonts w:ascii="Helvetica;sans-serif" w:hAnsi="Helvetica;sans-serif"/>
                <w:b w:val="false"/>
                <w:i w:val="false"/>
                <w:caps w:val="false"/>
                <w:smallCaps w:val="false"/>
                <w:spacing w:val="6"/>
                <w:sz w:val="22"/>
                <w:shd w:fill="FFFFFF" w:val="clear"/>
              </w:rPr>
              <w:t xml:space="preserve">expected </w:t>
            </w:r>
            <w:r>
              <w:rPr>
                <w:rFonts w:ascii="Helvetica;sans-serif" w:hAnsi="Helvetica;sans-serif"/>
                <w:b w:val="false"/>
                <w:i w:val="false"/>
                <w:caps w:val="false"/>
                <w:smallCaps w:val="false"/>
                <w:sz w:val="22"/>
              </w:rPr>
              <w:t xml:space="preserve">to </w:t>
            </w:r>
            <w:r>
              <w:rPr>
                <w:rFonts w:ascii="Helvetica;sans-serif" w:hAnsi="Helvetica;sans-serif"/>
                <w:b w:val="false"/>
                <w:i w:val="false"/>
                <w:caps w:val="false"/>
                <w:smallCaps w:val="false"/>
                <w:spacing w:val="6"/>
                <w:sz w:val="22"/>
                <w:shd w:fill="FFFFFF" w:val="clear"/>
              </w:rPr>
              <w:t>fund operating expenses and capital expenditure requirements into the fourth quarter of 2027.</w:t>
            </w:r>
          </w:p>
        </w:tc>
      </w:tr>
    </w:tbl>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p>
      <w:pPr>
        <w:pStyle w:val="TextBody"/>
        <w:bidi w:val="0"/>
        <w:spacing w:before="0" w:after="240"/>
        <w:ind w:left="0" w:right="0" w:hanging="0"/>
        <w:jc w:val="both"/>
        <w:rPr>
          <w:rFonts w:ascii="Times New Roman;Times;serif" w:hAnsi="Times New Roman;Times;serif"/>
          <w:sz w:val="20"/>
        </w:rPr>
      </w:pPr>
      <w:r>
        <w:rPr>
          <w:rFonts w:ascii="Helvetica;sans-serif" w:hAnsi="Helvetica;sans-serif"/>
          <w:b/>
          <w:sz w:val="22"/>
        </w:rPr>
        <w:t>About Alumis</w:t>
      </w:r>
      <w:r>
        <w:rPr>
          <w:rFonts w:ascii="Times New Roman;Times;serif" w:hAnsi="Times New Roman;Times;serif"/>
          <w:sz w:val="20"/>
        </w:rPr>
        <w:t xml:space="preserve"> </w:t>
      </w:r>
    </w:p>
    <w:p>
      <w:pPr>
        <w:pStyle w:val="TextBody"/>
        <w:bidi w:val="0"/>
        <w:spacing w:lineRule="auto" w:line="304" w:before="0" w:after="200"/>
        <w:ind w:left="0" w:right="0" w:hanging="0"/>
        <w:jc w:val="both"/>
        <w:rPr>
          <w:rFonts w:ascii="Times New Roman;Times;serif" w:hAnsi="Times New Roman;Times;serif"/>
          <w:sz w:val="20"/>
        </w:rPr>
      </w:pPr>
      <w:r>
        <w:rPr>
          <w:rFonts w:ascii="Helvetica;sans-serif" w:hAnsi="Helvetica;sans-serif"/>
          <w:sz w:val="22"/>
        </w:rPr>
        <w:t>Alumis is a late-stage biopharmaceutical company developing next-generation targeted therapies with the potential to significantly improve patient health and outcomes across a range of immune-mediated diseases. Leveraging its proprietary data analytics platform and precision approach, Alumis is developing a pipeline of oral tyrosine kinase 2 inhibitors, consisting of envudeucitinib, formerly known as ESK-001, for the treatment of systemic immune-mediated disorders, such as moderate-to-severe plaque psoriasis and systemic lupus erythematosus, and A-005, its central nervous system penetrant TYK2 inhibitor, with initial development focused on Parkinson’s disease and additional neuroinflammatory, neurodegenerative and peripheral immune-mediated disease indications under evaluation. For more information, visit www.alumis.com</w:t>
      </w:r>
      <w:r>
        <w:rPr>
          <w:rFonts w:ascii="Times New Roman;Times;serif" w:hAnsi="Times New Roman;Times;serif"/>
          <w:sz w:val="20"/>
        </w:rPr>
        <w:t> </w:t>
      </w:r>
      <w:r>
        <w:rPr>
          <w:rFonts w:ascii="Helvetica;sans-serif" w:hAnsi="Helvetica;sans-serif"/>
          <w:sz w:val="22"/>
        </w:rPr>
        <w:t>or follow us on LinkedIn or X.</w:t>
      </w:r>
    </w:p>
    <w:p>
      <w:pPr>
        <w:pStyle w:val="TextBody"/>
        <w:bidi w:val="0"/>
        <w:spacing w:before="0" w:after="240"/>
        <w:ind w:left="0" w:right="0" w:hanging="0"/>
        <w:jc w:val="both"/>
        <w:rPr>
          <w:rFonts w:ascii="Helvetica;sans-serif" w:hAnsi="Helvetica;sans-serif"/>
          <w:b/>
          <w:sz w:val="22"/>
        </w:rPr>
      </w:pPr>
      <w:r>
        <w:rPr>
          <w:rFonts w:ascii="Helvetica;sans-serif" w:hAnsi="Helvetica;sans-serif"/>
          <w:b/>
          <w:sz w:val="22"/>
        </w:rPr>
        <w:t>Forward-Looking Statements</w:t>
      </w:r>
    </w:p>
    <w:p>
      <w:pPr>
        <w:pStyle w:val="TextBody"/>
        <w:bidi w:val="0"/>
        <w:spacing w:before="0" w:after="0"/>
        <w:ind w:left="0" w:right="0" w:hanging="0"/>
        <w:jc w:val="both"/>
        <w:rPr>
          <w:rFonts w:ascii="Helvetica;sans-serif" w:hAnsi="Helvetica;sans-serif"/>
          <w:sz w:val="22"/>
        </w:rPr>
      </w:pPr>
      <w:r>
        <w:rPr>
          <w:rFonts w:ascii="Helvetica;sans-serif" w:hAnsi="Helvetica;sans-serif"/>
          <w:sz w:val="22"/>
        </w:rPr>
        <w:t>This press release contains forward-looking statements within the meaning of federal securities laws, including the “safe harbor” provisions of the Private Securities Litigation Reform Act of 1995. These statements may be identified by words such as "anticipates," "believes," "plans," "seeks," "will" and variations of these words or similar expressions that are intended to identify forward-looking statements. All statements, other than statements of historical facts, including without limitation those regarding the timing of the initiation of clinical trials, including a Phase 1 trial for the Company’s next clinical candidate, the timing and results of clinical data readouts in its ongoing clinical trials, including the Company’s Phase 2b LUMUS trial in systemic lupus erythematosus, as well as long-term and safety data in moderate-to-severe plaque psoriasis (PsO), the timing of the Company’s planned NDA submission with the FDA for envudeucitinib in PsO, the Company’s plans to prioritize Sjögren’s disease and cutaneous lupus erythematosus as additional indications for envudeucitinib, the Company’s goal to bring a new oral treatment option to patients with PsO and pursue a broad range of immune-mediated diseases, the timing of the Company’s planned Phase 2 biomarker trial for A-005 in Parkinson’s disease, the potential for envudeucitinib to treat PsO, the potential for envudeucitinib to reshape the psoriasis treatment landscape, systemic lupus erythematosus and other immune-mediated diseases and/or to realize TYK2 franchise pipeline-in-a-pill opportunities, the Company’s plans to explore strategic alternatives for lonigutamab, any expectations regarding the safety, efficacy or tolerability of its drug candidates and statements regarding Alumis’ future plans and prospects, including development of its clinical pipeline and the commencement of additional clinical trials; cash runway; Alumis’ participation at upcoming conferences, and any assumptions underlying any of the foregoing, are forward-looking statements. Forward-looking statements in this press release are based on Alumis’ current expectations, estimates and projections as of the date of this release and are subject to a number of risks and uncertainties that could cause actual results to differ materially and adversely and readers are cautioned that actual results, levels of activity, safety, efficacy, performance or events and circumstances could differ materially from those expressed or implied in Alumis’ forward-looking statements. Such risks and uncertainties include, without limitation, those related to Alumis’ ability to advance envudeucitinib or its other programs and to obtain regulatory approval of and ultimately commercialize Alumis’ clinical candidates, the timing, costs, and results of preclinical and clinical trials, Alumis’ ability to fund development activities and achieve development goals, Alumis’ ability to protect its intellectual property and other risks and uncertainties described in Alumis’ filings with the Securities and Exchange Commission (SEC) under the heading “Risk Factors” and elsewhere in such filings and reports, including any future reports Alumis may file with the SEC from time to time. Alumis explicitly disclaims any obligation to update any forward-looking statements except to the extent required by law.</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p>
      <w:pPr>
        <w:pStyle w:val="TextBody"/>
        <w:bidi w:val="0"/>
        <w:spacing w:before="0" w:after="12"/>
        <w:ind w:left="0" w:right="0" w:hanging="0"/>
        <w:jc w:val="center"/>
        <w:rPr>
          <w:rFonts w:ascii="Calibri Light" w:hAnsi="Calibri Light"/>
          <w:b/>
          <w:sz w:val="24"/>
        </w:rPr>
      </w:pPr>
      <w:r>
        <w:rPr>
          <w:rFonts w:ascii="Calibri Light" w:hAnsi="Calibri Light"/>
          <w:b/>
          <w:sz w:val="24"/>
        </w:rPr>
        <w:t>ALUMIS INC.</w:t>
      </w:r>
    </w:p>
    <w:p>
      <w:pPr>
        <w:pStyle w:val="TextBody"/>
        <w:bidi w:val="0"/>
        <w:spacing w:before="0" w:after="12"/>
        <w:ind w:left="720" w:right="720" w:hanging="0"/>
        <w:jc w:val="center"/>
        <w:rPr>
          <w:rFonts w:ascii="Calibri Light" w:hAnsi="Calibri Light"/>
          <w:b/>
          <w:sz w:val="24"/>
        </w:rPr>
      </w:pPr>
      <w:r>
        <w:rPr>
          <w:rFonts w:ascii="Calibri Light" w:hAnsi="Calibri Light"/>
          <w:b/>
          <w:sz w:val="24"/>
        </w:rPr>
        <w:t>CONDENSED CONSOLIDATED STATEMENTS OF OPERATIONS AND COMPREHENSIVE INCOME (LOSS)</w:t>
      </w:r>
    </w:p>
    <w:p>
      <w:pPr>
        <w:pStyle w:val="TextBody"/>
        <w:bidi w:val="0"/>
        <w:spacing w:before="0" w:after="12"/>
        <w:ind w:left="0" w:right="0" w:hanging="0"/>
        <w:jc w:val="center"/>
        <w:rPr>
          <w:rFonts w:ascii="Calibri Light" w:hAnsi="Calibri Light"/>
          <w:b/>
          <w:sz w:val="24"/>
        </w:rPr>
      </w:pPr>
      <w:r>
        <w:rPr>
          <w:rFonts w:ascii="Calibri Light" w:hAnsi="Calibri Light"/>
          <w:b/>
          <w:sz w:val="24"/>
        </w:rPr>
        <w:t>(Unaudited)</w:t>
      </w:r>
    </w:p>
    <w:p>
      <w:pPr>
        <w:pStyle w:val="TextBody"/>
        <w:bidi w:val="0"/>
        <w:spacing w:before="0" w:after="0"/>
        <w:ind w:left="0" w:right="0" w:hanging="0"/>
        <w:jc w:val="left"/>
        <w:rPr/>
      </w:pPr>
      <w:r>
        <w:rPr/>
        <w:t>​</w:t>
      </w:r>
    </w:p>
    <w:tbl>
      <w:tblPr>
        <w:tblW w:w="9178" w:type="dxa"/>
        <w:jc w:val="left"/>
        <w:tblInd w:w="0" w:type="dxa"/>
        <w:tblLayout w:type="fixed"/>
        <w:tblCellMar>
          <w:top w:w="0" w:type="dxa"/>
          <w:left w:w="0" w:type="dxa"/>
          <w:bottom w:w="0" w:type="dxa"/>
          <w:right w:w="0" w:type="dxa"/>
        </w:tblCellMar>
      </w:tblPr>
      <w:tblGrid>
        <w:gridCol w:w="3721"/>
        <w:gridCol w:w="346"/>
        <w:gridCol w:w="196"/>
        <w:gridCol w:w="811"/>
        <w:gridCol w:w="346"/>
        <w:gridCol w:w="196"/>
        <w:gridCol w:w="811"/>
        <w:gridCol w:w="346"/>
        <w:gridCol w:w="196"/>
        <w:gridCol w:w="811"/>
        <w:gridCol w:w="346"/>
        <w:gridCol w:w="196"/>
        <w:gridCol w:w="856"/>
      </w:tblGrid>
      <w:tr>
        <w:trPr/>
        <w:tc>
          <w:tcPr>
            <w:tcW w:w="3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362835" cy="175260"/>
                      <wp:effectExtent l="0" t="0" r="0" b="0"/>
                      <wp:wrapNone/>
                      <wp:docPr id="9" name="Frame8"/>
                      <a:graphic xmlns:a="http://schemas.openxmlformats.org/drawingml/2006/main">
                        <a:graphicData uri="http://schemas.microsoft.com/office/word/2010/wordprocessingShape">
                          <wps:wsp>
                            <wps:cNvSpPr txBox="1"/>
                            <wps:spPr>
                              <a:xfrm>
                                <a:off x="0" y="0"/>
                                <a:ext cx="2362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10"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24460" cy="175260"/>
                      <wp:effectExtent l="0" t="0" r="0" b="0"/>
                      <wp:wrapNone/>
                      <wp:docPr id="11" name="Frame1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14985" cy="175260"/>
                      <wp:effectExtent l="0" t="0" r="0" b="0"/>
                      <wp:wrapNone/>
                      <wp:docPr id="12" name="Frame1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3"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24460" cy="175260"/>
                      <wp:effectExtent l="0" t="0" r="0" b="0"/>
                      <wp:wrapNone/>
                      <wp:docPr id="14" name="Frame1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14985" cy="175260"/>
                      <wp:effectExtent l="0" t="0" r="0" b="0"/>
                      <wp:wrapNone/>
                      <wp:docPr id="15" name="Frame14"/>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6"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24460" cy="175260"/>
                      <wp:effectExtent l="0" t="0" r="0" b="0"/>
                      <wp:wrapNone/>
                      <wp:docPr id="17" name="Frame1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14985" cy="175260"/>
                      <wp:effectExtent l="0" t="0" r="0" b="0"/>
                      <wp:wrapNone/>
                      <wp:docPr id="18" name="Frame17"/>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9"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24460" cy="175260"/>
                      <wp:effectExtent l="0" t="0" r="0" b="0"/>
                      <wp:wrapNone/>
                      <wp:docPr id="20" name="Frame1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543560" cy="175260"/>
                      <wp:effectExtent l="0" t="0" r="0" b="0"/>
                      <wp:wrapNone/>
                      <wp:docPr id="21" name="Frame20"/>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left"/>
              <w:rPr/>
            </w:pPr>
            <w:r>
              <w:rPr/>
              <w:t>​</w:t>
            </w:r>
          </w:p>
        </w:tc>
        <w:tc>
          <w:tcPr>
            <w:tcW w:w="24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7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56" w:type="dxa"/>
            <w:tcBorders/>
            <w:shd w:fill="CCEEFF" w:val="clear"/>
            <w:vAlign w:val="center"/>
          </w:tcPr>
          <w:p>
            <w:pPr>
              <w:pStyle w:val="TableContents"/>
              <w:bidi w:val="0"/>
              <w:spacing w:before="0" w:after="0"/>
              <w:ind w:left="0" w:right="0" w:hanging="0"/>
              <w:jc w:val="center"/>
              <w:rPr/>
            </w:pPr>
            <w:r>
              <w:rPr/>
              <w:t>​</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License revenue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17,389</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Collaboration revenue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2,666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3,403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2,666</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revenue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2,666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3,403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20,055</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expenses:</w:t>
            </w:r>
          </w:p>
        </w:tc>
        <w:tc>
          <w:tcPr>
            <w:tcW w:w="346" w:type="dxa"/>
            <w:tcBorders/>
            <w:shd w:fill="CCEEFF" w:val="clear"/>
            <w:vAlign w:val="center"/>
          </w:tcPr>
          <w:p>
            <w:pPr>
              <w:pStyle w:val="TableContents"/>
              <w:bidi w:val="0"/>
              <w:spacing w:before="0" w:after="0"/>
              <w:ind w:left="0" w:right="0" w:hanging="0"/>
              <w:jc w:val="left"/>
              <w:rPr/>
            </w:pPr>
            <w:r>
              <w:rPr/>
              <w:t>  ​ ​ ​</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Research and development expenses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85,337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108,755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166,877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205,377</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General and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23,356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34,450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41,966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56,745</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Intangible assets impairment loss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41,824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41,824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150,517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143,205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250,667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262,122</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from operations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(148,855)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(140,539)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(247,264)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(242,067)</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income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Gain on bargain purchase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187,907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187,907</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4,948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3,430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10,297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6,039</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income (expenses), net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other income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4,877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191,299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10,233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193,864</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 before income taxes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(143,978)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50,760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(237,031)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(48,203)</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benefit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8,561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8,561</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(142,221)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59,321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(235,274)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(39,642)</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Unrealized gain (loss) on marketable securities, net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comprehensive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(142,437)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59,351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(236,145)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(39,660)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p>
      <w:pPr>
        <w:pStyle w:val="TextBody"/>
        <w:bidi w:val="0"/>
        <w:spacing w:before="0" w:after="12"/>
        <w:ind w:left="0" w:right="0" w:hanging="0"/>
        <w:jc w:val="center"/>
        <w:rPr>
          <w:rFonts w:ascii="Calibri Light" w:hAnsi="Calibri Light"/>
          <w:b/>
          <w:sz w:val="24"/>
        </w:rPr>
      </w:pPr>
      <w:r>
        <w:rPr>
          <w:rFonts w:ascii="Calibri Light" w:hAnsi="Calibri Light"/>
          <w:b/>
          <w:sz w:val="24"/>
        </w:rPr>
        <w:t>ALUMIS INC.</w:t>
      </w:r>
    </w:p>
    <w:p>
      <w:pPr>
        <w:pStyle w:val="TextBody"/>
        <w:bidi w:val="0"/>
        <w:spacing w:before="0" w:after="12"/>
        <w:ind w:left="0" w:right="0" w:hanging="0"/>
        <w:jc w:val="center"/>
        <w:rPr>
          <w:rFonts w:ascii="Calibri Light" w:hAnsi="Calibri Light"/>
          <w:b/>
          <w:sz w:val="24"/>
        </w:rPr>
      </w:pPr>
      <w:r>
        <w:rPr>
          <w:rFonts w:ascii="Calibri Light" w:hAnsi="Calibri Light"/>
          <w:b/>
          <w:sz w:val="24"/>
        </w:rPr>
        <w:t>CONDENSED CONSOLIDATED BALANCE SHEETS</w:t>
      </w:r>
    </w:p>
    <w:p>
      <w:pPr>
        <w:pStyle w:val="TextBody"/>
        <w:bidi w:val="0"/>
        <w:spacing w:before="0" w:after="12"/>
        <w:ind w:left="0" w:right="0" w:hanging="0"/>
        <w:jc w:val="center"/>
        <w:rPr>
          <w:rFonts w:ascii="Calibri Light" w:hAnsi="Calibri Light"/>
          <w:b/>
          <w:sz w:val="24"/>
        </w:rPr>
      </w:pPr>
      <w:r>
        <w:rPr>
          <w:rFonts w:ascii="Calibri Light" w:hAnsi="Calibri Light"/>
          <w:b/>
          <w:sz w:val="24"/>
        </w:rPr>
        <w:t>(Unaudited)</w:t>
      </w:r>
    </w:p>
    <w:p>
      <w:pPr>
        <w:pStyle w:val="TextBody"/>
        <w:bidi w:val="0"/>
        <w:spacing w:before="0" w:after="240"/>
        <w:ind w:left="0" w:right="0" w:hanging="0"/>
        <w:jc w:val="center"/>
        <w:rPr/>
      </w:pPr>
      <w:r>
        <w:rPr/>
        <w:t>​</w:t>
      </w:r>
    </w:p>
    <w:tbl>
      <w:tblPr>
        <w:tblW w:w="6345" w:type="dxa"/>
        <w:jc w:val="left"/>
        <w:tblInd w:w="0" w:type="dxa"/>
        <w:tblLayout w:type="fixed"/>
        <w:tblCellMar>
          <w:top w:w="0" w:type="dxa"/>
          <w:left w:w="0" w:type="dxa"/>
          <w:bottom w:w="0" w:type="dxa"/>
          <w:right w:w="0" w:type="dxa"/>
        </w:tblCellMar>
      </w:tblPr>
      <w:tblGrid>
        <w:gridCol w:w="3571"/>
        <w:gridCol w:w="346"/>
        <w:gridCol w:w="196"/>
        <w:gridCol w:w="946"/>
        <w:gridCol w:w="146"/>
        <w:gridCol w:w="209"/>
        <w:gridCol w:w="931"/>
      </w:tblGrid>
      <w:tr>
        <w:trPr/>
        <w:tc>
          <w:tcPr>
            <w:tcW w:w="3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267585" cy="175260"/>
                      <wp:effectExtent l="0" t="0" r="0" b="0"/>
                      <wp:wrapNone/>
                      <wp:docPr id="22" name="Frame21"/>
                      <a:graphic xmlns:a="http://schemas.openxmlformats.org/drawingml/2006/main">
                        <a:graphicData uri="http://schemas.microsoft.com/office/word/2010/wordprocessingShape">
                          <wps:wsp>
                            <wps:cNvSpPr txBox="1"/>
                            <wps:spPr>
                              <a:xfrm>
                                <a:off x="0" y="0"/>
                                <a:ext cx="2267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3"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24460" cy="175260"/>
                      <wp:effectExtent l="0" t="0" r="0" b="0"/>
                      <wp:wrapNone/>
                      <wp:docPr id="24" name="Frame2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00710" cy="175260"/>
                      <wp:effectExtent l="0" t="0" r="0" b="0"/>
                      <wp:wrapNone/>
                      <wp:docPr id="25" name="Frame24"/>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92710" cy="175260"/>
                      <wp:effectExtent l="0" t="0" r="0" b="0"/>
                      <wp:wrapNone/>
                      <wp:docPr id="26" name="Frame2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32715" cy="175260"/>
                      <wp:effectExtent l="0" t="0" r="0" b="0"/>
                      <wp:wrapNone/>
                      <wp:docPr id="27" name="Frame26"/>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591185" cy="175260"/>
                      <wp:effectExtent l="0" t="0" r="0" b="0"/>
                      <wp:wrapNone/>
                      <wp:docPr id="28" name="Frame2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4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35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6" w:type="dxa"/>
            <w:tcBorders/>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63,706</w:t>
            </w:r>
          </w:p>
        </w:tc>
        <w:tc>
          <w:tcPr>
            <w:tcW w:w="146" w:type="dxa"/>
            <w:tcBorders/>
            <w:shd w:fill="CCEEFF" w:val="clear"/>
            <w:vAlign w:val="center"/>
          </w:tcPr>
          <w:p>
            <w:pPr>
              <w:pStyle w:val="TableContents"/>
              <w:bidi w:val="0"/>
              <w:spacing w:before="0" w:after="0"/>
              <w:ind w:left="0" w:right="0" w:hanging="0"/>
              <w:jc w:val="left"/>
              <w:rPr/>
            </w:pPr>
            <w:r>
              <w:rPr/>
              <w:t> </w:t>
            </w:r>
          </w:p>
        </w:tc>
        <w:tc>
          <w:tcPr>
            <w:tcW w:w="20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89,670</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Restricted cash</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Marketable securities, current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438,587</w:t>
            </w:r>
          </w:p>
        </w:tc>
        <w:tc>
          <w:tcPr>
            <w:tcW w:w="1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218,831</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Research and development prepaid expenses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4,388</w:t>
            </w:r>
          </w:p>
        </w:tc>
        <w:tc>
          <w:tcPr>
            <w:tcW w:w="1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2,909</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prepaid expenses and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7,403</w:t>
            </w:r>
          </w:p>
        </w:tc>
        <w:tc>
          <w:tcPr>
            <w:tcW w:w="146"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6,740</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514,084</w:t>
            </w:r>
          </w:p>
        </w:tc>
        <w:tc>
          <w:tcPr>
            <w:tcW w:w="1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318,232</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Restricted cash, non-current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1,388</w:t>
            </w:r>
          </w:p>
        </w:tc>
        <w:tc>
          <w:tcPr>
            <w:tcW w:w="1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1,301</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and equipment,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16,847</w:t>
            </w:r>
          </w:p>
        </w:tc>
        <w:tc>
          <w:tcPr>
            <w:tcW w:w="1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18,190</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9,135</w:t>
            </w:r>
          </w:p>
        </w:tc>
        <w:tc>
          <w:tcPr>
            <w:tcW w:w="1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50,959</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right-of-use assets,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17,270</w:t>
            </w:r>
          </w:p>
        </w:tc>
        <w:tc>
          <w:tcPr>
            <w:tcW w:w="1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16,971</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 non-current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1,894</w:t>
            </w:r>
          </w:p>
        </w:tc>
        <w:tc>
          <w:tcPr>
            <w:tcW w:w="146"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6,287</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560,618</w:t>
            </w:r>
          </w:p>
        </w:tc>
        <w:tc>
          <w:tcPr>
            <w:tcW w:w="146" w:type="dxa"/>
            <w:tcBorders/>
            <w:vAlign w:val="center"/>
          </w:tcPr>
          <w:p>
            <w:pPr>
              <w:pStyle w:val="TableContents"/>
              <w:bidi w:val="0"/>
              <w:spacing w:before="0" w:after="0"/>
              <w:ind w:left="0" w:right="0" w:hanging="0"/>
              <w:jc w:val="left"/>
              <w:rPr/>
            </w:pPr>
            <w:r>
              <w:rPr/>
              <w:t> </w:t>
            </w:r>
          </w:p>
        </w:tc>
        <w:tc>
          <w:tcPr>
            <w:tcW w:w="20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411,940</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  ​</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12,800</w:t>
            </w:r>
          </w:p>
        </w:tc>
        <w:tc>
          <w:tcPr>
            <w:tcW w:w="146" w:type="dxa"/>
            <w:tcBorders/>
            <w:shd w:fill="CCEEFF" w:val="clear"/>
            <w:vAlign w:val="center"/>
          </w:tcPr>
          <w:p>
            <w:pPr>
              <w:pStyle w:val="TableContents"/>
              <w:bidi w:val="0"/>
              <w:spacing w:before="0" w:after="0"/>
              <w:ind w:left="0" w:right="0" w:hanging="0"/>
              <w:jc w:val="left"/>
              <w:rPr/>
            </w:pPr>
            <w:r>
              <w:rPr/>
              <w:t> </w:t>
            </w:r>
          </w:p>
        </w:tc>
        <w:tc>
          <w:tcPr>
            <w:tcW w:w="20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10,106</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Research and development accrued expenses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35,572</w:t>
            </w:r>
          </w:p>
        </w:tc>
        <w:tc>
          <w:tcPr>
            <w:tcW w:w="1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34,781</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accrued expenses and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16,370</w:t>
            </w:r>
          </w:p>
        </w:tc>
        <w:tc>
          <w:tcPr>
            <w:tcW w:w="1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22,303</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revenue, current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6,669</w:t>
            </w:r>
          </w:p>
        </w:tc>
        <w:tc>
          <w:tcPr>
            <w:tcW w:w="1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1,458</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liabilities, current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4,822</w:t>
            </w:r>
          </w:p>
        </w:tc>
        <w:tc>
          <w:tcPr>
            <w:tcW w:w="146"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4,670</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76,233</w:t>
            </w:r>
          </w:p>
        </w:tc>
        <w:tc>
          <w:tcPr>
            <w:tcW w:w="1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73,318</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liabilities, non-current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31,605</w:t>
            </w:r>
          </w:p>
        </w:tc>
        <w:tc>
          <w:tcPr>
            <w:tcW w:w="1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32,244</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tax liability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383</w:t>
            </w:r>
          </w:p>
        </w:tc>
        <w:tc>
          <w:tcPr>
            <w:tcW w:w="1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2,140</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 repurchase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w:t>
            </w:r>
          </w:p>
        </w:tc>
        <w:tc>
          <w:tcPr>
            <w:tcW w:w="1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revenue, non-current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2,611</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liabilities, non-current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168</w:t>
            </w:r>
          </w:p>
        </w:tc>
        <w:tc>
          <w:tcPr>
            <w:tcW w:w="146"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207</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108,460</w:t>
            </w:r>
          </w:p>
        </w:tc>
        <w:tc>
          <w:tcPr>
            <w:tcW w:w="146"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110,643</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Preferred stock</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w:t>
            </w:r>
          </w:p>
        </w:tc>
        <w:tc>
          <w:tcPr>
            <w:tcW w:w="1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1,589,979</w:t>
            </w:r>
          </w:p>
        </w:tc>
        <w:tc>
          <w:tcPr>
            <w:tcW w:w="1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1,202,975</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Accumulated other comprehensive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(683)</w:t>
            </w:r>
          </w:p>
        </w:tc>
        <w:tc>
          <w:tcPr>
            <w:tcW w:w="1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188</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Accumulated deficit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(1,137,150)</w:t>
            </w:r>
          </w:p>
        </w:tc>
        <w:tc>
          <w:tcPr>
            <w:tcW w:w="146"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(901,876)</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452,158</w:t>
            </w:r>
          </w:p>
        </w:tc>
        <w:tc>
          <w:tcPr>
            <w:tcW w:w="146"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301,297</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 and stockholders’ equity</w:t>
            </w:r>
          </w:p>
        </w:tc>
        <w:tc>
          <w:tcPr>
            <w:tcW w:w="3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560,618</w:t>
            </w:r>
          </w:p>
        </w:tc>
        <w:tc>
          <w:tcPr>
            <w:tcW w:w="146" w:type="dxa"/>
            <w:tcBorders/>
            <w:vAlign w:val="center"/>
          </w:tcPr>
          <w:p>
            <w:pPr>
              <w:pStyle w:val="TableContents"/>
              <w:bidi w:val="0"/>
              <w:spacing w:before="0" w:after="0"/>
              <w:ind w:left="0" w:right="0" w:hanging="0"/>
              <w:jc w:val="left"/>
              <w:rPr/>
            </w:pPr>
            <w:r>
              <w:rPr/>
              <w:t> </w:t>
            </w:r>
          </w:p>
        </w:tc>
        <w:tc>
          <w:tcPr>
            <w:tcW w:w="20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411,940</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b/>
          <w:sz w:val="22"/>
        </w:rPr>
      </w:pPr>
      <w:r>
        <w:rPr>
          <w:rFonts w:ascii="Helvetica;sans-serif" w:hAnsi="Helvetica;sans-serif"/>
          <w:b/>
          <w:sz w:val="22"/>
        </w:rPr>
        <w:t>Alumis Contact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sz w:val="22"/>
        </w:rPr>
      </w:pPr>
      <w:r>
        <w:rPr>
          <w:rFonts w:ascii="Helvetica;sans-serif" w:hAnsi="Helvetica;sans-serif"/>
          <w:sz w:val="22"/>
        </w:rPr>
        <w:t>Teri Dahlman</w:t>
      </w:r>
    </w:p>
    <w:p>
      <w:pPr>
        <w:pStyle w:val="TextBody"/>
        <w:bidi w:val="0"/>
        <w:spacing w:before="0" w:after="0"/>
        <w:ind w:left="0" w:right="0" w:hanging="0"/>
        <w:jc w:val="left"/>
        <w:rPr>
          <w:rFonts w:ascii="Helvetica;sans-serif" w:hAnsi="Helvetica;sans-serif"/>
          <w:sz w:val="22"/>
        </w:rPr>
      </w:pPr>
      <w:r>
        <w:rPr>
          <w:rFonts w:ascii="Helvetica;sans-serif" w:hAnsi="Helvetica;sans-serif"/>
          <w:sz w:val="22"/>
        </w:rPr>
        <w:t>Red House Communications</w:t>
      </w:r>
    </w:p>
    <w:p>
      <w:pPr>
        <w:pStyle w:val="TextBody"/>
        <w:bidi w:val="0"/>
        <w:spacing w:before="0" w:after="0"/>
        <w:ind w:left="0" w:right="0" w:hanging="0"/>
        <w:jc w:val="left"/>
        <w:rPr>
          <w:rFonts w:ascii="Helvetica;sans-serif" w:hAnsi="Helvetica;sans-serif"/>
          <w:sz w:val="22"/>
          <w:u w:val="single"/>
        </w:rPr>
      </w:pPr>
      <w:r>
        <w:rPr>
          <w:rFonts w:ascii="Helvetica;sans-serif" w:hAnsi="Helvetica;sans-serif"/>
          <w:sz w:val="22"/>
          <w:u w:val="single"/>
        </w:rPr>
        <w:t>teri@redhousecomms.com</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 w:name="Cambria Math">
    <w:charset w:val="01"/>
    <w:family w:val="auto"/>
    <w:pitch w:val="default"/>
  </w:font>
  <w:font w:name="Courier New">
    <w:charset w:val="01"/>
    <w:family w:val="auto"/>
    <w:pitch w:val="default"/>
  </w:font>
  <w:font w:name="Calibri Light">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2524</Words>
  <Characters>14765</Characters>
  <CharactersWithSpaces>17489</CharactersWithSpaces>
  <Paragraphs>768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