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02026_010944.xml.htm"/>
      <w:bookmarkStart w:id="1" w:name="ksform409102026_010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AKKARAJU SRINIVAS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ALUMIS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ALUMIS INC.</w:t>
              </w:r>
            </w:hyperlink>
            <w:r>
              <w:rPr/>
              <w:t xml:space="preserve"> [ </w:t>
            </w:r>
            <w:r>
              <w:rPr>
                <w:rFonts w:ascii="Times;serif" w:hAnsi="Times;serif"/>
                <w:color w:val="0000FF"/>
                <w:sz w:val="24"/>
                <w:shd w:fill="FFFFFF" w:val="clear"/>
              </w:rPr>
              <w:t>ALMS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1"/>
        <w:gridCol w:w="919"/>
        <w:gridCol w:w="791"/>
        <w:gridCol w:w="610"/>
        <w:gridCol w:w="331"/>
        <w:gridCol w:w="989"/>
        <w:gridCol w:w="393"/>
        <w:gridCol w:w="998"/>
        <w:gridCol w:w="1214"/>
        <w:gridCol w:w="932"/>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220,070</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11.173</w:t>
            </w: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4,711,801</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Samsara BioCapital, L.P.</w:t>
            </w:r>
            <w:r>
              <w:rPr>
                <w:rFonts w:ascii="Times;serif" w:hAnsi="Times;serif"/>
                <w:color w:val="008000"/>
                <w:position w:val="7"/>
                <w:sz w:val="16"/>
                <w:sz w:val="20"/>
                <w:shd w:fill="FFFFFF" w:val="clear"/>
              </w:rPr>
              <w:t>(2)</w:t>
            </w:r>
          </w:p>
        </w:tc>
      </w:tr>
      <w:tr>
        <w:trPr/>
        <w:tc>
          <w:tcPr>
            <w:tcW w:w="17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220,070</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11.173</w:t>
            </w: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2,073,558</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Samsara Opportunity Fund, L.P.</w:t>
            </w:r>
            <w:r>
              <w:rPr>
                <w:rFonts w:ascii="Times;serif" w:hAnsi="Times;serif"/>
                <w:color w:val="008000"/>
                <w:position w:val="7"/>
                <w:sz w:val="16"/>
                <w:sz w:val="20"/>
                <w:shd w:fill="FFFFFF" w:val="clear"/>
              </w:rPr>
              <w:t>(3)</w:t>
            </w:r>
          </w:p>
        </w:tc>
      </w:tr>
      <w:tr>
        <w:trPr/>
        <w:tc>
          <w:tcPr>
            <w:tcW w:w="17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48,066</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10.5484</w:t>
            </w:r>
            <w:r>
              <w:rPr>
                <w:rFonts w:ascii="Times;serif" w:hAnsi="Times;serif"/>
                <w:color w:val="008000"/>
                <w:position w:val="7"/>
                <w:sz w:val="16"/>
                <w:sz w:val="20"/>
                <w:shd w:fill="FFFFFF" w:val="clear"/>
              </w:rPr>
              <w:t>(5)</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4,663,735</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Samsara BioCapital, L.P.</w:t>
            </w:r>
            <w:r>
              <w:rPr>
                <w:rFonts w:ascii="Times;serif" w:hAnsi="Times;serif"/>
                <w:color w:val="008000"/>
                <w:position w:val="7"/>
                <w:sz w:val="16"/>
                <w:sz w:val="20"/>
                <w:shd w:fill="FFFFFF" w:val="clear"/>
              </w:rPr>
              <w:t>(2)</w:t>
            </w:r>
          </w:p>
        </w:tc>
      </w:tr>
      <w:tr>
        <w:trPr/>
        <w:tc>
          <w:tcPr>
            <w:tcW w:w="17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48,065</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10.5484</w:t>
            </w:r>
            <w:r>
              <w:rPr>
                <w:rFonts w:ascii="Times;serif" w:hAnsi="Times;serif"/>
                <w:color w:val="008000"/>
                <w:position w:val="7"/>
                <w:sz w:val="16"/>
                <w:sz w:val="20"/>
                <w:shd w:fill="FFFFFF" w:val="clear"/>
              </w:rPr>
              <w:t>(5)</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2,025,493</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Samsara Opportunity Fund, L.P.</w:t>
            </w:r>
            <w:r>
              <w:rPr>
                <w:rFonts w:ascii="Times;serif" w:hAnsi="Times;serif"/>
                <w:color w:val="008000"/>
                <w:position w:val="7"/>
                <w:sz w:val="16"/>
                <w:sz w:val="20"/>
                <w:shd w:fill="FFFFFF" w:val="clear"/>
              </w:rPr>
              <w:t>(3)</w:t>
            </w:r>
          </w:p>
        </w:tc>
      </w:tr>
      <w:tr>
        <w:trPr/>
        <w:tc>
          <w:tcPr>
            <w:tcW w:w="17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(4)</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273,291</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10.6271</w:t>
            </w:r>
            <w:r>
              <w:rPr>
                <w:rFonts w:ascii="Times;serif" w:hAnsi="Times;serif"/>
                <w:color w:val="008000"/>
                <w:position w:val="7"/>
                <w:sz w:val="16"/>
                <w:sz w:val="20"/>
                <w:shd w:fill="FFFFFF" w:val="clear"/>
              </w:rPr>
              <w:t>(6)</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4,937,026</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Samsara BioCapital, L.P.</w:t>
            </w:r>
            <w:r>
              <w:rPr>
                <w:rFonts w:ascii="Times;serif" w:hAnsi="Times;serif"/>
                <w:color w:val="008000"/>
                <w:position w:val="7"/>
                <w:sz w:val="16"/>
                <w:sz w:val="20"/>
                <w:shd w:fill="FFFFFF" w:val="clear"/>
              </w:rPr>
              <w:t>(2)</w:t>
            </w:r>
          </w:p>
        </w:tc>
      </w:tr>
      <w:tr>
        <w:trPr/>
        <w:tc>
          <w:tcPr>
            <w:tcW w:w="17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(4)</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273,290</w:t>
            </w:r>
          </w:p>
        </w:tc>
        <w:tc>
          <w:tcPr>
            <w:tcW w:w="3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10.6271</w:t>
            </w:r>
            <w:r>
              <w:rPr>
                <w:rFonts w:ascii="Times;serif" w:hAnsi="Times;serif"/>
                <w:color w:val="008000"/>
                <w:position w:val="7"/>
                <w:sz w:val="16"/>
                <w:sz w:val="20"/>
                <w:shd w:fill="FFFFFF" w:val="clear"/>
              </w:rPr>
              <w:t>(6)</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2,298,783</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Samsara Opportunity Fund, L.P.</w:t>
            </w:r>
            <w:r>
              <w:rPr>
                <w:rFonts w:ascii="Times;serif" w:hAnsi="Times;serif"/>
                <w:color w:val="008000"/>
                <w:position w:val="7"/>
                <w:sz w:val="16"/>
                <w:sz w:val="20"/>
                <w:shd w:fill="FFFFFF" w:val="clear"/>
              </w:rPr>
              <w:t>(3)</w:t>
            </w:r>
          </w:p>
        </w:tc>
      </w:tr>
      <w:tr>
        <w:trPr/>
        <w:tc>
          <w:tcPr>
            <w:tcW w:w="17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3,553</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securities were purchased in multiple transactions at prices ranging from $11.02 to $11.60, inclusive. The Reporting Person undertake to provide to the Issuer, any security holder of the Issuer, or the staff of the Securities and Exchange Commission, upon request, full information regarding the number of securities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directly held by Samsara BioCapital LP. ("Samsara LP"). The Reporting Person is a managing member of Samsara BioCapital GP, LLC, the general partner of Samsara LP.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directly held by Samsara Opportunity Fund, L.P. ("Samsara Opportunity Fund"). Samsara Opportunity Fund GP, LLC is the general partner of Samsara Opportunity Fund and may be deemed to beneficially own the securities held by Samsara Opportunity Fund. The Reporting Person has voting and investment power over the shares held by Samsara Opportunity Fund and, accordingly, may be deemed to beneficially own the shares held by Samsara Opportunity Fund. The Reporting Person disclaims beneficial ownership in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sales and purchases on September 8, 2026 were matchable under Section 16(b) of the Securities Exchange Act of 1934, to the extent of 48,066 shares in the case of Samsara LP and 48,065 shares in the case of Samsara Opportunity Fund, resulting in short-swing profit liability under Section 16(b). The Reporting Person has agreed to disgorge to the Issuer the short-swing profit realized in connection with these transactions, less transaction costs.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securities were sold in multiple transactions at prices ranging from $10.38 to $10.91, inclusive. The Reporting Person undertake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securities were purchased in multiple transactions at prices ranging from $10.26 to $10.835, inclusive. The Reporting Person undertake to provide to the Issuer, any security holder of the Issuer, or the staff of the Securities and Exchange Commission, upon request, full information regarding the number of securities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Srinivas Akkaraju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170" TargetMode="External"/><Relationship Id="rId5" Type="http://schemas.openxmlformats.org/officeDocument/2006/relationships/hyperlink" Target="http://www.sec.gov/cgi-bin/browse-edgar?action=getcompany&amp;CIK=00018473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1066</Words>
  <Characters>5821</Characters>
  <CharactersWithSpaces>6766</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