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72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725410"/>
                    </a:xfrm>
                    <a:prstGeom prst="rect">
                      <a:avLst/>
                    </a:prstGeom>
                    <a:noFill/>
                  </pic:spPr>
                </pic:pic>
              </a:graphicData>
            </a:graphic>
          </wp:anchor>
        </w:drawing>
      </w:r>
    </w:p>
    <w:p>
      <w:pPr>
        <w:spacing w:after="0" w:line="1222" w:lineRule="exact"/>
        <w:rPr>
          <w:sz w:val="24"/>
          <w:szCs w:val="24"/>
          <w:color w:val="auto"/>
        </w:rPr>
      </w:pPr>
    </w:p>
    <w:p>
      <w:pPr>
        <w:sectPr>
          <w:pgSz w:w="11900" w:h="16896"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Tananbaum James B.</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ALUMIS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ALMS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04/01/2026</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900 LARKSPUR LANDING CIRCLE</w:t>
            </w: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150</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6"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LARKSPUR</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94939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96"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1,176,470</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vMerge w:val="restart"/>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680" w:type="dxa"/>
            <w:vAlign w:val="bottom"/>
            <w:gridSpan w:val="2"/>
            <w:vMerge w:val="restart"/>
          </w:tcPr>
          <w:p>
            <w:pPr>
              <w:jc w:val="center"/>
              <w:ind w:left="422"/>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(3)</w:t>
            </w: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1,123,337</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1,123,337</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(5)</w:t>
            </w: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1,123,337</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top w:val="single" w:sz="8" w:color="2C2C2C"/>
            </w:tcBorders>
            <w:vMerge w:val="restart"/>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gridSpan w:val="2"/>
            <w:vMerge w:val="restart"/>
          </w:tcPr>
          <w:p>
            <w:pPr>
              <w:jc w:val="center"/>
              <w:ind w:left="422"/>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(6)</w:t>
            </w: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680,486</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680,486</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5,702,536</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2,908,332</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4,247,670</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194,459</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1,960,337</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in-kind distribution, and not a purchase or sale, without additional consideration by Foresite Labs Affiliates 2021, LLC ("Labs Affiliates") to its members in accordance with the exemptions afforded by Rules 16a-13 and/or 16a-9 of the Securities Exchange Act of 1934, as amended (the "Exchange Act").</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Labs Affiliates. Foresite Labs, LLC ("Labs") is the managing member of Labs Affiliates and may be deemed to have sole voting and dispositive power over such shares. James B. Tananbaum ("Tananbaum"), a manager of Labs, may be deemed to share voting and dispositive power over such shares. Tananbaum disclaims the existence of a "group", as defined in Rule 13d-5 of the Exchange Act, and disclaims beneficial ownership of the shares held by Labs Affiliates, except to the extent of his pecuniary interest in such securities.</w:t>
      </w:r>
    </w:p>
    <w:p>
      <w:pPr>
        <w:spacing w:after="0" w:line="2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received by Labs pursuant to pro rata distributions by Labs Affiliates, for no consideration, to its members in accordance with the exemptions afforded by Rules 16a-13 and/or 16a-9 of the Exchange Act.</w:t>
      </w:r>
    </w:p>
    <w:p>
      <w:pPr>
        <w:sectPr>
          <w:pgSz w:w="11900" w:h="16896" w:orient="portrait"/>
          <w:cols w:equalWidth="0" w:num="1">
            <w:col w:w="11080"/>
          </w:cols>
          <w:pgMar w:left="460" w:top="219" w:right="359" w:bottom="0" w:gutter="0" w:footer="0" w:header="0"/>
          <w:type w:val="continuous"/>
        </w:sectPr>
      </w:pPr>
    </w:p>
    <w:bookmarkStart w:id="1" w:name="page2"/>
    <w:bookmarkEnd w:id="1"/>
    <w:p>
      <w:pPr>
        <w:ind w:right="3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Labs. Tananbaum, a manager of Labs, may be deemed to share voting and dispositive power over such shares. Tananbaum disclaims the existence of a "group", as defined in Rule 13d-5 of the Exchange Act, and disclaims beneficial ownership of the shares held by Labs, except to the extent of his pecuniary interest in such securities.</w:t>
      </w:r>
    </w:p>
    <w:p>
      <w:pPr>
        <w:spacing w:after="0" w:line="7" w:lineRule="exact"/>
        <w:rPr>
          <w:rFonts w:ascii="Times New Roman" w:cs="Times New Roman" w:eastAsia="Times New Roman" w:hAnsi="Times New Roman"/>
          <w:sz w:val="13"/>
          <w:szCs w:val="13"/>
          <w:color w:val="008000"/>
        </w:rPr>
      </w:pPr>
    </w:p>
    <w:p>
      <w:pPr>
        <w:ind w:right="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in-kind distribution, and not a purchase or sale, without additional consideration by Labs to its members in accordance with the exemptions afforded by Rules 16a-13 and/or 16a-9 of the Exchange Act.</w:t>
      </w:r>
    </w:p>
    <w:p>
      <w:pPr>
        <w:spacing w:after="0" w:line="7" w:lineRule="exact"/>
        <w:rPr>
          <w:rFonts w:ascii="Times New Roman" w:cs="Times New Roman" w:eastAsia="Times New Roman" w:hAnsi="Times New Roman"/>
          <w:sz w:val="13"/>
          <w:szCs w:val="13"/>
          <w:color w:val="008000"/>
        </w:rPr>
      </w:pPr>
    </w:p>
    <w:p>
      <w:pPr>
        <w:ind w:right="1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received by TFL Investment Holdings, LLC ("TFL") pursuant to pro rata distributions by Labs, for no consideration, to its members in accordance with the exemptions afforded by Rules 16a-13 and/or 16a-9 of the Exchange Act.</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TFL. Tananbaum is the manager of TFL, and James B. Tananbaum and Dana Shonfeld Tananbaum Family Trust, of which Tananbaum is a trustee, is the sole member of TFL.</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Foresite Capital Fund V, L.P. ("Fund V"). Foresite Capital Management V, LLC ("FCM V") is the general partner of Fund V and may be deemed to have sole voting and dispositive power over such shares. Tananbaum, the managing member of FCM V, may be deemed to have sole voting and dispositive power over such shares. Tananbaum disclaims the existence of a "group", as defined in Rule 13d-5 of the Exchange Act, and disclaims beneficial ownership of the shares held by Fund V, except to the extent of his pecuniary interest in such securities.</w:t>
      </w:r>
    </w:p>
    <w:p>
      <w:pPr>
        <w:spacing w:after="0" w:line="20" w:lineRule="exact"/>
        <w:rPr>
          <w:rFonts w:ascii="Times New Roman" w:cs="Times New Roman" w:eastAsia="Times New Roman" w:hAnsi="Times New Roman"/>
          <w:sz w:val="13"/>
          <w:szCs w:val="13"/>
          <w:color w:val="008000"/>
        </w:rPr>
      </w:pPr>
    </w:p>
    <w:p>
      <w:pPr>
        <w:ind w:right="14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Foresite Capital Opportunity Fund V, L.P. ("Opportunity Fund V"). Foresite Capital Opportunity Management V, LLC ("FCOM V") is the general partner of Opportunity Fund V and may be deemed to have sole voting and dispositive power over such shares. Tananbaum, the managing member of FCOM V, may be deemed to have sole voting and dispositive power over such shares. Tananbaum disclaims the existence of a "group", as defined in Rule 13d-5 of the Exchange Act, and disclaims beneficial ownership of the shares held by Opportunity Fund V, except to the extent of his pecuniary interest in such securities.</w:t>
      </w:r>
    </w:p>
    <w:p>
      <w:pPr>
        <w:spacing w:after="0" w:line="24" w:lineRule="exact"/>
        <w:rPr>
          <w:rFonts w:ascii="Times New Roman" w:cs="Times New Roman" w:eastAsia="Times New Roman" w:hAnsi="Times New Roman"/>
          <w:sz w:val="13"/>
          <w:szCs w:val="13"/>
          <w:color w:val="008000"/>
        </w:rPr>
      </w:pPr>
    </w:p>
    <w:p>
      <w:pPr>
        <w:ind w:right="22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Foresite Capital Fund VI, L.P. ("Fund VI"). Foresite Capital Management VI, LLC ("FCM VI") is the general partner of Fund VI and may be deemed to have sole voting and dispositive power over such shares. Tananbaum, the managing member of FCM VI, may be deemed to have sole voting and dispositive power over such shares. Tananbaum disclaims the existence of a "group", as defined in Rule 13d-5 of the Exchange Act, and disclaims beneficial ownership of the shares held by Fund VI, except to the extent of his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Labs Co-Invest V, LLC ("Labs Co-Invest"). FCM V is the managing member of Labs Co-Invest and may be deemed to have sole voting and dispositive power over</w:t>
      </w:r>
    </w:p>
    <w:p>
      <w:pPr>
        <w:spacing w:after="0" w:line="11" w:lineRule="exact"/>
        <w:rPr>
          <w:rFonts w:ascii="Times New Roman" w:cs="Times New Roman" w:eastAsia="Times New Roman" w:hAnsi="Times New Roman"/>
          <w:sz w:val="13"/>
          <w:szCs w:val="13"/>
          <w:color w:val="008000"/>
        </w:rPr>
      </w:pPr>
    </w:p>
    <w:p>
      <w:pPr>
        <w:ind w:right="2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Tananbaum, the managing member of FCM V, may be deemed to have sole voting and dispositive power over such shares. Tananbaum disclaims the existence of a "group", as defined in Rule 13d-5 of the Exchange Act, and disclaims beneficial ownership of the shares held by Labs Co-Invest, except to the extent of his pecuniary interest in such securities.</w:t>
      </w:r>
    </w:p>
    <w:p>
      <w:pPr>
        <w:spacing w:after="0" w:line="21" w:lineRule="exact"/>
        <w:rPr>
          <w:rFonts w:ascii="Times New Roman" w:cs="Times New Roman" w:eastAsia="Times New Roman" w:hAnsi="Times New Roman"/>
          <w:sz w:val="13"/>
          <w:szCs w:val="13"/>
          <w:color w:val="008000"/>
        </w:rPr>
      </w:pPr>
    </w:p>
    <w:p>
      <w:pPr>
        <w:jc w:val="both"/>
        <w:ind w:right="6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Foresite Labs Fund I, L.P. ("Labs Fund I"). Foresite Labs Management I, LLC ("FLM I") is the general partner of Labs Fund I and may be deemed to have sole voting and dispositive power over such shares. Tananbaum, the managing member of FLM I, may be deemed to have sole voting and dispositive power over such shares. Tananbaum disclaims the existence of a "group", as defined in Rule 13d-5 of the Exchange Act, and disclaims beneficial ownership of the shares held by Labs Fund I, except to the extent of his pecuniary interest in such securities.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3"/>
          <w:szCs w:val="13"/>
          <w:color w:val="008000"/>
        </w:rPr>
        <w:t>This Form 4 is one of three Form 4s filed on the date hereof in respect of these transactions. The Reporting Persons for the other Form 4s are Fund V, Opportunity Fund V, Labs Co-Invest, Fund VI, Labs Fund I, Labs Affiliates, FCM V, FCOM V, FCM VI, FLM I and Labs.</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James B. Tananbaum</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1754" TargetMode="External"/><Relationship Id="rId14" Type="http://schemas.openxmlformats.org/officeDocument/2006/relationships/hyperlink" Target="http://www.sec.gov/cgi-bin/browse-edgar?action=getcompany&amp;CIK=00018473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2026-04-03T14:55:51Z</dcterms:created>
  <dcterms:modified xsi:type="dcterms:W3CDTF">2026-04-03T14:55:51Z</dcterms:modified>
</cp:coreProperties>
</file>