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100817.xml.htm"/>
      <w:bookmarkStart w:id="1" w:name="ksform408052026_1008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Bradley Mark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ALUMIS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 EAST GRAND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ALUMIS INC.</w:t>
              </w:r>
            </w:hyperlink>
            <w:r>
              <w:rPr/>
              <w:t xml:space="preserve"> [ </w:t>
            </w:r>
            <w:r>
              <w:rPr>
                <w:rFonts w:ascii="Times;serif" w:hAnsi="Times;serif"/>
                <w:color w:val="0000FF"/>
                <w:sz w:val="24"/>
                <w:shd w:fill="FFFFFF" w:val="clear"/>
              </w:rPr>
              <w:t>ALMS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95"/>
        <w:gridCol w:w="1158"/>
        <w:gridCol w:w="993"/>
        <w:gridCol w:w="95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2,572</w:t>
            </w:r>
            <w:r>
              <w:rPr>
                <w:rFonts w:ascii="Times;serif" w:hAnsi="Times;serif"/>
                <w:color w:val="008000"/>
                <w:position w:val="7"/>
                <w:sz w:val="16"/>
                <w:sz w:val="20"/>
                <w:shd w:fill="FFFFFF" w:val="clear"/>
              </w:rPr>
              <w:t>(1)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w:t>
            </w:r>
            <w:r>
              <w:rPr>
                <w:rFonts w:ascii="Times;serif" w:hAnsi="Times;serif"/>
                <w:color w:val="008000"/>
                <w:position w:val="7"/>
                <w:sz w:val="16"/>
                <w:sz w:val="20"/>
                <w:shd w:fill="FFFFFF" w:val="clear"/>
              </w:rPr>
              <w:t>(2)</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48,533</w:t>
            </w:r>
            <w:r>
              <w:rPr>
                <w:rFonts w:ascii="Times;serif" w:hAnsi="Times;serif"/>
                <w:color w:val="008000"/>
                <w:position w:val="7"/>
                <w:sz w:val="16"/>
                <w:sz w:val="20"/>
                <w:shd w:fill="FFFFFF" w:val="clear"/>
              </w:rPr>
              <w:t>(3)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GRAT</w:t>
            </w:r>
            <w:r>
              <w:rPr>
                <w:rFonts w:ascii="Times;serif" w:hAnsi="Times;serif"/>
                <w:color w:val="008000"/>
                <w:position w:val="7"/>
                <w:sz w:val="16"/>
                <w:sz w:val="20"/>
                <w:shd w:fill="FFFFFF" w:val="clear"/>
              </w:rPr>
              <w:t>(4)</w:t>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the Issuer's policy requiring sell-to-cover to satisfy tax obligations of the Reporting Person incurred with the vesting and settlement of restricted stock units granted on July 29, 2025,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$25.60 to $26.42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2,377 shares acquired on May 20, 2026 under the Issuer's 2024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owned directly by JB 2025 GRAT, for which Reporting Person serves as a trustee. 20,026 shares were transferred from the JB 2023 GRAT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owned directly by MB 2025 GRAT, for which Reporting Person serves as a trustee. 20,026 shares were transferred from the MB 2023 GRAT on October 30,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Sanam Pangali,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657" TargetMode="External"/><Relationship Id="rId5" Type="http://schemas.openxmlformats.org/officeDocument/2006/relationships/hyperlink" Target="http://www.sec.gov/cgi-bin/browse-edgar?action=getcompany&amp;CIK=00018473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4163</Characters>
  <CharactersWithSpaces>4865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